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8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September 30, 2026</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ind w:left="360" w:hanging="334"/>
        <w:spacing w:after="0" w:line="195" w:lineRule="auto"/>
        <w:tabs>
          <w:tab w:leader="none" w:pos="360" w:val="left"/>
        </w:tabs>
        <w:numPr>
          <w:ilvl w:val="0"/>
          <w:numId w:val="2"/>
        </w:numPr>
        <w:rPr>
          <w:rFonts w:ascii="MS PGothic" w:cs="MS PGothic" w:eastAsia="MS PGothic" w:hAnsi="MS PGothic"/>
          <w:sz w:val="25"/>
          <w:szCs w:val="25"/>
          <w:color w:val="auto"/>
          <w:vertAlign w:val="subscript"/>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5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For the transition period from______to______</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Commission File Number </w:t>
      </w:r>
      <w:r>
        <w:rPr>
          <w:rFonts w:ascii="Times New Roman" w:cs="Times New Roman" w:eastAsia="Times New Roman" w:hAnsi="Times New Roman"/>
          <w:sz w:val="13"/>
          <w:szCs w:val="13"/>
          <w:b w:val="1"/>
          <w:bCs w:val="1"/>
          <w:i w:val="1"/>
          <w:iCs w:val="1"/>
          <w:color w:val="auto"/>
        </w:rPr>
        <w:t>1-36756</w:t>
      </w:r>
    </w:p>
    <w:p>
      <w:pPr>
        <w:spacing w:after="0" w:line="94"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Lamar Advertising Company</w:t>
      </w:r>
    </w:p>
    <w:p>
      <w:pPr>
        <w:spacing w:after="0" w:line="9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1-12407</w:t>
      </w:r>
    </w:p>
    <w:p>
      <w:pPr>
        <w:spacing w:after="0" w:line="94"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Lamar Media Corp.</w:t>
      </w:r>
    </w:p>
    <w:p>
      <w:pPr>
        <w:spacing w:after="0" w:line="96" w:lineRule="exact"/>
        <w:rPr>
          <w:sz w:val="24"/>
          <w:szCs w:val="24"/>
          <w:color w:val="auto"/>
        </w:rPr>
      </w:pPr>
    </w:p>
    <w:tbl>
      <w:tblPr>
        <w:tblLayout w:type="fixed"/>
        <w:tblInd w:w="10" w:type="dxa"/>
        <w:tblCellMar>
          <w:top w:w="0" w:type="dxa"/>
          <w:left w:w="0" w:type="dxa"/>
          <w:bottom w:w="0" w:type="dxa"/>
          <w:right w:w="0" w:type="dxa"/>
        </w:tblCellMar>
      </w:tblPr>
      <w:tr>
        <w:trPr>
          <w:trHeight w:val="166"/>
        </w:trPr>
        <w:tc>
          <w:tcPr>
            <w:tcW w:w="3960" w:type="dxa"/>
            <w:vAlign w:val="bottom"/>
          </w:tcPr>
          <w:p>
            <w:pPr>
              <w:spacing w:after="0"/>
              <w:rPr>
                <w:sz w:val="14"/>
                <w:szCs w:val="14"/>
                <w:color w:val="auto"/>
              </w:rPr>
            </w:pPr>
          </w:p>
        </w:tc>
        <w:tc>
          <w:tcPr>
            <w:tcW w:w="35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(Exact names of registrants as specified in their charters)</w:t>
            </w:r>
          </w:p>
        </w:tc>
        <w:tc>
          <w:tcPr>
            <w:tcW w:w="3560" w:type="dxa"/>
            <w:vAlign w:val="bottom"/>
          </w:tcPr>
          <w:p>
            <w:pPr>
              <w:spacing w:after="0"/>
              <w:rPr>
                <w:sz w:val="14"/>
                <w:szCs w:val="14"/>
                <w:color w:val="auto"/>
              </w:rPr>
            </w:pPr>
          </w:p>
        </w:tc>
      </w:tr>
      <w:tr>
        <w:trPr>
          <w:trHeight w:val="243"/>
        </w:trPr>
        <w:tc>
          <w:tcPr>
            <w:tcW w:w="3960" w:type="dxa"/>
            <w:vAlign w:val="bottom"/>
          </w:tcPr>
          <w:p>
            <w:pPr>
              <w:spacing w:after="0"/>
              <w:rPr>
                <w:sz w:val="21"/>
                <w:szCs w:val="21"/>
                <w:color w:val="auto"/>
              </w:rPr>
            </w:pPr>
          </w:p>
        </w:tc>
        <w:tc>
          <w:tcPr>
            <w:tcW w:w="2700" w:type="dxa"/>
            <w:vAlign w:val="bottom"/>
            <w:gridSpan w:val="2"/>
          </w:tcPr>
          <w:p>
            <w:pPr>
              <w:jc w:val="center"/>
              <w:ind w:left="577"/>
              <w:spacing w:after="0"/>
              <w:rPr>
                <w:sz w:val="20"/>
                <w:szCs w:val="20"/>
                <w:color w:val="auto"/>
              </w:rPr>
            </w:pPr>
            <w:r>
              <w:rPr>
                <w:rFonts w:ascii="Times New Roman" w:cs="Times New Roman" w:eastAsia="Times New Roman" w:hAnsi="Times New Roman"/>
                <w:sz w:val="13"/>
                <w:szCs w:val="13"/>
                <w:b w:val="1"/>
                <w:bCs w:val="1"/>
                <w:color w:val="auto"/>
                <w:w w:val="97"/>
              </w:rPr>
              <w:t>________________________________</w:t>
            </w:r>
          </w:p>
        </w:tc>
        <w:tc>
          <w:tcPr>
            <w:tcW w:w="820" w:type="dxa"/>
            <w:vAlign w:val="bottom"/>
          </w:tcPr>
          <w:p>
            <w:pPr>
              <w:spacing w:after="0"/>
              <w:rPr>
                <w:sz w:val="21"/>
                <w:szCs w:val="21"/>
                <w:color w:val="auto"/>
              </w:rPr>
            </w:pPr>
          </w:p>
        </w:tc>
        <w:tc>
          <w:tcPr>
            <w:tcW w:w="3560" w:type="dxa"/>
            <w:vAlign w:val="bottom"/>
          </w:tcPr>
          <w:p>
            <w:pPr>
              <w:spacing w:after="0"/>
              <w:rPr>
                <w:sz w:val="21"/>
                <w:szCs w:val="21"/>
                <w:color w:val="auto"/>
              </w:rPr>
            </w:pPr>
          </w:p>
        </w:tc>
      </w:tr>
      <w:tr>
        <w:trPr>
          <w:trHeight w:val="297"/>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60" w:type="dxa"/>
            <w:vAlign w:val="bottom"/>
          </w:tcPr>
          <w:p>
            <w:pPr>
              <w:jc w:val="center"/>
              <w:ind w:right="1517"/>
              <w:spacing w:after="0"/>
              <w:rPr>
                <w:sz w:val="20"/>
                <w:szCs w:val="20"/>
                <w:color w:val="auto"/>
              </w:rPr>
            </w:pPr>
            <w:r>
              <w:rPr>
                <w:rFonts w:ascii="Times New Roman" w:cs="Times New Roman" w:eastAsia="Times New Roman" w:hAnsi="Times New Roman"/>
                <w:sz w:val="13"/>
                <w:szCs w:val="13"/>
                <w:b w:val="1"/>
                <w:bCs w:val="1"/>
                <w:color w:val="auto"/>
                <w:w w:val="98"/>
              </w:rPr>
              <w:t>47-0961620</w:t>
            </w:r>
          </w:p>
        </w:tc>
      </w:tr>
      <w:tr>
        <w:trPr>
          <w:trHeight w:val="203"/>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60" w:type="dxa"/>
            <w:vAlign w:val="bottom"/>
          </w:tcPr>
          <w:p>
            <w:pPr>
              <w:jc w:val="center"/>
              <w:ind w:right="1517"/>
              <w:spacing w:after="0"/>
              <w:rPr>
                <w:sz w:val="20"/>
                <w:szCs w:val="20"/>
                <w:color w:val="auto"/>
              </w:rPr>
            </w:pPr>
            <w:r>
              <w:rPr>
                <w:rFonts w:ascii="Times New Roman" w:cs="Times New Roman" w:eastAsia="Times New Roman" w:hAnsi="Times New Roman"/>
                <w:sz w:val="13"/>
                <w:szCs w:val="13"/>
                <w:b w:val="1"/>
                <w:bCs w:val="1"/>
                <w:color w:val="auto"/>
                <w:w w:val="98"/>
              </w:rPr>
              <w:t>72-1205791</w:t>
            </w:r>
          </w:p>
        </w:tc>
      </w:tr>
      <w:tr>
        <w:trPr>
          <w:trHeight w:val="203"/>
        </w:trPr>
        <w:tc>
          <w:tcPr>
            <w:tcW w:w="7480" w:type="dxa"/>
            <w:vAlign w:val="bottom"/>
            <w:gridSpan w:val="4"/>
          </w:tcPr>
          <w:p>
            <w:pPr>
              <w:jc w:val="center"/>
              <w:ind w:right="1960"/>
              <w:spacing w:after="0"/>
              <w:rPr>
                <w:sz w:val="20"/>
                <w:szCs w:val="20"/>
                <w:color w:val="auto"/>
              </w:rPr>
            </w:pPr>
            <w:r>
              <w:rPr>
                <w:rFonts w:ascii="Times New Roman" w:cs="Times New Roman" w:eastAsia="Times New Roman" w:hAnsi="Times New Roman"/>
                <w:sz w:val="13"/>
                <w:szCs w:val="13"/>
                <w:b w:val="1"/>
                <w:bCs w:val="1"/>
                <w:i w:val="1"/>
                <w:iCs w:val="1"/>
                <w:color w:val="auto"/>
                <w:w w:val="96"/>
              </w:rPr>
              <w:t>(State or other jurisdiction of incorporation or organization)</w:t>
            </w:r>
          </w:p>
        </w:tc>
        <w:tc>
          <w:tcPr>
            <w:tcW w:w="3560" w:type="dxa"/>
            <w:vAlign w:val="bottom"/>
          </w:tcPr>
          <w:p>
            <w:pPr>
              <w:jc w:val="center"/>
              <w:ind w:right="1537"/>
              <w:spacing w:after="0"/>
              <w:rPr>
                <w:sz w:val="20"/>
                <w:szCs w:val="20"/>
                <w:color w:val="auto"/>
              </w:rPr>
            </w:pPr>
            <w:r>
              <w:rPr>
                <w:rFonts w:ascii="Times New Roman" w:cs="Times New Roman" w:eastAsia="Times New Roman" w:hAnsi="Times New Roman"/>
                <w:sz w:val="13"/>
                <w:szCs w:val="13"/>
                <w:b w:val="1"/>
                <w:bCs w:val="1"/>
                <w:i w:val="1"/>
                <w:iCs w:val="1"/>
                <w:color w:val="auto"/>
                <w:w w:val="96"/>
              </w:rPr>
              <w:t>(I.R.S Employer Identification No.)</w:t>
            </w:r>
          </w:p>
        </w:tc>
      </w:tr>
      <w:tr>
        <w:trPr>
          <w:trHeight w:val="257"/>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7"/>
              </w:rPr>
              <w:t>5321 Corporate Blvd., Baton Rouge, LA</w:t>
            </w:r>
          </w:p>
        </w:tc>
        <w:tc>
          <w:tcPr>
            <w:tcW w:w="4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560" w:type="dxa"/>
            <w:vAlign w:val="bottom"/>
          </w:tcPr>
          <w:p>
            <w:pPr>
              <w:jc w:val="center"/>
              <w:ind w:right="1537"/>
              <w:spacing w:after="0"/>
              <w:rPr>
                <w:sz w:val="20"/>
                <w:szCs w:val="20"/>
                <w:color w:val="auto"/>
              </w:rPr>
            </w:pPr>
            <w:r>
              <w:rPr>
                <w:rFonts w:ascii="Times New Roman" w:cs="Times New Roman" w:eastAsia="Times New Roman" w:hAnsi="Times New Roman"/>
                <w:sz w:val="13"/>
                <w:szCs w:val="13"/>
                <w:b w:val="1"/>
                <w:bCs w:val="1"/>
                <w:color w:val="auto"/>
                <w:w w:val="98"/>
              </w:rPr>
              <w:t>70808</w:t>
            </w:r>
          </w:p>
        </w:tc>
      </w:tr>
      <w:tr>
        <w:trPr>
          <w:trHeight w:val="203"/>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60" w:type="dxa"/>
            <w:vAlign w:val="bottom"/>
          </w:tcPr>
          <w:p>
            <w:pPr>
              <w:jc w:val="center"/>
              <w:ind w:right="151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51"/>
        </w:trPr>
        <w:tc>
          <w:tcPr>
            <w:tcW w:w="7480" w:type="dxa"/>
            <w:vAlign w:val="bottom"/>
            <w:gridSpan w:val="4"/>
          </w:tcPr>
          <w:p>
            <w:pPr>
              <w:ind w:left="3780"/>
              <w:spacing w:after="0"/>
              <w:rPr>
                <w:sz w:val="20"/>
                <w:szCs w:val="20"/>
                <w:color w:val="auto"/>
              </w:rPr>
            </w:pPr>
            <w:r>
              <w:rPr>
                <w:rFonts w:ascii="Times New Roman" w:cs="Times New Roman" w:eastAsia="Times New Roman" w:hAnsi="Times New Roman"/>
                <w:sz w:val="13"/>
                <w:szCs w:val="13"/>
                <w:b w:val="1"/>
                <w:bCs w:val="1"/>
                <w:color w:val="auto"/>
                <w:w w:val="97"/>
              </w:rPr>
              <w:t>Registrants’ telephone number, including area code: (225) 926-1000</w:t>
            </w:r>
          </w:p>
        </w:tc>
        <w:tc>
          <w:tcPr>
            <w:tcW w:w="3560" w:type="dxa"/>
            <w:vAlign w:val="bottom"/>
          </w:tcPr>
          <w:p>
            <w:pPr>
              <w:spacing w:after="0"/>
              <w:rPr>
                <w:sz w:val="24"/>
                <w:szCs w:val="24"/>
                <w:color w:val="auto"/>
              </w:rPr>
            </w:pPr>
          </w:p>
        </w:tc>
      </w:tr>
      <w:tr>
        <w:trPr>
          <w:trHeight w:val="243"/>
        </w:trPr>
        <w:tc>
          <w:tcPr>
            <w:tcW w:w="3960" w:type="dxa"/>
            <w:vAlign w:val="bottom"/>
          </w:tcPr>
          <w:p>
            <w:pPr>
              <w:spacing w:after="0"/>
              <w:rPr>
                <w:sz w:val="21"/>
                <w:szCs w:val="21"/>
                <w:color w:val="auto"/>
              </w:rPr>
            </w:pPr>
          </w:p>
        </w:tc>
        <w:tc>
          <w:tcPr>
            <w:tcW w:w="35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c>
          <w:tcPr>
            <w:tcW w:w="3560" w:type="dxa"/>
            <w:vAlign w:val="bottom"/>
          </w:tcPr>
          <w:p>
            <w:pPr>
              <w:spacing w:after="0"/>
              <w:rPr>
                <w:sz w:val="21"/>
                <w:szCs w:val="21"/>
                <w:color w:val="auto"/>
              </w:rPr>
            </w:pPr>
          </w:p>
        </w:tc>
      </w:tr>
      <w:tr>
        <w:trPr>
          <w:trHeight w:val="124"/>
        </w:trPr>
        <w:tc>
          <w:tcPr>
            <w:tcW w:w="39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560" w:type="dxa"/>
            <w:vAlign w:val="bottom"/>
            <w:tcBorders>
              <w:bottom w:val="single" w:sz="8" w:color="auto"/>
            </w:tcBorders>
          </w:tcPr>
          <w:p>
            <w:pPr>
              <w:spacing w:after="0"/>
              <w:rPr>
                <w:sz w:val="10"/>
                <w:szCs w:val="10"/>
                <w:color w:val="auto"/>
              </w:rPr>
            </w:pPr>
          </w:p>
        </w:tc>
      </w:tr>
      <w:tr>
        <w:trPr>
          <w:trHeight w:val="166"/>
        </w:trPr>
        <w:tc>
          <w:tcPr>
            <w:tcW w:w="3960" w:type="dxa"/>
            <w:vAlign w:val="bottom"/>
            <w:tcBorders>
              <w:left w:val="single" w:sz="8" w:color="auto"/>
            </w:tcBorders>
          </w:tcPr>
          <w:p>
            <w:pPr>
              <w:jc w:val="center"/>
              <w:ind w:left="337"/>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4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820" w:type="dxa"/>
            <w:vAlign w:val="bottom"/>
          </w:tcPr>
          <w:p>
            <w:pPr>
              <w:spacing w:after="0"/>
              <w:rPr>
                <w:sz w:val="14"/>
                <w:szCs w:val="14"/>
                <w:color w:val="auto"/>
              </w:rPr>
            </w:pPr>
          </w:p>
        </w:tc>
        <w:tc>
          <w:tcPr>
            <w:tcW w:w="3560" w:type="dxa"/>
            <w:vAlign w:val="bottom"/>
            <w:tcBorders>
              <w:right w:val="single" w:sz="8" w:color="auto"/>
            </w:tcBorders>
          </w:tcPr>
          <w:p>
            <w:pPr>
              <w:jc w:val="center"/>
              <w:ind w:right="777"/>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30"/>
        </w:trPr>
        <w:tc>
          <w:tcPr>
            <w:tcW w:w="396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167"/>
        </w:trPr>
        <w:tc>
          <w:tcPr>
            <w:tcW w:w="3960" w:type="dxa"/>
            <w:vAlign w:val="bottom"/>
            <w:tcBorders>
              <w:left w:val="single" w:sz="8" w:color="auto"/>
            </w:tcBorders>
          </w:tcPr>
          <w:p>
            <w:pPr>
              <w:jc w:val="center"/>
              <w:ind w:left="337"/>
              <w:spacing w:after="0"/>
              <w:rPr>
                <w:sz w:val="20"/>
                <w:szCs w:val="20"/>
                <w:color w:val="auto"/>
              </w:rPr>
            </w:pPr>
            <w:r>
              <w:rPr>
                <w:rFonts w:ascii="Times New Roman" w:cs="Times New Roman" w:eastAsia="Times New Roman" w:hAnsi="Times New Roman"/>
                <w:sz w:val="13"/>
                <w:szCs w:val="13"/>
                <w:color w:val="auto"/>
                <w:w w:val="97"/>
              </w:rPr>
              <w:t>Class A common stock, $0.001 par value</w:t>
            </w:r>
          </w:p>
        </w:tc>
        <w:tc>
          <w:tcPr>
            <w:tcW w:w="4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LAMR</w:t>
            </w:r>
          </w:p>
        </w:tc>
        <w:tc>
          <w:tcPr>
            <w:tcW w:w="820" w:type="dxa"/>
            <w:vAlign w:val="bottom"/>
          </w:tcPr>
          <w:p>
            <w:pPr>
              <w:spacing w:after="0"/>
              <w:rPr>
                <w:sz w:val="14"/>
                <w:szCs w:val="14"/>
                <w:color w:val="auto"/>
              </w:rPr>
            </w:pPr>
          </w:p>
        </w:tc>
        <w:tc>
          <w:tcPr>
            <w:tcW w:w="3560" w:type="dxa"/>
            <w:vAlign w:val="bottom"/>
            <w:tcBorders>
              <w:right w:val="single" w:sz="8" w:color="auto"/>
            </w:tcBorders>
          </w:tcPr>
          <w:p>
            <w:pPr>
              <w:jc w:val="center"/>
              <w:ind w:right="777"/>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r>
        <w:trPr>
          <w:trHeight w:val="30"/>
        </w:trPr>
        <w:tc>
          <w:tcPr>
            <w:tcW w:w="396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bl>
    <w:p>
      <w:pPr>
        <w:spacing w:after="0" w:line="162"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60"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6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1"/>
          <w:szCs w:val="11"/>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3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ind w:left="2580"/>
              <w:spacing w:after="0"/>
              <w:rPr>
                <w:sz w:val="20"/>
                <w:szCs w:val="20"/>
                <w:color w:val="auto"/>
              </w:rPr>
            </w:pPr>
            <w:r>
              <w:rPr>
                <w:rFonts w:ascii="Times New Roman" w:cs="Times New Roman" w:eastAsia="Times New Roman" w:hAnsi="Times New Roman"/>
                <w:sz w:val="11"/>
                <w:szCs w:val="11"/>
                <w:color w:val="auto"/>
              </w:rPr>
              <w:t>Accelerated filer</w:t>
            </w:r>
          </w:p>
        </w:tc>
        <w:tc>
          <w:tcPr>
            <w:tcW w:w="880" w:type="dxa"/>
            <w:vAlign w:val="bottom"/>
          </w:tcPr>
          <w:p>
            <w:pPr>
              <w:ind w:left="800"/>
              <w:spacing w:after="0" w:line="81" w:lineRule="exact"/>
              <w:rPr>
                <w:sz w:val="20"/>
                <w:szCs w:val="20"/>
                <w:color w:val="auto"/>
              </w:rPr>
            </w:pPr>
            <w:r>
              <w:rPr>
                <w:rFonts w:ascii="MS PGothic" w:cs="MS PGothic" w:eastAsia="MS PGothic" w:hAnsi="MS PGothic"/>
                <w:sz w:val="8"/>
                <w:szCs w:val="8"/>
                <w:color w:val="auto"/>
                <w:w w:val="74"/>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3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ind w:left="258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880" w:type="dxa"/>
            <w:vAlign w:val="bottom"/>
          </w:tcPr>
          <w:p>
            <w:pPr>
              <w:ind w:left="800"/>
              <w:spacing w:after="0" w:line="81" w:lineRule="exact"/>
              <w:rPr>
                <w:sz w:val="20"/>
                <w:szCs w:val="20"/>
                <w:color w:val="auto"/>
              </w:rPr>
            </w:pPr>
            <w:r>
              <w:rPr>
                <w:rFonts w:ascii="MS PGothic" w:cs="MS PGothic" w:eastAsia="MS PGothic" w:hAnsi="MS PGothic"/>
                <w:sz w:val="8"/>
                <w:szCs w:val="8"/>
                <w:color w:val="auto"/>
                <w:w w:val="74"/>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3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81"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6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1"/>
          <w:szCs w:val="11"/>
          <w:color w:val="auto"/>
        </w:rPr>
        <w:t>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500" w:type="dxa"/>
            <w:vAlign w:val="bottom"/>
          </w:tcPr>
          <w:p>
            <w:pPr>
              <w:ind w:left="660"/>
              <w:spacing w:after="0" w:line="111" w:lineRule="exact"/>
              <w:rPr>
                <w:sz w:val="20"/>
                <w:szCs w:val="20"/>
                <w:color w:val="auto"/>
              </w:rPr>
            </w:pPr>
            <w:r>
              <w:rPr>
                <w:rFonts w:ascii="MS PGothic" w:cs="MS PGothic" w:eastAsia="MS PGothic" w:hAnsi="MS PGothic"/>
                <w:sz w:val="11"/>
                <w:szCs w:val="11"/>
                <w:color w:val="auto"/>
              </w:rPr>
              <w:t>☐</w:t>
            </w:r>
          </w:p>
        </w:tc>
        <w:tc>
          <w:tcPr>
            <w:tcW w:w="4580" w:type="dxa"/>
            <w:vAlign w:val="bottom"/>
          </w:tcPr>
          <w:p>
            <w:pPr>
              <w:ind w:left="2760"/>
              <w:spacing w:after="0"/>
              <w:rPr>
                <w:sz w:val="20"/>
                <w:szCs w:val="20"/>
                <w:color w:val="auto"/>
              </w:rPr>
            </w:pPr>
            <w:r>
              <w:rPr>
                <w:rFonts w:ascii="Times New Roman" w:cs="Times New Roman" w:eastAsia="Times New Roman" w:hAnsi="Times New Roman"/>
                <w:sz w:val="11"/>
                <w:szCs w:val="11"/>
                <w:color w:val="auto"/>
              </w:rPr>
              <w:t>Accelerated filer</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500" w:type="dxa"/>
            <w:vAlign w:val="bottom"/>
          </w:tcPr>
          <w:p>
            <w:pPr>
              <w:ind w:left="660"/>
              <w:spacing w:after="0" w:line="111" w:lineRule="exact"/>
              <w:rPr>
                <w:sz w:val="20"/>
                <w:szCs w:val="20"/>
                <w:color w:val="auto"/>
              </w:rPr>
            </w:pPr>
            <w:r>
              <w:rPr>
                <w:rFonts w:ascii="MS PGothic" w:cs="MS PGothic" w:eastAsia="MS PGothic" w:hAnsi="MS PGothic"/>
                <w:sz w:val="11"/>
                <w:szCs w:val="11"/>
                <w:color w:val="auto"/>
              </w:rPr>
              <w:t>☒</w:t>
            </w:r>
          </w:p>
        </w:tc>
        <w:tc>
          <w:tcPr>
            <w:tcW w:w="4580" w:type="dxa"/>
            <w:vAlign w:val="bottom"/>
          </w:tcPr>
          <w:p>
            <w:pPr>
              <w:ind w:left="27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500" w:type="dxa"/>
            <w:vAlign w:val="bottom"/>
          </w:tcPr>
          <w:p>
            <w:pPr>
              <w:ind w:left="660"/>
              <w:spacing w:after="0" w:line="111" w:lineRule="exact"/>
              <w:rPr>
                <w:sz w:val="20"/>
                <w:szCs w:val="20"/>
                <w:color w:val="auto"/>
              </w:rPr>
            </w:pPr>
            <w:r>
              <w:rPr>
                <w:rFonts w:ascii="MS PGothic" w:cs="MS PGothic" w:eastAsia="MS PGothic" w:hAnsi="MS PGothic"/>
                <w:sz w:val="11"/>
                <w:szCs w:val="11"/>
                <w:color w:val="auto"/>
              </w:rPr>
              <w:t>☐</w:t>
            </w:r>
          </w:p>
        </w:tc>
        <w:tc>
          <w:tcPr>
            <w:tcW w:w="458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181" w:lineRule="exact"/>
        <w:rPr>
          <w:sz w:val="24"/>
          <w:szCs w:val="24"/>
          <w:color w:val="auto"/>
        </w:rPr>
      </w:pPr>
    </w:p>
    <w:p>
      <w:pPr>
        <w:ind w:right="20"/>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36" w:lineRule="exact"/>
        <w:rPr>
          <w:sz w:val="24"/>
          <w:szCs w:val="24"/>
          <w:color w:val="auto"/>
        </w:rPr>
      </w:pPr>
    </w:p>
    <w:p>
      <w:pPr>
        <w:spacing w:after="0" w:line="127" w:lineRule="exact"/>
        <w:tabs>
          <w:tab w:leader="none" w:pos="5700" w:val="left"/>
          <w:tab w:leader="none" w:pos="6120" w:val="left"/>
        </w:tabs>
        <w:rPr>
          <w:sz w:val="20"/>
          <w:szCs w:val="20"/>
          <w:color w:val="auto"/>
        </w:rPr>
      </w:pPr>
      <w:r>
        <w:rPr>
          <w:rFonts w:ascii="Times New Roman" w:cs="Times New Roman" w:eastAsia="Times New Roman" w:hAnsi="Times New Roman"/>
          <w:sz w:val="11"/>
          <w:szCs w:val="11"/>
          <w:color w:val="auto"/>
        </w:rPr>
        <w:t>Indicate by check mark whether Lamar Advertising Company is a shell company (as defined in Rule 12b-2 of the Exchange Act):</w:t>
        <w:tab/>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94" w:lineRule="exact"/>
        <w:rPr>
          <w:sz w:val="24"/>
          <w:szCs w:val="24"/>
          <w:color w:val="auto"/>
        </w:rPr>
      </w:pPr>
    </w:p>
    <w:p>
      <w:pPr>
        <w:spacing w:after="0" w:line="127" w:lineRule="exact"/>
        <w:tabs>
          <w:tab w:leader="none" w:pos="5280" w:val="left"/>
          <w:tab w:leader="none" w:pos="5700" w:val="left"/>
        </w:tabs>
        <w:rPr>
          <w:sz w:val="20"/>
          <w:szCs w:val="20"/>
          <w:color w:val="auto"/>
        </w:rPr>
      </w:pPr>
      <w:r>
        <w:rPr>
          <w:rFonts w:ascii="Times New Roman" w:cs="Times New Roman" w:eastAsia="Times New Roman" w:hAnsi="Times New Roman"/>
          <w:sz w:val="11"/>
          <w:szCs w:val="11"/>
          <w:color w:val="auto"/>
        </w:rPr>
        <w:t>Indicate by check mark whether Lamar Media Corp. is a shell company (as defined in Rule 12b-2 of the Exchange Act):</w:t>
        <w:tab/>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Lamar Advertising Company’s Class A common stock outstanding as of October 30, 2026: 87,160,261</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the Lamar Advertising Company’s Class B common stock outstanding as of October 30, 2026: 14,420,085</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Lamar Media Corp. common stock outstanding as of October 30, 2026: 100</w:t>
      </w:r>
    </w:p>
    <w:p>
      <w:pPr>
        <w:spacing w:after="0" w:line="88"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1"/>
          <w:szCs w:val="11"/>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247" w:lineRule="exact"/>
        <w:rPr>
          <w:sz w:val="20"/>
          <w:szCs w:val="20"/>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condition;</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objectives, prospects, growth and operating strategies;</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expenditures and level of acquisition activity;</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assets and realize operating efficiency from acquisitions;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opportunities and competitive positions;</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cash flows and expected cash requirements;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risks;</w:t>
      </w:r>
    </w:p>
    <w:p>
      <w:pPr>
        <w:spacing w:after="0" w:line="103" w:lineRule="exact"/>
        <w:rPr>
          <w:rFonts w:ascii="Times New Roman" w:cs="Times New Roman" w:eastAsia="Times New Roman" w:hAnsi="Times New Roman"/>
          <w:sz w:val="18"/>
          <w:szCs w:val="18"/>
          <w:color w:val="auto"/>
        </w:rPr>
      </w:pPr>
    </w:p>
    <w:p>
      <w:pPr>
        <w:ind w:left="1140" w:right="20" w:hanging="565"/>
        <w:spacing w:after="0" w:line="35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covenants and restrictions included in Lamar Media’s senior credit facility, Accounts Receivable Securitization Program and the indentures relating to its outstanding notes;</w:t>
      </w: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distributions to our stockholders; and</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qualified as a Real Estate Investment Trust (“REIT”).</w:t>
      </w:r>
    </w:p>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247" w:lineRule="exact"/>
        <w:rPr>
          <w:sz w:val="20"/>
          <w:szCs w:val="20"/>
          <w:color w:val="auto"/>
        </w:rPr>
      </w:pPr>
    </w:p>
    <w:p>
      <w:pPr>
        <w:jc w:val="both"/>
        <w:ind w:left="1140" w:hanging="565"/>
        <w:spacing w:after="0" w:line="354"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economy and financial markets generally and their effects on the markets in which we operate and the broader demand for advertising including economic changes that may result from new or increased tariffs, trade restrictions or geopolitical tensions, including war and armed conflicts;</w:t>
      </w:r>
    </w:p>
    <w:p>
      <w:pPr>
        <w:spacing w:after="0" w:line="2"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expenditures on advertising in general and outdoor advertising in particular;</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relating to our significant indebtedness;</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outdoor advertising and its continued popularity as an advertising medium;</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and ability to obtain, additional funding for acquisitions, operations and debt refinancing;</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the outdoor advertising industry;</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the outdoor advertising industry by federal, state and local governments;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expiring contracts at favorable rates;</w:t>
      </w:r>
    </w:p>
    <w:p>
      <w:pPr>
        <w:spacing w:after="0" w:line="90" w:lineRule="exact"/>
        <w:rPr>
          <w:rFonts w:ascii="Times New Roman" w:cs="Times New Roman" w:eastAsia="Times New Roman" w:hAnsi="Times New Roman"/>
          <w:sz w:val="18"/>
          <w:szCs w:val="18"/>
          <w:color w:val="auto"/>
        </w:rPr>
      </w:pPr>
    </w:p>
    <w:p>
      <w:pPr>
        <w:ind w:left="1140" w:hanging="565"/>
        <w:spacing w:after="0" w:line="360"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businesses and assets that we acquire and our ability to recognize cost savings and operating efficiencies as a result of these acquisitions;</w:t>
      </w: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digital deployment strategy;</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Class A common stock;</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mitigate the threat of and damages caused by hurricanes and other kinds of severe weather;</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 and</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applicable to REITs or in the interpretation of those laws.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Company and Lamar Media Corp. expressly disclaim any obligation or undertaking to update or revise any forward-looking statement contained in this report, except as required by law.</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a further description of these and other risks and uncertainties, the Company encourages you to read carefully Item 1A to the combined Annual Report on Form 10-K for the year ended December 31, 2025 of the Company and Lamar Media (the “2025 Combined Form 10-K”), filed on February 20, 2026,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044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0440" w:type="dxa"/>
            <w:vAlign w:val="bottom"/>
            <w:gridSpan w:val="21"/>
            <w:vMerge w:val="continue"/>
          </w:tcPr>
          <w:p>
            <w:pPr>
              <w:spacing w:after="0"/>
              <w:rPr>
                <w:sz w:val="15"/>
                <w:szCs w:val="15"/>
                <w:color w:val="auto"/>
              </w:rPr>
            </w:pPr>
          </w:p>
        </w:tc>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66"/>
        </w:trPr>
        <w:tc>
          <w:tcPr>
            <w:tcW w:w="30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38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93"/>
        </w:trPr>
        <w:tc>
          <w:tcPr>
            <w:tcW w:w="28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auto"/>
              </w:rPr>
              <w:t>Lamar Advertising Company</w:t>
            </w:r>
          </w:p>
        </w:tc>
        <w:tc>
          <w:tcPr>
            <w:tcW w:w="762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9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2026 and December 31, 2025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9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and Comprehensive Income for the three and nine months ended September 30, 2026 and</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660" w:type="dxa"/>
            <w:vAlign w:val="bottom"/>
            <w:tcBorders>
              <w:top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rPr>
              <w:t>2025</w:t>
            </w:r>
          </w:p>
        </w:tc>
        <w:tc>
          <w:tcPr>
            <w:tcW w:w="1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92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nine months ended September 30, 2026 and 2025</w:t>
            </w:r>
          </w:p>
        </w:tc>
        <w:tc>
          <w:tcPr>
            <w:tcW w:w="760" w:type="dxa"/>
            <w:vAlign w:val="bottom"/>
            <w:gridSpan w:val="3"/>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9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2026 and 2025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78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160" w:type="dxa"/>
            <w:vAlign w:val="bottom"/>
            <w:gridSpan w:val="5"/>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4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Lamar Media Corp.</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9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2026 and December 31, 2025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9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and Comprehensive Income for the three and nine months ended September 30, 2026 and</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660" w:type="dxa"/>
            <w:vAlign w:val="bottom"/>
            <w:tcBorders>
              <w:top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rPr>
              <w:t>2025</w:t>
            </w:r>
          </w:p>
        </w:tc>
        <w:tc>
          <w:tcPr>
            <w:tcW w:w="1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9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2026 and 2025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91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2026 and 2025</w:t>
            </w:r>
          </w:p>
        </w:tc>
        <w:tc>
          <w:tcPr>
            <w:tcW w:w="800" w:type="dxa"/>
            <w:vAlign w:val="bottom"/>
            <w:gridSpan w:val="4"/>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78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160" w:type="dxa"/>
            <w:vAlign w:val="bottom"/>
            <w:gridSpan w:val="5"/>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358"/>
        </w:trPr>
        <w:tc>
          <w:tcPr>
            <w:tcW w:w="50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3320" w:type="dxa"/>
            <w:vAlign w:val="bottom"/>
            <w:gridSpan w:val="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398"/>
        </w:trPr>
        <w:tc>
          <w:tcPr>
            <w:tcW w:w="24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800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398"/>
        </w:trPr>
        <w:tc>
          <w:tcPr>
            <w:tcW w:w="2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68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399"/>
        </w:trPr>
        <w:tc>
          <w:tcPr>
            <w:tcW w:w="104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0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42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398"/>
        </w:trPr>
        <w:tc>
          <w:tcPr>
            <w:tcW w:w="104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399"/>
        </w:trPr>
        <w:tc>
          <w:tcPr>
            <w:tcW w:w="12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tcBorders>
              <w:top w:val="single" w:sz="8" w:color="0000FF"/>
            </w:tcBorders>
            <w:gridSpan w:val="2"/>
          </w:tcPr>
          <w:p>
            <w:pPr>
              <w:spacing w:after="0"/>
              <w:rPr>
                <w:sz w:val="24"/>
                <w:szCs w:val="24"/>
                <w:color w:val="auto"/>
              </w:rPr>
            </w:pPr>
          </w:p>
        </w:tc>
        <w:tc>
          <w:tcPr>
            <w:tcW w:w="846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220" w:type="dxa"/>
            <w:vAlign w:val="bottom"/>
          </w:tcPr>
          <w:p>
            <w:pPr>
              <w:spacing w:after="0"/>
              <w:rPr>
                <w:sz w:val="11"/>
                <w:szCs w:val="11"/>
                <w:color w:val="auto"/>
              </w:rPr>
            </w:pPr>
          </w:p>
        </w:tc>
        <w:tc>
          <w:tcPr>
            <w:tcW w:w="1100" w:type="dxa"/>
            <w:vAlign w:val="bottom"/>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489"/>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8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39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64,812</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Receivables, net of allowance for doubtful accounts of $12,772 and $11,856 in 2026 and 2025, respectively</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341,222</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46,299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53,689</w:t>
            </w: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463,934</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459,723</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4,892,398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4,766,872</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(3,169,171)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(3,087,972)</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1,723,227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1,678,900</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 of use assets</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1,509,061</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1,504,170</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lease right of use assets</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2,111,175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2,111,257</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1,154,773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1,113,829</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58,597</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7,028,526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6,931,954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Trade accounts payable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18,123</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16,469</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maturities of long-term debt, net of deferred financing costs of $234 and $396 in 2026 and 2025, respectively</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250,225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250,044</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232,457</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financing lease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137,478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138,675</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income</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179,502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155,067</w:t>
            </w: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788,661</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794,043</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deferred financing costs of $24,337 and $29,517 in 2026 and 2025, respectively</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3,250,914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3,168,863</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1,256,299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1,254,080</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lease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631,354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624,925</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54,851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52,563</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5,996,135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5,907,175</w:t>
            </w:r>
          </w:p>
        </w:tc>
        <w:tc>
          <w:tcPr>
            <w:tcW w:w="0" w:type="dxa"/>
            <w:vAlign w:val="bottom"/>
          </w:tcPr>
          <w:p>
            <w:pPr>
              <w:spacing w:after="0"/>
              <w:rPr>
                <w:sz w:val="1"/>
                <w:szCs w:val="1"/>
                <w:color w:val="auto"/>
              </w:rPr>
            </w:pPr>
          </w:p>
        </w:tc>
      </w:tr>
      <w:tr>
        <w:trPr>
          <w:trHeight w:val="17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Series AA preferred stock, par value $0.001, $63.80 cumulative dividends, 5,720 shares authorized; 5,720 shares issued and outstanding at</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2026 and 2025</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Class A common stock, par value $0.001, 362,500,000 shares authorized; 89,544,489 and 89,249,234 shares issued at 2026 and 2025,</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respectively; 87,160,261 and 86,910,542 outstanding at 2026 and 2025, respectively</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Class B common stock, par value $0.001, 37,500,000 shares authorized, 14,420,085 shares issued and outstanding at 2026 and 2025</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2"/>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2,432,183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2,350,546</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Accumulated comprehensive loss</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0" w:type="dxa"/>
            <w:vAlign w:val="bottom"/>
          </w:tcPr>
          <w:p>
            <w:pPr>
              <w:spacing w:after="0"/>
              <w:rPr>
                <w:sz w:val="1"/>
                <w:szCs w:val="1"/>
                <w:color w:val="auto"/>
              </w:rPr>
            </w:pPr>
          </w:p>
        </w:tc>
      </w:tr>
      <w:tr>
        <w:trPr>
          <w:trHeight w:val="192"/>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(1,175,338)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(1,105,651)</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Cost of shares held in treasury, 2,384,228 and 2,338,692 shares at 2026 and 2025, respectively</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(236,692)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(230,609)</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13,193</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1,032,391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1,024,779</w:t>
            </w:r>
          </w:p>
        </w:tc>
        <w:tc>
          <w:tcPr>
            <w:tcW w:w="0" w:type="dxa"/>
            <w:vAlign w:val="bottom"/>
          </w:tcPr>
          <w:p>
            <w:pPr>
              <w:spacing w:after="0"/>
              <w:rPr>
                <w:sz w:val="1"/>
                <w:szCs w:val="1"/>
                <w:color w:val="auto"/>
              </w:rPr>
            </w:pPr>
          </w:p>
        </w:tc>
      </w:tr>
      <w:tr>
        <w:trPr>
          <w:trHeight w:val="218"/>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7,028,526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6,931,954</w:t>
            </w:r>
          </w:p>
        </w:tc>
        <w:tc>
          <w:tcPr>
            <w:tcW w:w="0" w:type="dxa"/>
            <w:vAlign w:val="bottom"/>
          </w:tcPr>
          <w:p>
            <w:pPr>
              <w:spacing w:after="0"/>
              <w:rPr>
                <w:sz w:val="1"/>
                <w:szCs w:val="1"/>
                <w:color w:val="auto"/>
              </w:rPr>
            </w:pPr>
          </w:p>
        </w:tc>
      </w:tr>
      <w:tr>
        <w:trPr>
          <w:trHeight w:val="25"/>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48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6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624,468</w:t>
            </w:r>
          </w:p>
        </w:tc>
        <w:tc>
          <w:tcPr>
            <w:tcW w:w="12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585,541</w:t>
            </w: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1,769,221</w:t>
            </w:r>
          </w:p>
        </w:tc>
        <w:tc>
          <w:tcPr>
            <w:tcW w:w="12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1,670,282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 (income):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 advertising expenses (exclusive of depreciation and amortization)</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196,381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573,919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554,489</w:t>
            </w:r>
          </w:p>
        </w:tc>
        <w:tc>
          <w:tcPr>
            <w:tcW w:w="0" w:type="dxa"/>
            <w:vAlign w:val="bottom"/>
          </w:tcPr>
          <w:p>
            <w:pPr>
              <w:spacing w:after="0"/>
              <w:rPr>
                <w:sz w:val="1"/>
                <w:szCs w:val="1"/>
                <w:color w:val="auto"/>
              </w:rPr>
            </w:pPr>
          </w:p>
        </w:tc>
      </w:tr>
      <w:tr>
        <w:trPr>
          <w:trHeight w:val="253"/>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 expenses (exclusive of depreciation and amortization)</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100,697</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93,000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294,504</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277,307</w:t>
            </w:r>
          </w:p>
        </w:tc>
        <w:tc>
          <w:tcPr>
            <w:tcW w:w="0" w:type="dxa"/>
            <w:vAlign w:val="bottom"/>
          </w:tcPr>
          <w:p>
            <w:pPr>
              <w:spacing w:after="0"/>
              <w:rPr>
                <w:sz w:val="1"/>
                <w:szCs w:val="1"/>
                <w:color w:val="auto"/>
              </w:rPr>
            </w:pPr>
          </w:p>
        </w:tc>
      </w:tr>
      <w:tr>
        <w:trPr>
          <w:trHeight w:val="233"/>
        </w:trPr>
        <w:tc>
          <w:tcPr>
            <w:tcW w:w="5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expenses (exclusive of depreciation and amortization)</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102,470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94,397</w:t>
            </w:r>
          </w:p>
        </w:tc>
        <w:tc>
          <w:tcPr>
            <w:tcW w:w="0" w:type="dxa"/>
            <w:vAlign w:val="bottom"/>
          </w:tcPr>
          <w:p>
            <w:pPr>
              <w:spacing w:after="0"/>
              <w:rPr>
                <w:sz w:val="1"/>
                <w:szCs w:val="1"/>
                <w:color w:val="auto"/>
              </w:rPr>
            </w:pPr>
          </w:p>
        </w:tc>
      </w:tr>
      <w:tr>
        <w:trPr>
          <w:trHeight w:val="253"/>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100,636</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86,276</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267,021</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242,207</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Gain on disposition of assets and investments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(16,866)</w:t>
            </w:r>
          </w:p>
        </w:tc>
        <w:tc>
          <w:tcPr>
            <w:tcW w:w="12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(32,153)</w:t>
            </w:r>
          </w:p>
        </w:tc>
        <w:tc>
          <w:tcPr>
            <w:tcW w:w="12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(76,116)</w:t>
            </w:r>
          </w:p>
        </w:tc>
        <w:tc>
          <w:tcPr>
            <w:tcW w:w="0" w:type="dxa"/>
            <w:vAlign w:val="bottom"/>
          </w:tcPr>
          <w:p>
            <w:pPr>
              <w:spacing w:after="0"/>
              <w:rPr>
                <w:sz w:val="1"/>
                <w:szCs w:val="1"/>
                <w:color w:val="auto"/>
              </w:rPr>
            </w:pPr>
          </w:p>
        </w:tc>
      </w:tr>
      <w:tr>
        <w:trPr>
          <w:trHeight w:val="237"/>
        </w:trPr>
        <w:tc>
          <w:tcPr>
            <w:tcW w:w="56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415,031</w:t>
            </w:r>
          </w:p>
        </w:tc>
        <w:tc>
          <w:tcPr>
            <w:tcW w:w="12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396,457</w:t>
            </w:r>
          </w:p>
        </w:tc>
        <w:tc>
          <w:tcPr>
            <w:tcW w:w="1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1,205,761</w:t>
            </w:r>
          </w:p>
        </w:tc>
        <w:tc>
          <w:tcPr>
            <w:tcW w:w="12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1,092,284</w:t>
            </w:r>
          </w:p>
        </w:tc>
        <w:tc>
          <w:tcPr>
            <w:tcW w:w="0" w:type="dxa"/>
            <w:vAlign w:val="bottom"/>
          </w:tcPr>
          <w:p>
            <w:pPr>
              <w:spacing w:after="0"/>
              <w:rPr>
                <w:sz w:val="1"/>
                <w:szCs w:val="1"/>
                <w:color w:val="auto"/>
              </w:rPr>
            </w:pPr>
          </w:p>
        </w:tc>
      </w:tr>
      <w:tr>
        <w:trPr>
          <w:trHeight w:val="233"/>
        </w:trPr>
        <w:tc>
          <w:tcPr>
            <w:tcW w:w="5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209,437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563,460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577,998</w:t>
            </w:r>
          </w:p>
        </w:tc>
        <w:tc>
          <w:tcPr>
            <w:tcW w:w="0" w:type="dxa"/>
            <w:vAlign w:val="bottom"/>
          </w:tcPr>
          <w:p>
            <w:pPr>
              <w:spacing w:after="0"/>
              <w:rPr>
                <w:sz w:val="1"/>
                <w:szCs w:val="1"/>
                <w:color w:val="auto"/>
              </w:rPr>
            </w:pPr>
          </w:p>
        </w:tc>
      </w:tr>
      <w:tr>
        <w:trPr>
          <w:trHeight w:val="25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0" w:type="dxa"/>
            <w:vAlign w:val="bottom"/>
          </w:tcPr>
          <w:p>
            <w:pPr>
              <w:spacing w:after="0"/>
              <w:rPr>
                <w:sz w:val="1"/>
                <w:szCs w:val="1"/>
                <w:color w:val="auto"/>
              </w:rPr>
            </w:pPr>
          </w:p>
        </w:tc>
      </w:tr>
      <w:tr>
        <w:trPr>
          <w:trHeight w:val="253"/>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0" w:type="dxa"/>
            <w:vAlign w:val="bottom"/>
          </w:tcPr>
          <w:p>
            <w:pPr>
              <w:spacing w:after="0"/>
              <w:rPr>
                <w:sz w:val="1"/>
                <w:szCs w:val="1"/>
                <w:color w:val="auto"/>
              </w:rPr>
            </w:pPr>
          </w:p>
        </w:tc>
      </w:tr>
      <w:tr>
        <w:trPr>
          <w:trHeight w:val="233"/>
        </w:trPr>
        <w:tc>
          <w:tcPr>
            <w:tcW w:w="5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41,196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122,840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120,221</w:t>
            </w:r>
          </w:p>
        </w:tc>
        <w:tc>
          <w:tcPr>
            <w:tcW w:w="0" w:type="dxa"/>
            <w:vAlign w:val="bottom"/>
          </w:tcPr>
          <w:p>
            <w:pPr>
              <w:spacing w:after="0"/>
              <w:rPr>
                <w:sz w:val="1"/>
                <w:szCs w:val="1"/>
                <w:color w:val="auto"/>
              </w:rPr>
            </w:pPr>
          </w:p>
        </w:tc>
      </w:tr>
      <w:tr>
        <w:trPr>
          <w:trHeight w:val="246"/>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in earnings of investee</w:t>
            </w: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40,785</w:t>
            </w:r>
          </w:p>
        </w:tc>
        <w:tc>
          <w:tcPr>
            <w:tcW w:w="12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42,443</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121,530</w:t>
            </w:r>
          </w:p>
        </w:tc>
        <w:tc>
          <w:tcPr>
            <w:tcW w:w="12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120,180</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 expense</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168,652</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146,641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441,930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457,818</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3,628</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10,421</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19,498</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165,024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431,509</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438,320</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7,603</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controlling interest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161,870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141,753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423,906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434,863</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dividends declared and paid on preferred stock</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6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applicable to common stock</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161,779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423,633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434,590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per share of common stock</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used in computing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101,552,429</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101,234,505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101,473,753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101,643,527</w:t>
            </w:r>
          </w:p>
        </w:tc>
        <w:tc>
          <w:tcPr>
            <w:tcW w:w="0" w:type="dxa"/>
            <w:vAlign w:val="bottom"/>
          </w:tcPr>
          <w:p>
            <w:pPr>
              <w:spacing w:after="0"/>
              <w:rPr>
                <w:sz w:val="1"/>
                <w:szCs w:val="1"/>
                <w:color w:val="auto"/>
              </w:rPr>
            </w:pPr>
          </w:p>
        </w:tc>
      </w:tr>
      <w:tr>
        <w:trPr>
          <w:trHeight w:val="233"/>
        </w:trPr>
        <w:tc>
          <w:tcPr>
            <w:tcW w:w="5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101,663,105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101,309,203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101,581,005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101,720,659</w:t>
            </w:r>
          </w:p>
        </w:tc>
        <w:tc>
          <w:tcPr>
            <w:tcW w:w="0" w:type="dxa"/>
            <w:vAlign w:val="bottom"/>
          </w:tcPr>
          <w:p>
            <w:pPr>
              <w:spacing w:after="0"/>
              <w:rPr>
                <w:sz w:val="1"/>
                <w:szCs w:val="1"/>
                <w:color w:val="auto"/>
              </w:rPr>
            </w:pPr>
          </w:p>
        </w:tc>
      </w:tr>
      <w:tr>
        <w:trPr>
          <w:trHeight w:val="25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Comprehensive Income</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165,024</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144,075</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431,509</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438,320</w:t>
            </w:r>
          </w:p>
        </w:tc>
        <w:tc>
          <w:tcPr>
            <w:tcW w:w="0" w:type="dxa"/>
            <w:vAlign w:val="bottom"/>
          </w:tcPr>
          <w:p>
            <w:pPr>
              <w:spacing w:after="0"/>
              <w:rPr>
                <w:sz w:val="1"/>
                <w:szCs w:val="1"/>
                <w:color w:val="auto"/>
              </w:rPr>
            </w:pPr>
          </w:p>
        </w:tc>
      </w:tr>
      <w:tr>
        <w:trPr>
          <w:trHeight w:val="25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165,785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431,398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438,344</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7,603</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0" w:type="dxa"/>
            <w:vAlign w:val="bottom"/>
          </w:tcPr>
          <w:p>
            <w:pPr>
              <w:spacing w:after="0"/>
              <w:rPr>
                <w:sz w:val="1"/>
                <w:szCs w:val="1"/>
                <w:color w:val="auto"/>
              </w:rPr>
            </w:pPr>
          </w:p>
        </w:tc>
      </w:tr>
      <w:tr>
        <w:trPr>
          <w:trHeight w:val="26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controlling interest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162,631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423,795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434,887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900" w:type="dxa"/>
            <w:vAlign w:val="bottom"/>
          </w:tcPr>
          <w:p>
            <w:pPr>
              <w:spacing w:after="0"/>
              <w:rPr>
                <w:sz w:val="9"/>
                <w:szCs w:val="9"/>
                <w:color w:val="auto"/>
              </w:rPr>
            </w:pPr>
          </w:p>
        </w:tc>
        <w:tc>
          <w:tcPr>
            <w:tcW w:w="560" w:type="dxa"/>
            <w:vAlign w:val="bottom"/>
          </w:tcPr>
          <w:p>
            <w:pPr>
              <w:jc w:val="center"/>
              <w:ind w:left="125"/>
              <w:spacing w:after="0"/>
              <w:rPr>
                <w:sz w:val="20"/>
                <w:szCs w:val="20"/>
                <w:color w:val="auto"/>
              </w:rPr>
            </w:pPr>
            <w:r>
              <w:rPr>
                <w:rFonts w:ascii="Times New Roman" w:cs="Times New Roman" w:eastAsia="Times New Roman" w:hAnsi="Times New Roman"/>
                <w:sz w:val="9"/>
                <w:szCs w:val="9"/>
                <w:b w:val="1"/>
                <w:bCs w:val="1"/>
                <w:color w:val="auto"/>
                <w:w w:val="99"/>
              </w:rPr>
              <w:t>Series AA</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Class A</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7"/>
              </w:rPr>
              <w:t>Class B</w:t>
            </w: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Add’l</w:t>
            </w:r>
          </w:p>
        </w:tc>
        <w:tc>
          <w:tcPr>
            <w:tcW w:w="100" w:type="dxa"/>
            <w:vAlign w:val="bottom"/>
          </w:tcPr>
          <w:p>
            <w:pPr>
              <w:spacing w:after="0"/>
              <w:rPr>
                <w:sz w:val="9"/>
                <w:szCs w:val="9"/>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900" w:type="dxa"/>
            <w:vAlign w:val="bottom"/>
          </w:tcPr>
          <w:p>
            <w:pPr>
              <w:spacing w:after="0"/>
              <w:rPr>
                <w:sz w:val="9"/>
                <w:szCs w:val="9"/>
                <w:color w:val="auto"/>
              </w:rPr>
            </w:pPr>
          </w:p>
        </w:tc>
        <w:tc>
          <w:tcPr>
            <w:tcW w:w="560" w:type="dxa"/>
            <w:vAlign w:val="bottom"/>
          </w:tcPr>
          <w:p>
            <w:pPr>
              <w:jc w:val="center"/>
              <w:ind w:left="145"/>
              <w:spacing w:after="0"/>
              <w:rPr>
                <w:sz w:val="20"/>
                <w:szCs w:val="20"/>
                <w:color w:val="auto"/>
              </w:rPr>
            </w:pPr>
            <w:r>
              <w:rPr>
                <w:rFonts w:ascii="Times New Roman" w:cs="Times New Roman" w:eastAsia="Times New Roman" w:hAnsi="Times New Roman"/>
                <w:sz w:val="9"/>
                <w:szCs w:val="9"/>
                <w:b w:val="1"/>
                <w:bCs w:val="1"/>
                <w:color w:val="auto"/>
              </w:rPr>
              <w:t>PREF</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9"/>
                <w:szCs w:val="9"/>
                <w:b w:val="1"/>
                <w:bCs w:val="1"/>
                <w:color w:val="auto"/>
              </w:rPr>
              <w:t>CMN</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CMN</w:t>
            </w:r>
          </w:p>
        </w:tc>
        <w:tc>
          <w:tcPr>
            <w:tcW w:w="180" w:type="dxa"/>
            <w:vAlign w:val="bottom"/>
          </w:tcPr>
          <w:p>
            <w:pPr>
              <w:spacing w:after="0"/>
              <w:rPr>
                <w:sz w:val="9"/>
                <w:szCs w:val="9"/>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Treasury</w:t>
            </w:r>
          </w:p>
        </w:tc>
        <w:tc>
          <w:tcPr>
            <w:tcW w:w="180" w:type="dxa"/>
            <w:vAlign w:val="bottom"/>
          </w:tcPr>
          <w:p>
            <w:pPr>
              <w:spacing w:after="0"/>
              <w:rPr>
                <w:sz w:val="9"/>
                <w:szCs w:val="9"/>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5"/>
              </w:rPr>
              <w:t>Paid in</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9"/>
              </w:rPr>
              <w:t>Comprehensive</w:t>
            </w:r>
          </w:p>
        </w:tc>
        <w:tc>
          <w:tcPr>
            <w:tcW w:w="140" w:type="dxa"/>
            <w:vAlign w:val="bottom"/>
          </w:tcPr>
          <w:p>
            <w:pPr>
              <w:spacing w:after="0"/>
              <w:rPr>
                <w:sz w:val="9"/>
                <w:szCs w:val="9"/>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8"/>
              </w:rPr>
              <w:t>Non-controlling</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18"/>
        </w:trPr>
        <w:tc>
          <w:tcPr>
            <w:tcW w:w="2900" w:type="dxa"/>
            <w:vAlign w:val="bottom"/>
          </w:tcPr>
          <w:p>
            <w:pPr>
              <w:spacing w:after="0"/>
              <w:rPr>
                <w:sz w:val="10"/>
                <w:szCs w:val="10"/>
                <w:color w:val="auto"/>
              </w:rPr>
            </w:pPr>
          </w:p>
        </w:tc>
        <w:tc>
          <w:tcPr>
            <w:tcW w:w="560" w:type="dxa"/>
            <w:vAlign w:val="bottom"/>
          </w:tcPr>
          <w:p>
            <w:pPr>
              <w:jc w:val="center"/>
              <w:ind w:left="125"/>
              <w:spacing w:after="0"/>
              <w:rPr>
                <w:sz w:val="20"/>
                <w:szCs w:val="20"/>
                <w:color w:val="auto"/>
              </w:rPr>
            </w:pPr>
            <w:r>
              <w:rPr>
                <w:rFonts w:ascii="Times New Roman" w:cs="Times New Roman" w:eastAsia="Times New Roman" w:hAnsi="Times New Roman"/>
                <w:sz w:val="9"/>
                <w:szCs w:val="9"/>
                <w:b w:val="1"/>
                <w:bCs w:val="1"/>
                <w:color w:val="auto"/>
              </w:rPr>
              <w:t>Stock</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9"/>
                <w:szCs w:val="9"/>
                <w:b w:val="1"/>
                <w:bCs w:val="1"/>
                <w:color w:val="auto"/>
              </w:rPr>
              <w:t>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Stock</w:t>
            </w:r>
          </w:p>
        </w:tc>
        <w:tc>
          <w:tcPr>
            <w:tcW w:w="180" w:type="dxa"/>
            <w:vAlign w:val="bottom"/>
          </w:tcPr>
          <w:p>
            <w:pPr>
              <w:spacing w:after="0"/>
              <w:rPr>
                <w:sz w:val="10"/>
                <w:szCs w:val="10"/>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9"/>
                <w:szCs w:val="9"/>
                <w:b w:val="1"/>
                <w:bCs w:val="1"/>
                <w:color w:val="auto"/>
              </w:rPr>
              <w:t>Stock</w:t>
            </w:r>
          </w:p>
        </w:tc>
        <w:tc>
          <w:tcPr>
            <w:tcW w:w="180" w:type="dxa"/>
            <w:vAlign w:val="bottom"/>
          </w:tcPr>
          <w:p>
            <w:pPr>
              <w:spacing w:after="0"/>
              <w:rPr>
                <w:sz w:val="10"/>
                <w:szCs w:val="10"/>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Loss</w:t>
            </w:r>
          </w:p>
        </w:tc>
        <w:tc>
          <w:tcPr>
            <w:tcW w:w="140" w:type="dxa"/>
            <w:vAlign w:val="bottom"/>
          </w:tcPr>
          <w:p>
            <w:pPr>
              <w:spacing w:after="0"/>
              <w:rPr>
                <w:sz w:val="10"/>
                <w:szCs w:val="1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3"/>
              </w:rPr>
              <w:t>Deficit</w:t>
            </w:r>
          </w:p>
        </w:tc>
        <w:tc>
          <w:tcPr>
            <w:tcW w:w="10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6"/>
              </w:rPr>
              <w:t>interest</w:t>
            </w:r>
          </w:p>
        </w:tc>
        <w:tc>
          <w:tcPr>
            <w:tcW w:w="200" w:type="dxa"/>
            <w:vAlign w:val="bottom"/>
          </w:tcPr>
          <w:p>
            <w:pPr>
              <w:spacing w:after="0"/>
              <w:rPr>
                <w:sz w:val="10"/>
                <w:szCs w:val="10"/>
                <w:color w:val="auto"/>
              </w:rPr>
            </w:pPr>
          </w:p>
        </w:tc>
        <w:tc>
          <w:tcPr>
            <w:tcW w:w="680" w:type="dxa"/>
            <w:vAlign w:val="bottom"/>
          </w:tcPr>
          <w:p>
            <w:pPr>
              <w:jc w:val="right"/>
              <w:ind w:right="278"/>
              <w:spacing w:after="0"/>
              <w:rPr>
                <w:sz w:val="20"/>
                <w:szCs w:val="20"/>
                <w:color w:val="auto"/>
              </w:rPr>
            </w:pPr>
            <w:r>
              <w:rPr>
                <w:rFonts w:ascii="Times New Roman" w:cs="Times New Roman" w:eastAsia="Times New Roman" w:hAnsi="Times New Roman"/>
                <w:sz w:val="9"/>
                <w:szCs w:val="9"/>
                <w:b w:val="1"/>
                <w:bCs w:val="1"/>
                <w:color w:val="auto"/>
              </w:rPr>
              <w:t>Total</w:t>
            </w:r>
          </w:p>
        </w:tc>
      </w:tr>
      <w:tr>
        <w:trPr>
          <w:trHeight w:val="28"/>
        </w:trPr>
        <w:tc>
          <w:tcPr>
            <w:tcW w:w="29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2025</w:t>
            </w:r>
          </w:p>
        </w:tc>
        <w:tc>
          <w:tcPr>
            <w:tcW w:w="560" w:type="dxa"/>
            <w:vAlign w:val="bottom"/>
            <w:tcBorders>
              <w:bottom w:val="single" w:sz="8" w:color="CCEEFF"/>
            </w:tcBorders>
            <w:shd w:val="clear" w:color="auto" w:fill="CCEEFF"/>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ind w:right="405"/>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(230,609)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2,350,546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(1,105,651)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1,024,779</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4,649</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Issuance of 128,525 shares of common stock</w:t>
            </w: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through stock awards</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16,424</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Exercise of 22,325 shares of stock options</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1,804</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7"/>
              </w:rPr>
              <w:t>Issuance of 37,900 shares of common stock through</w:t>
            </w: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3,999</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 of 45,536 shares of treasury stock</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(6,083)</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r>
      <w:tr>
        <w:trPr>
          <w:trHeight w:val="157"/>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9"/>
              </w:rPr>
              <w:t>Issuance of 1,260 shares of common stock through</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9"/>
        </w:trPr>
        <w:tc>
          <w:tcPr>
            <w:tcW w:w="2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redemption of common units of Lamar</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8"/>
        </w:trPr>
        <w:tc>
          <w:tcPr>
            <w:tcW w:w="2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Advertising Limited Partnership</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101,287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101,845</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Reallocation of capital</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($1.60 per common share) and other</w:t>
            </w: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(162,606)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(165,184)</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29"/>
        </w:trPr>
        <w:tc>
          <w:tcPr>
            <w:tcW w:w="29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March 31, 2026</w:t>
            </w:r>
          </w:p>
        </w:tc>
        <w:tc>
          <w:tcPr>
            <w:tcW w:w="560" w:type="dxa"/>
            <w:vAlign w:val="bottom"/>
            <w:tcBorders>
              <w:bottom w:val="single" w:sz="8" w:color="CCEEFF"/>
            </w:tcBorders>
            <w:shd w:val="clear" w:color="auto" w:fill="CCEEFF"/>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ind w:right="405"/>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(236,692)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2,376,681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(1,167,061)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981,694</w:t>
            </w:r>
          </w:p>
        </w:tc>
      </w:tr>
      <w:tr>
        <w:trPr>
          <w:trHeight w:val="167"/>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6,717</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6,717</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9"/>
              </w:rPr>
              <w:t>Issuance of 5,127 shares of common stock through</w:t>
            </w: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stock awards</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Exercise of 40,910 shares of stock options</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4,321</w:t>
            </w:r>
          </w:p>
        </w:tc>
      </w:tr>
      <w:tr>
        <w:trPr>
          <w:trHeight w:val="30"/>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7"/>
              </w:rPr>
              <w:t>Issuance of 28,546 shares of common stock through</w:t>
            </w: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3,012</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w:t>
            </w:r>
          </w:p>
        </w:tc>
      </w:tr>
      <w:tr>
        <w:trPr>
          <w:trHeight w:val="30"/>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160,749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164,640</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Reallocation of capital</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($1.60 per common share) and other</w:t>
            </w: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(162,817)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(165,251)</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30"/>
        </w:trPr>
        <w:tc>
          <w:tcPr>
            <w:tcW w:w="29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June 30, 2026</w:t>
            </w:r>
          </w:p>
        </w:tc>
        <w:tc>
          <w:tcPr>
            <w:tcW w:w="560" w:type="dxa"/>
            <w:vAlign w:val="bottom"/>
            <w:tcBorders>
              <w:bottom w:val="single" w:sz="8" w:color="CCEEFF"/>
            </w:tcBorders>
            <w:shd w:val="clear" w:color="auto" w:fill="CCEEFF"/>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ind w:right="405"/>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(236,692)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2,391,582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(1,169,220)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995,470</w:t>
            </w:r>
          </w:p>
        </w:tc>
      </w:tr>
      <w:tr>
        <w:trPr>
          <w:trHeight w:val="166"/>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6,773</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6,773</w:t>
            </w:r>
          </w:p>
        </w:tc>
      </w:tr>
      <w:tr>
        <w:trPr>
          <w:trHeight w:val="30"/>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Exercise of 5,397 shares of stock options</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w:t>
            </w:r>
          </w:p>
        </w:tc>
      </w:tr>
      <w:tr>
        <w:trPr>
          <w:trHeight w:val="157"/>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7"/>
              </w:rPr>
              <w:t>Issuance of 25,265 shares of common stock through</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5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3,095</w:t>
            </w:r>
          </w:p>
        </w:tc>
      </w:tr>
      <w:tr>
        <w:trPr>
          <w:trHeight w:val="30"/>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161,870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165,024</w:t>
            </w:r>
          </w:p>
        </w:tc>
      </w:tr>
      <w:tr>
        <w:trPr>
          <w:trHeight w:val="30"/>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Reallocation of capital</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AdSource Outdoor acquisition</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32,212</w:t>
            </w:r>
          </w:p>
        </w:tc>
      </w:tr>
      <w:tr>
        <w:trPr>
          <w:trHeight w:val="30"/>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($1.65 per common share) and other</w:t>
            </w: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(167,897)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(171,520)</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30"/>
        </w:trPr>
        <w:tc>
          <w:tcPr>
            <w:tcW w:w="29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5"/>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September 30, 2026</w:t>
            </w:r>
          </w:p>
        </w:tc>
        <w:tc>
          <w:tcPr>
            <w:tcW w:w="56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(236,692)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2,432,183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(1,175,338)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1,032,391</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880" w:type="dxa"/>
            <w:vAlign w:val="bottom"/>
          </w:tcPr>
          <w:p>
            <w:pPr>
              <w:spacing w:after="0"/>
              <w:rPr>
                <w:sz w:val="9"/>
                <w:szCs w:val="9"/>
                <w:color w:val="auto"/>
              </w:rPr>
            </w:pPr>
          </w:p>
        </w:tc>
        <w:tc>
          <w:tcPr>
            <w:tcW w:w="580" w:type="dxa"/>
            <w:vAlign w:val="bottom"/>
          </w:tcPr>
          <w:p>
            <w:pPr>
              <w:jc w:val="center"/>
              <w:ind w:left="145"/>
              <w:spacing w:after="0"/>
              <w:rPr>
                <w:sz w:val="20"/>
                <w:szCs w:val="20"/>
                <w:color w:val="auto"/>
              </w:rPr>
            </w:pPr>
            <w:r>
              <w:rPr>
                <w:rFonts w:ascii="Times New Roman" w:cs="Times New Roman" w:eastAsia="Times New Roman" w:hAnsi="Times New Roman"/>
                <w:sz w:val="9"/>
                <w:szCs w:val="9"/>
                <w:b w:val="1"/>
                <w:bCs w:val="1"/>
                <w:color w:val="auto"/>
                <w:w w:val="99"/>
              </w:rPr>
              <w:t>Series AA</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Class A</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Class B</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9"/>
              </w:rPr>
              <w:t>Add’l</w:t>
            </w:r>
          </w:p>
        </w:tc>
        <w:tc>
          <w:tcPr>
            <w:tcW w:w="120" w:type="dxa"/>
            <w:vAlign w:val="bottom"/>
          </w:tcPr>
          <w:p>
            <w:pPr>
              <w:spacing w:after="0"/>
              <w:rPr>
                <w:sz w:val="9"/>
                <w:szCs w:val="9"/>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880" w:type="dxa"/>
            <w:vAlign w:val="bottom"/>
          </w:tcPr>
          <w:p>
            <w:pPr>
              <w:spacing w:after="0"/>
              <w:rPr>
                <w:sz w:val="9"/>
                <w:szCs w:val="9"/>
                <w:color w:val="auto"/>
              </w:rPr>
            </w:pPr>
          </w:p>
        </w:tc>
        <w:tc>
          <w:tcPr>
            <w:tcW w:w="580" w:type="dxa"/>
            <w:vAlign w:val="bottom"/>
          </w:tcPr>
          <w:p>
            <w:pPr>
              <w:jc w:val="center"/>
              <w:ind w:left="125"/>
              <w:spacing w:after="0"/>
              <w:rPr>
                <w:sz w:val="20"/>
                <w:szCs w:val="20"/>
                <w:color w:val="auto"/>
              </w:rPr>
            </w:pPr>
            <w:r>
              <w:rPr>
                <w:rFonts w:ascii="Times New Roman" w:cs="Times New Roman" w:eastAsia="Times New Roman" w:hAnsi="Times New Roman"/>
                <w:sz w:val="9"/>
                <w:szCs w:val="9"/>
                <w:b w:val="1"/>
                <w:bCs w:val="1"/>
                <w:color w:val="auto"/>
              </w:rPr>
              <w:t>PREF</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9"/>
                <w:szCs w:val="9"/>
                <w:b w:val="1"/>
                <w:bCs w:val="1"/>
                <w:color w:val="auto"/>
              </w:rPr>
              <w:t>CMN</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CMN</w:t>
            </w:r>
          </w:p>
        </w:tc>
        <w:tc>
          <w:tcPr>
            <w:tcW w:w="160" w:type="dxa"/>
            <w:vAlign w:val="bottom"/>
          </w:tcPr>
          <w:p>
            <w:pPr>
              <w:spacing w:after="0"/>
              <w:rPr>
                <w:sz w:val="9"/>
                <w:szCs w:val="9"/>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9"/>
                <w:szCs w:val="9"/>
                <w:b w:val="1"/>
                <w:bCs w:val="1"/>
                <w:color w:val="auto"/>
              </w:rPr>
              <w:t>Treasury</w:t>
            </w:r>
          </w:p>
        </w:tc>
        <w:tc>
          <w:tcPr>
            <w:tcW w:w="200" w:type="dxa"/>
            <w:vAlign w:val="bottom"/>
          </w:tcPr>
          <w:p>
            <w:pPr>
              <w:spacing w:after="0"/>
              <w:rPr>
                <w:sz w:val="9"/>
                <w:szCs w:val="9"/>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rPr>
              <w:t>Paid in</w:t>
            </w:r>
          </w:p>
        </w:tc>
        <w:tc>
          <w:tcPr>
            <w:tcW w:w="120" w:type="dxa"/>
            <w:vAlign w:val="bottom"/>
          </w:tcPr>
          <w:p>
            <w:pPr>
              <w:spacing w:after="0"/>
              <w:rPr>
                <w:sz w:val="9"/>
                <w:szCs w:val="9"/>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9"/>
              </w:rPr>
              <w:t>Comprehensive</w:t>
            </w:r>
          </w:p>
        </w:tc>
        <w:tc>
          <w:tcPr>
            <w:tcW w:w="140" w:type="dxa"/>
            <w:vAlign w:val="bottom"/>
          </w:tcPr>
          <w:p>
            <w:pPr>
              <w:spacing w:after="0"/>
              <w:rPr>
                <w:sz w:val="9"/>
                <w:szCs w:val="9"/>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8"/>
              </w:rPr>
              <w:t>Non-controlling</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18"/>
        </w:trPr>
        <w:tc>
          <w:tcPr>
            <w:tcW w:w="2880" w:type="dxa"/>
            <w:vAlign w:val="bottom"/>
          </w:tcPr>
          <w:p>
            <w:pPr>
              <w:spacing w:after="0"/>
              <w:rPr>
                <w:sz w:val="10"/>
                <w:szCs w:val="10"/>
                <w:color w:val="auto"/>
              </w:rPr>
            </w:pPr>
          </w:p>
        </w:tc>
        <w:tc>
          <w:tcPr>
            <w:tcW w:w="580" w:type="dxa"/>
            <w:vAlign w:val="bottom"/>
          </w:tcPr>
          <w:p>
            <w:pPr>
              <w:jc w:val="center"/>
              <w:ind w:left="125"/>
              <w:spacing w:after="0"/>
              <w:rPr>
                <w:sz w:val="20"/>
                <w:szCs w:val="20"/>
                <w:color w:val="auto"/>
              </w:rPr>
            </w:pPr>
            <w:r>
              <w:rPr>
                <w:rFonts w:ascii="Times New Roman" w:cs="Times New Roman" w:eastAsia="Times New Roman" w:hAnsi="Times New Roman"/>
                <w:sz w:val="9"/>
                <w:szCs w:val="9"/>
                <w:b w:val="1"/>
                <w:bCs w:val="1"/>
                <w:color w:val="auto"/>
                <w:w w:val="92"/>
              </w:rPr>
              <w:t>Stock</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9"/>
                <w:szCs w:val="9"/>
                <w:b w:val="1"/>
                <w:bCs w:val="1"/>
                <w:color w:val="auto"/>
              </w:rPr>
              <w:t>Stock</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Stock</w:t>
            </w:r>
          </w:p>
        </w:tc>
        <w:tc>
          <w:tcPr>
            <w:tcW w:w="160" w:type="dxa"/>
            <w:vAlign w:val="bottom"/>
          </w:tcPr>
          <w:p>
            <w:pPr>
              <w:spacing w:after="0"/>
              <w:rPr>
                <w:sz w:val="10"/>
                <w:szCs w:val="10"/>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9"/>
                <w:szCs w:val="9"/>
                <w:b w:val="1"/>
                <w:bCs w:val="1"/>
                <w:color w:val="auto"/>
              </w:rPr>
              <w:t>Stock</w:t>
            </w:r>
          </w:p>
        </w:tc>
        <w:tc>
          <w:tcPr>
            <w:tcW w:w="200" w:type="dxa"/>
            <w:vAlign w:val="bottom"/>
          </w:tcPr>
          <w:p>
            <w:pPr>
              <w:spacing w:after="0"/>
              <w:rPr>
                <w:sz w:val="10"/>
                <w:szCs w:val="10"/>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1"/>
              </w:rPr>
              <w:t>Loss</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Deficit</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6"/>
              </w:rPr>
              <w:t>interest</w:t>
            </w:r>
          </w:p>
        </w:tc>
        <w:tc>
          <w:tcPr>
            <w:tcW w:w="200" w:type="dxa"/>
            <w:vAlign w:val="bottom"/>
          </w:tcPr>
          <w:p>
            <w:pPr>
              <w:spacing w:after="0"/>
              <w:rPr>
                <w:sz w:val="10"/>
                <w:szCs w:val="10"/>
                <w:color w:val="auto"/>
              </w:rPr>
            </w:pPr>
          </w:p>
        </w:tc>
        <w:tc>
          <w:tcPr>
            <w:tcW w:w="680" w:type="dxa"/>
            <w:vAlign w:val="bottom"/>
          </w:tcPr>
          <w:p>
            <w:pPr>
              <w:jc w:val="right"/>
              <w:ind w:right="278"/>
              <w:spacing w:after="0"/>
              <w:rPr>
                <w:sz w:val="20"/>
                <w:szCs w:val="20"/>
                <w:color w:val="auto"/>
              </w:rPr>
            </w:pPr>
            <w:r>
              <w:rPr>
                <w:rFonts w:ascii="Times New Roman" w:cs="Times New Roman" w:eastAsia="Times New Roman" w:hAnsi="Times New Roman"/>
                <w:sz w:val="9"/>
                <w:szCs w:val="9"/>
                <w:b w:val="1"/>
                <w:bCs w:val="1"/>
                <w:color w:val="auto"/>
              </w:rPr>
              <w:t>Total</w:t>
            </w:r>
          </w:p>
        </w:tc>
      </w:tr>
      <w:tr>
        <w:trPr>
          <w:trHeight w:val="28"/>
        </w:trPr>
        <w:tc>
          <w:tcPr>
            <w:tcW w:w="28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580" w:type="dxa"/>
            <w:vAlign w:val="bottom"/>
            <w:tcBorders>
              <w:bottom w:val="single" w:sz="8" w:color="CCEEFF"/>
            </w:tcBorders>
            <w:shd w:val="clear" w:color="auto" w:fill="CCEEFF"/>
          </w:tcPr>
          <w:p>
            <w:pPr>
              <w:jc w:val="right"/>
              <w:ind w:right="445"/>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89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2,159,292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(1,036,582)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1,048,020</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3,993</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Issuance of 168,450 shares of common stock</w:t>
            </w: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8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through stock awards</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22,235</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Exercise of 6,950 shares of stock options</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6"/>
              </w:rPr>
              <w:t>Issuance of 42,204 shares of common stock through</w:t>
            </w: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8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 of 224,572 shares of treasury stock</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(26,368)</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138,755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139,229</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Reallocation of capital</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 ($1.55 per common share) and other</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58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(159,067)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(159,620)</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7"/>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March 31, 2025</w:t>
            </w:r>
          </w:p>
        </w:tc>
        <w:tc>
          <w:tcPr>
            <w:tcW w:w="580" w:type="dxa"/>
            <w:vAlign w:val="bottom"/>
            <w:tcBorders>
              <w:top w:val="single" w:sz="8" w:color="auto"/>
            </w:tcBorders>
          </w:tcPr>
          <w:p>
            <w:pPr>
              <w:jc w:val="right"/>
              <w:ind w:right="445"/>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Borders>
              <w:top w:val="single" w:sz="8" w:color="auto"/>
            </w:tcBorders>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89</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(99,056)</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2,189,187</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(3,275)</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(1,056,985)</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1,596</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1,031,570</w:t>
            </w:r>
          </w:p>
        </w:tc>
      </w:tr>
      <w:tr>
        <w:trPr>
          <w:trHeight w:val="29"/>
        </w:trPr>
        <w:tc>
          <w:tcPr>
            <w:tcW w:w="28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3,622</w:t>
            </w:r>
          </w:p>
        </w:tc>
      </w:tr>
      <w:tr>
        <w:trPr>
          <w:trHeight w:val="157"/>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9"/>
              </w:rPr>
              <w:t>Issuance of 6,463 shares of common stock through</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stock awards</w:t>
            </w:r>
          </w:p>
        </w:tc>
        <w:tc>
          <w:tcPr>
            <w:tcW w:w="58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Exercise of 17,150 shares of stock options</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r>
      <w:tr>
        <w:trPr>
          <w:trHeight w:val="157"/>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6"/>
              </w:rPr>
              <w:t>Issuance of 28,598 shares of common stock through</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58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2,942</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Purchase of 1,223,562 shares of treasury stock</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(131,553)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(131,553)</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w:t>
            </w:r>
          </w:p>
        </w:tc>
      </w:tr>
      <w:tr>
        <w:trPr>
          <w:trHeight w:val="30"/>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154,355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155,016</w:t>
            </w:r>
          </w:p>
        </w:tc>
      </w:tr>
      <w:tr>
        <w:trPr>
          <w:trHeight w:val="157"/>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 ($1.55 per common share) and other</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58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(157,065)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(157,507)</w:t>
            </w:r>
          </w:p>
        </w:tc>
      </w:tr>
      <w:tr>
        <w:trPr>
          <w:trHeight w:val="30"/>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7"/>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June 30, 2025</w:t>
            </w:r>
          </w:p>
        </w:tc>
        <w:tc>
          <w:tcPr>
            <w:tcW w:w="580" w:type="dxa"/>
            <w:vAlign w:val="bottom"/>
            <w:tcBorders>
              <w:top w:val="single" w:sz="8" w:color="auto"/>
            </w:tcBorders>
          </w:tcPr>
          <w:p>
            <w:pPr>
              <w:jc w:val="right"/>
              <w:ind w:right="445"/>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Borders>
              <w:top w:val="single" w:sz="8" w:color="auto"/>
            </w:tcBorders>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89</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(230,609)</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2,197,618</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(1,059,786)</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906,883</w:t>
            </w:r>
          </w:p>
        </w:tc>
      </w:tr>
      <w:tr>
        <w:trPr>
          <w:trHeight w:val="30"/>
        </w:trPr>
        <w:tc>
          <w:tcPr>
            <w:tcW w:w="28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3,869</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Exercise of 14,550 shares of stock options</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w:t>
            </w:r>
          </w:p>
        </w:tc>
      </w:tr>
      <w:tr>
        <w:trPr>
          <w:trHeight w:val="30"/>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6"/>
              </w:rPr>
              <w:t>Issuance of 28,343 shares of common stock through</w:t>
            </w: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8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w:t>
            </w:r>
          </w:p>
        </w:tc>
      </w:tr>
      <w:tr>
        <w:trPr>
          <w:trHeight w:val="157"/>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6"/>
              </w:rPr>
              <w:t>Issuance of 22,000 shares of common stock through</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8"/>
        </w:trPr>
        <w:tc>
          <w:tcPr>
            <w:tcW w:w="2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redemption of Common Units of Lamar</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8"/>
        </w:trPr>
        <w:tc>
          <w:tcPr>
            <w:tcW w:w="2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Advertising Limited Partnership</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144,075</w:t>
            </w:r>
          </w:p>
        </w:tc>
      </w:tr>
      <w:tr>
        <w:trPr>
          <w:trHeight w:val="30"/>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Verde Outdoor acquisition</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135,520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147,642</w:t>
            </w:r>
          </w:p>
        </w:tc>
      </w:tr>
      <w:tr>
        <w:trPr>
          <w:trHeight w:val="157"/>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 ($1.55 per common share) and other</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58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(157,335)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(160,299)</w:t>
            </w:r>
          </w:p>
        </w:tc>
      </w:tr>
      <w:tr>
        <w:trPr>
          <w:trHeight w:val="30"/>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95"/>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September 30, 2025</w:t>
            </w:r>
          </w:p>
        </w:tc>
        <w:tc>
          <w:tcPr>
            <w:tcW w:w="580" w:type="dxa"/>
            <w:vAlign w:val="bottom"/>
            <w:tcBorders>
              <w:top w:val="single" w:sz="8" w:color="auto"/>
              <w:bottom w:val="single" w:sz="8" w:color="auto"/>
            </w:tcBorders>
          </w:tcPr>
          <w:p>
            <w:pPr>
              <w:jc w:val="right"/>
              <w:ind w:right="445"/>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89</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(230,609)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2,341,504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(1,075,459)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13,086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1,045,740</w:t>
            </w:r>
          </w:p>
        </w:tc>
      </w:tr>
      <w:tr>
        <w:trPr>
          <w:trHeight w:val="22"/>
        </w:trPr>
        <w:tc>
          <w:tcPr>
            <w:tcW w:w="2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spacing w:after="0" w:line="1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19050</wp:posOffset>
            </wp:positionV>
            <wp:extent cx="1748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29"/>
        </w:trPr>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8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431,509</w:t>
            </w:r>
          </w:p>
        </w:tc>
        <w:tc>
          <w:tcPr>
            <w:tcW w:w="12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438,320</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Adjustments to reconcile net income to cash flows provided by operating activities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267,021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242,207</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38,327</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25,305</w:t>
            </w: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Amortization included in interest expense</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4,593</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Gain on disposition of assets and investments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(32,153)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(76,116)</w:t>
            </w: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8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Equity in earnings of investee</w:t>
            </w:r>
          </w:p>
        </w:tc>
        <w:tc>
          <w:tcPr>
            <w:tcW w:w="8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Deferred tax expense (benefit)</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(8,476)</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Provision for doubtful accounts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6,855</w:t>
            </w: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(Increase) decrease in:</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3"/>
        </w:trPr>
        <w:tc>
          <w:tcPr>
            <w:tcW w:w="84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Receivables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(28,895)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(12,622)</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Prepaid expenses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r>
      <w:tr>
        <w:trPr>
          <w:trHeight w:val="173"/>
        </w:trPr>
        <w:tc>
          <w:tcPr>
            <w:tcW w:w="84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Other assets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(5,271)</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Increase (decrease) in:</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3"/>
        </w:trPr>
        <w:tc>
          <w:tcPr>
            <w:tcW w:w="84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Trade accounts payable</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Accrued expenses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(4,185)</w:t>
            </w:r>
          </w:p>
        </w:tc>
      </w:tr>
      <w:tr>
        <w:trPr>
          <w:trHeight w:val="173"/>
        </w:trPr>
        <w:tc>
          <w:tcPr>
            <w:tcW w:w="84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(29,238)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(21,628)</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Other liabilities</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18,355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w:t>
            </w:r>
          </w:p>
        </w:tc>
      </w:tr>
      <w:tr>
        <w:trPr>
          <w:trHeight w:val="167"/>
        </w:trPr>
        <w:tc>
          <w:tcPr>
            <w:tcW w:w="84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Cash flows provided by operating activities</w:t>
            </w: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683,866</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592,889</w:t>
            </w:r>
          </w:p>
        </w:tc>
      </w:tr>
      <w:tr>
        <w:trPr>
          <w:trHeight w:val="30"/>
        </w:trPr>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8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Acquisitions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(187,245)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(133,894)</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Capital expenditures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(120,842)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(117,938)</w:t>
            </w: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disposition of assets and investments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30,848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123,704</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8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Decrease in notes receivable</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67"/>
        </w:trPr>
        <w:tc>
          <w:tcPr>
            <w:tcW w:w="84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Cash flows used in investing activities</w:t>
            </w: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(277,165)</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(128,059)</w:t>
            </w:r>
          </w:p>
        </w:tc>
      </w:tr>
      <w:tr>
        <w:trPr>
          <w:trHeight w:val="30"/>
        </w:trPr>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8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Cash used for purchase of treasury stock</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(157,921)</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proceeds from issuance of common stock</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12,968</w:t>
            </w: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Principal payments on long-term debt</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Principal payments on financing leases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w:t>
            </w: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Payments on revolving credit facility</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(170,000)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(726,000)</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received from revolving credit facility</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245,000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442,000</w:t>
            </w: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received from note offering</w:t>
            </w:r>
          </w:p>
        </w:tc>
        <w:tc>
          <w:tcPr>
            <w:tcW w:w="8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400,000</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2"/>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senior credit facility term loans</w:t>
            </w:r>
          </w:p>
        </w:tc>
        <w:tc>
          <w:tcPr>
            <w:tcW w:w="8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698,250</w:t>
            </w: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Payments on accounts receivable securitization program</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(240,000)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(99,400)</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received from accounts receivable securitization program</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240,000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29,400</w:t>
            </w: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Payments on senior credit facility term loans</w:t>
            </w:r>
          </w:p>
        </w:tc>
        <w:tc>
          <w:tcPr>
            <w:tcW w:w="8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(600,000)</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Debt issuance costs, net</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(12,709)</w:t>
            </w: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(3,959)</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Dividends/distributions</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(493,593)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(473,740)</w:t>
            </w:r>
          </w:p>
        </w:tc>
      </w:tr>
      <w:tr>
        <w:trPr>
          <w:trHeight w:val="167"/>
        </w:trPr>
        <w:tc>
          <w:tcPr>
            <w:tcW w:w="84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Cash flows used in financing activities</w:t>
            </w: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(417,271)</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(492,422)</w:t>
            </w:r>
          </w:p>
        </w:tc>
      </w:tr>
      <w:tr>
        <w:trPr>
          <w:trHeight w:val="30"/>
        </w:trPr>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in cash and cash equivalents</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r>
      <w:tr>
        <w:trPr>
          <w:trHeight w:val="166"/>
        </w:trPr>
        <w:tc>
          <w:tcPr>
            <w:tcW w:w="8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(10,701)</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(27,445)</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64,812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49,461</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800" w:type="dxa"/>
            <w:vAlign w:val="bottom"/>
            <w:tcBorders>
              <w:top w:val="single" w:sz="8" w:color="auto"/>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54,111</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22,016</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1"/>
        </w:trPr>
        <w:tc>
          <w:tcPr>
            <w:tcW w:w="8480" w:type="dxa"/>
            <w:vAlign w:val="bottom"/>
            <w:tcBorders>
              <w:bottom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color w:val="auto"/>
              </w:rPr>
              <w:t>Supplemental disclosures of cash flow information:</w:t>
            </w:r>
          </w:p>
        </w:tc>
        <w:tc>
          <w:tcPr>
            <w:tcW w:w="8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r>
      <w:tr>
        <w:trPr>
          <w:trHeight w:val="201"/>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Cash paid for interest</w:t>
            </w:r>
          </w:p>
        </w:tc>
        <w:tc>
          <w:tcPr>
            <w:tcW w:w="8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114,989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114,923</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2"/>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paid for foreign, state and federal income taxes</w:t>
            </w:r>
          </w:p>
        </w:tc>
        <w:tc>
          <w:tcPr>
            <w:tcW w:w="800" w:type="dxa"/>
            <w:vAlign w:val="bottom"/>
            <w:tcBorders>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21,864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2025 Combined Form 10-K. Subsequent events, if any, are evaluated through the date on which the financial statements are issued.</w:t>
      </w:r>
    </w:p>
    <w:p>
      <w:pPr>
        <w:spacing w:after="0" w:line="214"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Company's direct wholly owned subsidiary Lamar Media Corp. ("Lamar Media") is party to the Amended and Restated Limited Partnership Agreement of Lamar Advertising Limited Partnership ("Lamar LP") as the initial limited partner, along with its wholly owned subsidiary, Lamar Advertising General Partner, LLC, as the general partner of Lamar LP (the "General Partner") and certain other limited partners. Lamar Media formed Lamar LP and contributed all of its assets to Lamar LP in connection with the Company's reorganization as a specific type of REIT known as an Umbrella Partnership Real Estate Investment Trust ("UPREIT") in July 2022.</w:t>
      </w:r>
    </w:p>
    <w:p>
      <w:pPr>
        <w:spacing w:after="0" w:line="3"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For each share of common stock the Company issues, Lamar LP issues a corresponding Common Unit to Lamar Media in exchange for the contributions of the proceeds from the stock issuance. At September 30, 2026, Lamar Media, together with the General Partner, owned 98.3% of the Common Units of Lamar LP. The remaining 1.7% of the Common Units are owned by unaffiliated investors and certain executives of the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Revenues</w:t>
      </w:r>
    </w:p>
    <w:p>
      <w:pPr>
        <w:spacing w:after="0" w:line="254"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Advertising revenues: </w:t>
      </w:r>
      <w:r>
        <w:rPr>
          <w:rFonts w:ascii="Times New Roman" w:cs="Times New Roman" w:eastAsia="Times New Roman" w:hAnsi="Times New Roman"/>
          <w:sz w:val="18"/>
          <w:szCs w:val="18"/>
          <w:color w:val="auto"/>
        </w:rPr>
        <w:t>The majority of our revenues are derived from contracts for advertising space on billboard, logo and transit displays.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Contracts that do not meet the criteria of a lease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are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209"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Our other component of revenue primarily consists of production services which includes creating and printing the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copy. Revenue for production contracts is recognized under ASC 606. Contract revenues for production services are recognized upon satisfaction of the contract which is typically less than one week.</w:t>
      </w:r>
    </w:p>
    <w:p>
      <w:pPr>
        <w:spacing w:after="0" w:line="20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Arrangements with multiple performance obligations: </w:t>
      </w:r>
      <w:r>
        <w:rPr>
          <w:rFonts w:ascii="Times New Roman" w:cs="Times New Roman" w:eastAsia="Times New Roman" w:hAnsi="Times New Roman"/>
          <w:sz w:val="18"/>
          <w:szCs w:val="18"/>
          <w:color w:val="auto"/>
        </w:rPr>
        <w:t>Our contracts with customers may include multiple performance obligations.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20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revenues: </w:t>
      </w:r>
      <w:r>
        <w:rPr>
          <w:rFonts w:ascii="Times New Roman" w:cs="Times New Roman" w:eastAsia="Times New Roman" w:hAnsi="Times New Roman"/>
          <w:sz w:val="18"/>
          <w:szCs w:val="18"/>
          <w:color w:val="auto"/>
        </w:rPr>
        <w:t>We record deferred revenues when cash payments are received or due in advance of our performance obligation.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invoicing and when a payment is due is not significant. For certain services we require payment before the products or services are delivered to the customer. The balance of deferred income is considered short-term and will be recognized in revenue within twelve months.</w:t>
      </w:r>
    </w:p>
    <w:p>
      <w:pPr>
        <w:spacing w:after="0" w:line="20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and exemptions: </w:t>
      </w:r>
      <w:r>
        <w:rPr>
          <w:rFonts w:ascii="Times New Roman" w:cs="Times New Roman" w:eastAsia="Times New Roman" w:hAnsi="Times New Roman"/>
          <w:sz w:val="18"/>
          <w:szCs w:val="18"/>
          <w:color w:val="auto"/>
        </w:rPr>
        <w:t>The Company is utilizing the following practical expedients and exemptions from ASC 606. We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our disaggregated revenue by source for the three and nine months ended September 30, 2026 and 2025.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56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advertising</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562,287</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524,769</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1,583,234</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1,481,983</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 advertising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advertising</w:t>
            </w: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39,896</w:t>
            </w:r>
          </w:p>
        </w:tc>
        <w:tc>
          <w:tcPr>
            <w:tcW w:w="1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38,577</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117,233</w:t>
            </w:r>
          </w:p>
        </w:tc>
        <w:tc>
          <w:tcPr>
            <w:tcW w:w="1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121,215</w:t>
            </w:r>
          </w:p>
        </w:tc>
      </w:tr>
      <w:tr>
        <w:trPr>
          <w:trHeight w:val="263"/>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624,468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585,541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1,769,221</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1,670,282</w:t>
            </w:r>
          </w:p>
        </w:tc>
      </w:tr>
      <w:tr>
        <w:trPr>
          <w:trHeight w:val="21"/>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2026 and 2025, we had operating lease costs of $86,891 and $83,463, respectively, and variable lease costs of $19,235 and $17,490, respectively. During the nine months ended September 30, 2026 and 2025, we had operating lease costs of $258,258 and $248,406, respectively, and variable lease costs of $54,500 and $48,700, respectively. These operating lease costs are recorded in direct advertising expenses (exclusive of depreciation and amortization). For the three months ended September 30, 2026 and 2025, we recorded a gain of $257 and $200, respectively, and for the nine months ended September 30, 2026 and 2025, we recorded a gain of $776 and $241, respectively, in gain on disposition of assets related to the amendment and termination of lease agreements. Cash payments of $282,902 and $269,147 were made reducing our operating lease liabilities for the nine months ended September 30, 2026 and 2025, respectively, and are included in cash flows provided by operating activities in the Condensed Consolidated Statements of Cash Flows.</w:t>
      </w:r>
    </w:p>
    <w:p>
      <w:pPr>
        <w:spacing w:after="0" w:line="2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$3,012 and $2,625 in direct advertising expenses (exclusive of depreciation and amortization) for these agreements during the three months ended September 30, 2026 and 2025, respectively. We recorded $9,215 and $7,784 in direct advertising expenses (exclusive of depreciation and amortization) for these agreements during the nine months ended September 30, 2026 and 2025, respectively.</w:t>
      </w:r>
    </w:p>
    <w:p>
      <w:pPr>
        <w:spacing w:after="0" w:line="21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operating leases have a weighted-average remaining lease term of 13.0 years. The weighted-average discount rate of our operating leases is 5.4%. Also, during the nine months ended September 30, 2026 and 2025, we obtained $43,794 and $64,636, respectively, of leased assets in exchange for new operating lease liabilities, which includes liabilities obtained through acquisitions.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the maturities of our operating lease liabilities as of September 30, 2026:</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9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46,198</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253,930</w:t>
            </w:r>
          </w:p>
        </w:tc>
      </w:tr>
      <w:tr>
        <w:trPr>
          <w:trHeight w:val="27"/>
        </w:trPr>
        <w:tc>
          <w:tcPr>
            <w:tcW w:w="9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212,525</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188,611</w:t>
            </w:r>
          </w:p>
        </w:tc>
      </w:tr>
      <w:tr>
        <w:trPr>
          <w:trHeight w:val="27"/>
        </w:trPr>
        <w:tc>
          <w:tcPr>
            <w:tcW w:w="9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161,401</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1,228,241</w:t>
            </w:r>
          </w:p>
        </w:tc>
      </w:tr>
      <w:tr>
        <w:trPr>
          <w:trHeight w:val="27"/>
        </w:trPr>
        <w:tc>
          <w:tcPr>
            <w:tcW w:w="9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2,090,906</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(632,606)</w:t>
            </w:r>
          </w:p>
        </w:tc>
      </w:tr>
      <w:tr>
        <w:trPr>
          <w:trHeight w:val="27"/>
        </w:trPr>
        <w:tc>
          <w:tcPr>
            <w:tcW w:w="9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1,458,300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2026 and 2025, $713 of amortization expense for each period and $95 and $104, respectively, of interest expense relating to our financing lease liabilities were recorded in depreciation and amortization and interest expense, respectively, in the Condensed Consolidated Statements of Income and Comprehensive Income. During the nine months ended September 30, 2026 and 2025, $2,140 of amortization expense for both periods, and $291 and $321, respectively, of interest expense relating to our financing lease liabilities were recorded in depreciation and amortization and interest expense, respectively, in the Condensed Consolidated Statements of Income and Comprehensive Income. Cash payments of $998 were made reducing our financing lease liabilities for each of the nine months ended September 30, 2026 and 2025, and are included in cash flows used in financing activities in the Condensed Consolidated Statements of Cash Flows. Our financing leases have a weighted-average remaining lease term of 1.2 years and a weighted-average discount rate of 3.1%.</w:t>
      </w:r>
    </w:p>
    <w:p>
      <w:pPr>
        <w:spacing w:after="0" w:line="21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Due to our election not to reassess conclusions about lease identification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our transit agreements were accounted for as leases on January 1, 2019. As we enter into new or renew current transit agreements, those agreements do not meet the criteria of a lease under ASC 842, therefore, they are no longer accounted for as a lease. For the three months ended September 30, 2026 and 2025, non-lease variable transit costs were $21,727 and $22,360, respectively. For the nine months ended September 30, 2026 and 2025, non-lease variable transit costs were $64,812 and $70,990, respectively.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completed 44 acquisitions of outdoor advertising assets and multiple land and easement purchases for a total cash purchase price of $187,245. Each of these asset acquisitions was accounted for under the acquisition method of accounting, and, accordingly, the accompanying condensed consolidated financial statements include the results of operations of each acquired entity from the date of acquisition. The acquisition purchase price has been allocated to assets and liabilities assumed based on preliminary fair market value estimates at the dates of acquisition.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allocation of the purchase price in the above transactions.</w:t>
            </w: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13"/>
        </w:trPr>
        <w:tc>
          <w:tcPr>
            <w:tcW w:w="9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9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58,614</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Site locations</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110,084</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acquisition costs</w:t>
            </w: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22,630</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(18,498)</w:t>
            </w:r>
          </w:p>
        </w:tc>
      </w:tr>
      <w:tr>
        <w:trPr>
          <w:trHeight w:val="237"/>
        </w:trPr>
        <w:tc>
          <w:tcPr>
            <w:tcW w:w="914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187,245</w:t>
            </w:r>
          </w:p>
        </w:tc>
      </w:tr>
      <w:tr>
        <w:trPr>
          <w:trHeight w:val="27"/>
        </w:trPr>
        <w:tc>
          <w:tcPr>
            <w:tcW w:w="9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AdSource Outdoor Acquisition</w:t>
      </w:r>
      <w:r>
        <w:rPr>
          <w:rFonts w:ascii="Times New Roman" w:cs="Times New Roman" w:eastAsia="Times New Roman" w:hAnsi="Times New Roman"/>
          <w:sz w:val="18"/>
          <w:szCs w:val="18"/>
          <w:color w:val="auto"/>
        </w:rPr>
        <w:t>. On August 12, 2026, Lamar Advertising Limited Partnership ("Lamar LP"), the subsidiary operating partnership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and Lamar Media, acquired AdSource Outdoor at a value of $32,212 through the issuance of 209,078 Common Units of Lamar LP. The acquisition value is based on the Company's common stock price on August 12, 2026. Pursuant to the terms of the Limited Partnership Agreement of Lamar LP, the Common Units are redeemable by the holder after a holding period, which is generally twelve months, for a cash amount per Common Unit equal to the market value of an equivalent number of shares of common stock of the Company. At the Company's option, in lieu of cash, the redemption obligation may be satisfied by issuing shares of Class A common stock of the Company in exchange for Common Units tendered for redemption. The acquisition of AdSource Outdoor includes more than 200 billboard displays in one state.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allocation of the purchase price of the AdSource Outdoor transaction.</w:t>
            </w: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13"/>
        </w:trPr>
        <w:tc>
          <w:tcPr>
            <w:tcW w:w="9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9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Site locations</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24,142</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37"/>
        </w:trPr>
        <w:tc>
          <w:tcPr>
            <w:tcW w:w="914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32,212</w:t>
            </w:r>
          </w:p>
        </w:tc>
      </w:tr>
      <w:tr>
        <w:trPr>
          <w:trHeight w:val="27"/>
        </w:trPr>
        <w:tc>
          <w:tcPr>
            <w:tcW w:w="9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acquired intangible assets for the nine months ended September 30, 2026 were $153,185. The acquired intangible assets have a weighted average useful life of approximately 14.1 years. The intangible assets include customer lists and contracts of $17,413 (7 year weighted average useful life) and site locations of $134,226 (15 year weighted average useful life). The aggregate amortization expense related to the 2026 acquisitions for the nine months ended September 30, 2026 was $4,787.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254"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18"/>
          <w:szCs w:val="18"/>
          <w:color w:val="auto"/>
        </w:rPr>
        <w:t>Lamar's 1996 Equity Incentive Plan, as amended, (the “Incentive Plan”) has reserved 19.5 million shares of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for issuance to directors and employees, including shares underlying granted options and common stock reserved for issuance under its performance-based incentive and LTIP Unit program. Options granted under the Incentive Plan expire ten years from the grant date with vesting terms ranging from three to five years which primarily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21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had 86,000 granted options of its Class A common stock during the nine months ended September 30, 2026. At September 30, 2026, a total of 2,855,227 shares were available for future grant.</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Effective June 1, 2026, the number of shares of Class A common stock available under the Incentive Plan was increased by two million shares pursuant to an amendment to the Incentive Plan adopted by our board of directors and approved by our stockholders at the Company's 2026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auto"/>
        </w:rPr>
        <w:t>On May 30, 2019, our shareholders approved Lamar Advertising’s 2019 Employee Stock Purchase Plan (the “2019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of Class A common stock available for issuance under the 2019 ESPP was automatically increased by 86,910 shares on January 1, 2026 pursuant to the automatic increase provisions of the 2019 ESPP. On May 14, 2026, our shareholders approved an amendment and restatement of the 2019 ESPP to increase the number of shares of Class A Common Stock of the Company available for issuance under the plan by 500,000 shares effective July 1, 2026.</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2019 ESPP share activity for the nine months ended September 30, 2026:</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37"/>
        </w:trPr>
        <w:tc>
          <w:tcPr>
            <w:tcW w:w="9920" w:type="dxa"/>
            <w:vAlign w:val="bottom"/>
            <w:tcBorders>
              <w:bottom w:val="single" w:sz="8" w:color="CFF0FC"/>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9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January 1, 2026</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166,439</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shares reserved under 2019 ESPP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586,910</w:t>
            </w:r>
          </w:p>
        </w:tc>
      </w:tr>
      <w:tr>
        <w:trPr>
          <w:trHeight w:val="27"/>
        </w:trPr>
        <w:tc>
          <w:tcPr>
            <w:tcW w:w="9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(91,711)</w:t>
            </w:r>
          </w:p>
        </w:tc>
      </w:tr>
      <w:tr>
        <w:trPr>
          <w:trHeight w:val="237"/>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September 30, 2026</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661,638</w:t>
            </w:r>
          </w:p>
        </w:tc>
      </w:tr>
      <w:tr>
        <w:trPr>
          <w:trHeight w:val="27"/>
        </w:trPr>
        <w:tc>
          <w:tcPr>
            <w:tcW w:w="99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Unrestricted shares of our Class A common stock may be awarded to key officers, employees and directors under the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number of shares to be issued, if any, is generally dependent on the level of achievement of performance measures for key officers and employees, as determined by the Company’s Compensation Committee based on our 2026 results. Any shares issued based on the achievement of performance goals will be issued in the first quarter of 2027. The shares subject to these awards can range from a minimum of 0% to a maximum of 120% of the target number of shares depending on the level at which the goals are attained. Under the Incentive Plan, the Company's Compensation Committee may also award additional shares in its discretion based on other factors, which awards, if any, will also be issued in the first quarter of 2027. For the three months ended September 30, 2026 and 2025, the Company recorded $6,195 and $3,611, respectively, as stock-based compensation expense. For the nine months ended September 30, 2026 and 2025, the Company recorded $19,453 and $13,184, respectively, as stock-based compensation expense.</w:t>
      </w:r>
    </w:p>
    <w:p>
      <w:pPr>
        <w:spacing w:after="0" w:line="212"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i w:val="1"/>
          <w:iCs w:val="1"/>
          <w:color w:val="auto"/>
        </w:rPr>
        <w:t>LTIP Units</w:t>
      </w:r>
      <w:r>
        <w:rPr>
          <w:rFonts w:ascii="Times New Roman" w:cs="Times New Roman" w:eastAsia="Times New Roman" w:hAnsi="Times New Roman"/>
          <w:sz w:val="18"/>
          <w:szCs w:val="18"/>
          <w:color w:val="auto"/>
        </w:rPr>
        <w:t>. In addition to stock compensation, the Company may issue LTIP Units of Lamar LP, a subsidiary of the Company and Lamar Media,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officers, employees and directors under the Incentive Plan of the Company. Such LTIP Units are subject to vesting and forfeiture conditions based on performance criteria approved by the Compensation Committee. The Compensation Committee may also make discretionary grants of LTIP Units based on other factors. LTIP Units are a class of units intended to qualify as “profits interests” of Lamar LP. The LTIP Units convert into Common Units of Lamar LP upon the occurrence of certain events. Common Units are redeemable by the holder for a cash amount per Common Unit equal to the market value of an equivalent number of shares of common stock of the Company. At the Company's option, in lieu of cash, the redemption obligation may be satisfied by issuing shares of the Company's Class A common stock in exchange for Common Units tendered for redemption. During the nine months ended September 30, 2026, 1,260 Common Units (which had originally been issued as LTIP Units) were redeemed for the Company's Class A common stock. As of September 30, 2026, Lamar LP has a total of 459,611 LTIP Units issued and outstanding to the Company’s executive officers, of which 315,611 LTIP units have vested. For the three months ended September 30, 2026 and 2025, the Company recorded $5,079 and $2,451, respectively, as stock-based compensation expense related to these LTIP Units. For the nine months ended September 30, 2026 and 2025, the Company recorded $13,173 and $7,073, respectively, as stock-based compensation expense related to these LTIP Units.</w:t>
      </w:r>
    </w:p>
    <w:p>
      <w:pPr>
        <w:spacing w:after="0" w:line="21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compensation. </w:t>
      </w:r>
      <w:r>
        <w:rPr>
          <w:rFonts w:ascii="Times New Roman" w:cs="Times New Roman" w:eastAsia="Times New Roman" w:hAnsi="Times New Roman"/>
          <w:sz w:val="18"/>
          <w:szCs w:val="18"/>
          <w:color w:val="auto"/>
        </w:rPr>
        <w:t>Annually, each non-employee director automatically receives a restricted stock award of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election or re-election. The awards vest 50% on the grant date and 50% on the last day of the directors' one year term. For the three months ended September 30, 2026 and 2025, the Company recorded $90 and $100, respectively, in stock-based compensation expense related to these awards. For the nine months ended September 30, 2026 and 2025, the Company recorded $734 and $637, respectively, in stock-based compensation expense related to these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Depreciation and Amortization</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56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4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5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76,741</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78,526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227,917</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222,337</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10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35,610</w:t>
            </w:r>
          </w:p>
        </w:tc>
        <w:tc>
          <w:tcPr>
            <w:tcW w:w="1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15,697</w:t>
            </w:r>
          </w:p>
        </w:tc>
      </w:tr>
      <w:tr>
        <w:trPr>
          <w:trHeight w:val="237"/>
        </w:trPr>
        <w:tc>
          <w:tcPr>
            <w:tcW w:w="56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100,636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267,021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242,207</w:t>
            </w:r>
          </w:p>
        </w:tc>
      </w:tr>
      <w:tr>
        <w:trPr>
          <w:trHeight w:val="27"/>
        </w:trPr>
        <w:tc>
          <w:tcPr>
            <w:tcW w:w="5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5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intangible assets at September 30, 2026 and December 31, 2025: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vMerge w:val="restart"/>
          </w:tcPr>
          <w:p>
            <w:pPr>
              <w:spacing w:after="0"/>
              <w:rPr>
                <w:sz w:val="16"/>
                <w:szCs w:val="16"/>
                <w:color w:val="auto"/>
              </w:rPr>
            </w:pPr>
          </w:p>
        </w:tc>
        <w:tc>
          <w:tcPr>
            <w:tcW w:w="27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422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40" w:type="dxa"/>
            <w:vAlign w:val="bottom"/>
            <w:tcBorders>
              <w:bottom w:val="single" w:sz="8" w:color="auto"/>
            </w:tcBorders>
            <w:vMerge w:val="continue"/>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220" w:type="dxa"/>
            <w:vAlign w:val="bottom"/>
          </w:tcPr>
          <w:p>
            <w:pPr>
              <w:spacing w:after="0"/>
              <w:rPr>
                <w:sz w:val="13"/>
                <w:szCs w:val="13"/>
                <w:color w:val="auto"/>
              </w:rPr>
            </w:pPr>
          </w:p>
        </w:tc>
        <w:tc>
          <w:tcPr>
            <w:tcW w:w="1560" w:type="dxa"/>
            <w:vAlign w:val="bottom"/>
            <w:gridSpan w:val="3"/>
          </w:tcPr>
          <w:p>
            <w:pPr>
              <w:jc w:val="center"/>
              <w:ind w:right="150"/>
              <w:spacing w:after="0" w:line="158"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40" w:type="dxa"/>
            <w:vAlign w:val="bottom"/>
          </w:tcPr>
          <w:p>
            <w:pPr>
              <w:jc w:val="right"/>
              <w:ind w:right="175"/>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04"/>
        </w:trPr>
        <w:tc>
          <w:tcPr>
            <w:tcW w:w="4220" w:type="dxa"/>
            <w:vAlign w:val="bottom"/>
          </w:tcPr>
          <w:p>
            <w:pPr>
              <w:spacing w:after="0"/>
              <w:rPr>
                <w:sz w:val="17"/>
                <w:szCs w:val="17"/>
                <w:color w:val="auto"/>
              </w:rPr>
            </w:pPr>
          </w:p>
        </w:tc>
        <w:tc>
          <w:tcPr>
            <w:tcW w:w="156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FF0FC"/>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689,291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560" w:type="dxa"/>
            <w:vAlign w:val="bottom"/>
            <w:tcBorders>
              <w:bottom w:val="single" w:sz="8" w:color="CFF0FC"/>
            </w:tcBorders>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3—15</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75,235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68,086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73,249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67,318</w:t>
            </w: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Site locations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3,141,624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2,118,365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54,143</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44,372</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53,446</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43,534</w:t>
            </w: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14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4,184,958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3,030,185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4,032,337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2,918,508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2,364,711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2,364,793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Asset Retirement Obligations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asset retirement obligations include the costs associated with the removal of its structures, resurfacing of the land and retirement costs, if applicable, as related to the Company’s outdoor advertising portfolio. The following table reflects information related to our asset retirement obligations: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624,925</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Liabilities settled</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w:t>
            </w:r>
          </w:p>
        </w:tc>
      </w:tr>
      <w:tr>
        <w:trPr>
          <w:trHeight w:val="27"/>
        </w:trPr>
        <w:tc>
          <w:tcPr>
            <w:tcW w:w="9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631,354</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Distribution Restrictions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restricted under both the terms of the indentures relating to Lamar Media’s outstanding notes and by the terms of its senior credit facility. As of September 30, 2026 and December 31, 2025, Lamar Media was permitted under the terms of its outstanding notes to make transfers to Lamar Advertising in the form of cash dividends, loans or advances in amounts up to $4,899,575 and $4,719,610, respectively.</w:t>
      </w:r>
    </w:p>
    <w:p>
      <w:pPr>
        <w:sectPr>
          <w:pgSz w:w="11900" w:h="16838" w:orient="portrait"/>
          <w:cols w:equalWidth="0" w:num="1">
            <w:col w:w="11240"/>
          </w:cols>
          <w:pgMar w:left="320" w:top="121" w:right="339"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95"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As of September 30, 2026, Lamar Media’s senior credit facility allows it to make transfers to Lamar Advertising in any taxable year up to the amount of Lamar Advertising’s taxable income (without any deduction for dividends paid). In addition, as of September 30, 2026,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September 30, 2026 and December 31, 2025, the total debt ratio was less than 7.0 to 1 and Lamar Media’s secured debt ratio was less than 4.5 to 1, and the available cumulative credit was $3,650,055 and $3,470,089,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25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calculation of basic earnings per share excludes any dilutive effect of stock options, while diluted earnings per share includes the dilutive effect of stock options. No effect is shown for securities that have an anti-dilutive effect.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Debt</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Long-term debt consists of the following at September 30, 2026 and December 31, 2025: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204"/>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765,766</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249,766</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598,269</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546,009</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546,412</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398,146</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3/8%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394,313</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3,525,710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3,501,139</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(250,225)</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3,275,251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3,250,914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4"/>
              <w:spacing w:after="0" w:line="158"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204"/>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37"/>
        </w:trPr>
        <w:tc>
          <w:tcPr>
            <w:tcW w:w="70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688,641</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249,604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597,364</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545,376</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545,680</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397,595</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3/8%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393,833</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3,448,820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3,418,907</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(250,044)</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3,198,380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3,168,863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Credit Facility</w:t>
      </w:r>
    </w:p>
    <w:p>
      <w:pPr>
        <w:spacing w:after="0" w:line="25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21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senior credit facility, as established by the Fourth Amended and Restated Credit Agreement (as amended by the Amendments, as defined below) (the “senior credit facility”), consists of (i) a $750,000 senior secured revolving credit facility which will mature on July 31, 2028, subject to certain conditions (see description of Amendment No. 4 below) (the “revolving credit facility”), (ii) a $700,000 senior secured Term B loan facility (the “Term B loans”) which will mature on September 23, 2032, and (iii) an incremental facility (the “Incremental Facility”) pursuant to which Lamar Media may incur additional term loan tranches or additional incremental revolving facilities, or increase its existing revolving credit facility subject to a pro forma secured debt ratio of 4.50 to 1.00, as well as certain other conditions including lender approval.</w:t>
      </w:r>
    </w:p>
    <w:p>
      <w:pPr>
        <w:spacing w:after="0" w:line="21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revolving credit facility.</w:t>
      </w:r>
    </w:p>
    <w:p>
      <w:pPr>
        <w:spacing w:after="0" w:line="21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were set to mature on February 6, 2025 with no required amortization payments prior to maturity. Lamar Media borrowed all $350,000 in Term A loans on July 29, 2022 and proceeds from the Term A loans were used to repay outstanding balances on the revolving credit facility and a portion of the outstanding balance on the Accounts Receivable Securitization Program. The Term A loans were subsequently repaid in full on July 31, 2024.</w:t>
      </w:r>
    </w:p>
    <w:p>
      <w:pPr>
        <w:spacing w:after="0" w:line="21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forth in the Fourth Amended and Restated Credit Agreement. All other material terms and conditions of the Fourth Amended and Restated Credit Agreement were unchanged by Amendment No. 3.</w:t>
      </w:r>
    </w:p>
    <w:p>
      <w:pPr>
        <w:spacing w:after="0" w:line="210"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extended the maturity date of Lamar Media's $750,000 revolving credit facility such that the revolving credit facility matures July 31, 2028; provided that, if on the date (a "Springing Maturity Test Date") that is 91 days prior to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3 3/4% Notes, the revolving credit facility will mature on the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Amendment No. 4 also established a $75,000 swingline as a sublimit of the revolving credit facility, which allows Lamar Media to borrow revolving loans on a same-day basis, in an aggregate outstanding principal amount of up to $75,000. In addition, Amendment No. 4 amended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207"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September 23, 2025, Lamar Media entered into Amendment No. 5 (the “Amendment No. 5”, and together with the Amendment, Amendment No. 2, Amendment No. 3 and Amendment No. 4, the “Amendments”) to the Fourth Amended and Restated Credit Agreement with certain of Lamar Media’s subsidiaries as guarantors, JPMorgan Chase Bank, N.A., as administrative agent and the lenders party thereto. Amendment No. 5 established the Term B loans as a new class of incremental term loans. Lamar Media borrowed all $700,000 in Term B loans on September 23, 2025. Proceeds from the Term B loans were used to repay $600,000 in Term B loans previously outstanding, with the remainder used to repay a portion of the outstanding balance on the revolving credit facility. The Term B loans will mature on September 23, 2032 (or if such day is not a Business Day, the next Business Day) and the entire principal amount of the Term B loans then outstanding, together with all accrued and unpaid interest on the Term B loans, will be due and payable on such date. The Term B loans bear interest at rates based on the Adjusted Term SOFR Rate (“Term Benchmark Term B Loans”) or the Adjusted Base Rate (“Base Rate Term B Loans”) at Lamar Media’s option. For purposes of the Term B Loans, the “Adjusted Term SOFR Rate” is a rate per annum equal to the Term SOFR Rate for the applicable interest period, plus 0.00%. Term Benchmark Term B Loans bear interest at a rate per annum equal to the Adjusted Term SOFR Rate plus 1.50% and Base Rate Term B Loans bear interest at a rate per annum equal to the Adjusted Base Rate plus 0.50%. The covenants, events of default and other terms of the senior credit facility (all of which are unchanged by Amendment No. 5) apply to the Term B loans.</w:t>
      </w:r>
    </w:p>
    <w:p>
      <w:pPr>
        <w:spacing w:after="0" w:line="21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September 30, 2026, there were $75,000 in borrowings outstanding under the revolving credit facility. Availability under the revolving credit facility is reduced by the amount of any letters of credit outstanding. Lamar Media had $8,023 in letters of credit outstanding as of September 30, 2026 resulting in $666,977 of availability under its revolving credit facility. Revolving credit loans may be requested under the revolving credit facility at any time prior to its maturity.</w:t>
      </w:r>
    </w:p>
    <w:p>
      <w:pPr>
        <w:spacing w:after="0" w:line="207"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among other things, the ability of Lamar Advertising and Lamar Media to:</w:t>
      </w:r>
    </w:p>
    <w:p>
      <w:pPr>
        <w:spacing w:after="0" w:line="229" w:lineRule="exact"/>
        <w:rPr>
          <w:sz w:val="20"/>
          <w:szCs w:val="20"/>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29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Advertising and Lamar Media were in compliance with all of the terms of their indentures and the senior credit facility provisions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Program</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December 18, 2018, Lamar Media entered into a $175,000 Receivables Financing Agreement (the “Receivables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20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 Program to July 21, 2025. Additionally, the Sixth Amendment provides for the replacement of LIBOR-based interest rate mechanics with Term SOFR-based interest rate mechanics for the Accounts Receivable Securitization Program.</w:t>
      </w:r>
    </w:p>
    <w:p>
      <w:pPr>
        <w:spacing w:after="0" w:line="20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The Accounts Receivable Securitization Program was set to mature on July 21, 2025, but was subsequently extended to October 15, 2027 by the Seventh Amendment to the Receivables Financing Agreement dated October 15, 2024 and was further extended after September 30, 2026. See Note 20,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further amendment information. Lamar Media may amend the facility to further extend the maturity date, enter into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securitization facility with a different maturity date, or refinance the indebtedness outstanding under the Accounts Receivable Securitization Program using borrowings under its senior credit facility or from other financing sources.</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September 30, 2026, there were $250,000 outstanding aggregate borrowings under the Accounts Receivable Securitization Program. Lamar Media had no additional availability for borrowing under the Accounts Receivable Securitization Program as of September 30, 2026. The commitment fees based on the amount of unused commitments under the Accounts Receivable Securitization Program were immaterial during the nine months ended September 30, 2026.</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3/4%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7/8% Senior Notes</w:t>
      </w:r>
    </w:p>
    <w:p>
      <w:pPr>
        <w:spacing w:after="0" w:line="25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5/8%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 3/8% Senior Notes</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September 25, 2025, Lamar Media completed an institutional private placement of $400,000 aggregate principal amount of 5 3/8% Senior Notes due 2033 (the “5 3/8% Notes”). The institutional private placement on September 25, 2025 resulted in net proceeds to Lamar Media of approximately $393,500. Lamar Media used the proceeds from this offering, together with borrowings on the Term B Loans, to pay off the balance outstanding on the revolving credit facility as well as pay down a portion of the balance on the Accounts Receivable Securitization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5 3/8% Notes, at any time and from time to time, at a price equal to 105.375% of the aggregate principal amount redeemed, plus accrued and unpaid interest thereon, with the net cash proceeds of certain public equity offerings completed before November 1, 2028, provided that following the redemption, at least 60% of the 5 3/8% Notes that were originally issued remain outstanding and any such redemption occurs within 120 days following the closing of any such public equity offering. At any time prior to November 1, 2028, Lamar Media may redeem some or all of the 5 3/8% Notes at a price equal to 100% of the aggregate principal amount, plus accrued and unpaid interest thereon and a make-whole premium. On or after November 1, 2028, Lamar Media may redeem the 5 3/8% Notes, in whole or in part, in cash at redemption prices specified in the 5 3/8% Notes. In addition, if the Company or Lamar Media undergoes a change of control and a rating of the 5 3/8% Notes is reduced, Lamar Media may be required to make an offer to purchase each holder's 5 3/8% Notes at a price equal to 101% of the principal amount of the 5 3/8% Notes, plus accrued and unpaid interest, up to but not including the repurchase date.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Exchange Offers</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In October 2020, the Company completed a subsequent exchange offer with respect to each of the 4% Notes, 3 3/4% Notes, and 4 7/8% Notes, in each case, for substantially identical notes registered under the Securities Act of 1933, as amended. In September 2021, the Company completed a subsequent exchange offer with respect to the 3 5/8% Notes for substantially identical notes registered under the Securities Act of 1933, as amended. The Company will not complete a subsequent exchange offer with respect to the 5 3/8% Senior Notes issued in September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Repurchase Program</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authorized Lamar Media to repurchase up to $250,000 in outstanding senior or senior subordinated notes and other indebtedness outstanding from time to time under its Fourth Amended and Restated Credit Agreement. On February 26, 2026, the Board of Directors authorized the extension of the repurchase program through September 30, 2027. There were no repurchases under the program as of September 30,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of Financial Instruments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At September 30, 2026 and December 31, 2025,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The estimated fair value of the Company’s long-term debt (including current maturities) was $3,366,977, which does not exceed the carrying amount of $3,525,710 as of September 30, 2026. The majority of the fair value is determined using observed prices of publicly traded debt (level 1 in the fair value hierarchy) and the remaining is valued based on quoted prices for similar debt (level 2 in the fair value hierarchy).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Investments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12, 2021, Lamar invested $30,000 to acquire a 20% minority interest in Vistar Media, Inc. ("Vistar"), a leading global provider of programmatic technology for the digital out-of-home sector. On February 3, 2025, T-Mobile USA, Inc. acquired 100% of Vistar (the "Sale"). In connection with the closing of the Sale, the Company has received $123,859 in total cash consideration for the sale of its 20% equity interest in Vistar. Up to an additional $6,339 of consideration for the Sale may be received by the Company in the future, upon release of the remaining purchase price for the Sale from escrow in connection with satisfaction of certain post-closing conditions. During the nine months ended September 30, 2026 and 2025, the Company recognized a gain of $7,978 and $68,602 related to the transaction, respectively. An income tax expense of $1,969 and $13,381 was recorded during the nine months ended September 30, 2026 and 2025, respectively, as a result of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New Accounting Pronouncements</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disclosures about specific types of expenses included in expense captions presented on the face of the Consolidated Statements of Income and Comprehensive Income. This guidance is effective for public entities for fiscal years beginning after December 15, 2026. The Company is currently reviewing this guidance and its impact on the Company's consolidated financial statements.</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which addresses technical issues to clarify, correct, and improve US GAAP without major overhaul. The key changes involve clarifying diluted earnings per share during losses, refining lease disclosures, and refining treasury stock retirement methods. This guidance is effective for public entities for fiscal years beginning after December 15, 2026. The Company does not anticipate the adoption of this guidance to have a material impact on the Company's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Dividends/Distributions</w:t>
      </w:r>
    </w:p>
    <w:p>
      <w:pPr>
        <w:spacing w:after="0" w:line="256"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During the three months ended September 30, 2026 and 2025, the Company declared and paid cash distributions to Class A and Class B common stock shareholders in an aggregate amount of $167,897 or $1.65 per share and $157,335 or $1.55 per share, respectively. During the nine months ended September 30, 2026 and 2025, the Company declared and paid cash distributions to Class A and Class B common stock shareholders in an aggregate amount of $493,320 or $4.85 per share and $473,467 or $4.65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During the three and nine months ended September 30, 2026 and 2025, the Company paid cash dividend distributions to holders of its Series AA Preferred Stock in an aggregate amount of $91 or $15.95 per share and $273 or $47.85 per share, respectively, for each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Information About Geographic Areas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attributable to foreign countries totaled $11,392 and $22,464 for the nine months ended September 30, 2026 and 2025, respectively. Net carrying value of long-lived assets located in foreign countries totaled $8,875 and $9,653 as of September 30, 2026 and December 31, 2025, respectively. All other revenues from external customers and long-lived assets relate to domestic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Stockholders' Equity</w:t>
      </w:r>
    </w:p>
    <w:p>
      <w:pPr>
        <w:spacing w:after="0" w:line="254"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Agreement. </w:t>
      </w:r>
      <w:r>
        <w:rPr>
          <w:rFonts w:ascii="Times New Roman" w:cs="Times New Roman" w:eastAsia="Times New Roman" w:hAnsi="Times New Roman"/>
          <w:sz w:val="18"/>
          <w:szCs w:val="18"/>
          <w:color w:val="auto"/>
        </w:rPr>
        <w:t>On July 24, 2024, the Company entered into an equity distribution agreement, or At-the-Market Offering agreement, (the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that expired according to its terms on June 21, 2024. Under the terms of the 2024 Sales Agreement, the Company may, from time to time, issue and sell shares of its Class A common stock, with an aggregate offering price of up to $400,000, through the Sales Agents as either agents or principals.</w:t>
      </w:r>
    </w:p>
    <w:p>
      <w:pPr>
        <w:spacing w:after="0" w:line="21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directly through a market maker other than on an exchange. The Company has no obligation to sell any of the Class A common stock under the 2024 Sales Agreement and may at any time suspend solicitations and offers under the 2024 Sales Agreement.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of September 30, 2026, no shares of our Class A common stock were sold under the 2024 Sales Agreement and accordingly $400,000 remained available to be sold under the 2024 Sales Agreement.</w:t>
      </w:r>
    </w:p>
    <w:p>
      <w:pPr>
        <w:spacing w:after="0" w:line="187"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On July 24, 2024, the Company filed an automatically effective shelf registration statement that allows Lamar Advertising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and sell an indeterminate amount of additional shares of its Class A common stock. As of September 30, 2026, the Company has not issued any shares under its shelf registration statements.</w:t>
      </w:r>
    </w:p>
    <w:p>
      <w:pPr>
        <w:spacing w:after="0" w:line="20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Prior to May 15, 2025, the Company’s Board of Directors had authorized the repurchase of up to $250,000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Class A common stock. On May 15, 2025, the Company's Board of Directors approved the increase of the amount authorized under the Stock Repurchase Program by $150,000, bringing the total amount authorized under the Program to $400,000. On February 26, 2026, the Board of Directors authorized the extension of the Stock Repurchase Program through September 30, 2027. During the year ended December 31, 2025, the Company repurchased 1,388,091 shares of the Company's Class A common stock outstanding for a total purchase price of $150,000. There were no repurchases under the program during the nine months ended September 30, 2026. The Company currently has $250,000 remaining under its current share repurchase authorization.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Non-cash Financing and Investing Activities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the period ended September 30, 2026, the Company had non-cash investing and financing activities related to the acquisition of AdSource Outdoor of $32,212, which included the issuance of 209,078 Common Units of Lamar LP. For the period ended September 30, 2025, the Company had non-cash investing and financing activities related to the acquisition of Verde Outdoor of $147,642, which included the issuance of 1,187,500 Common Units of Lamar LP. For the periods ended September 30, 2026 and 2025, there were non-cash investing and financing activities for the recognition of ROU assets and lease liabilities at lease commencement as disclosed in Note 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Reporting</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The Company revised its segment information to reflect the adoption of ASU 2023-07 and certain changes resulting from our periodic review of factors relevant to how the chief operating decision maker (CODM) assesses performance and allocates resources in accordance with FASB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We currently manage our operations through three operating segments - billboard, logo, and transit advertising. Logo and transit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do not meet the criteria to be reportable segments, and accordingly, are included in Other.</w:t>
      </w:r>
    </w:p>
    <w:p>
      <w:pPr>
        <w:spacing w:after="0" w:line="207"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We define the term CODM to be our executive management group, which consists of our Executive Chairman, President and Chief Executive Officer, and Chief Financial Officer. Net revenues, advertising expenses and segmented adjusted EBITDA are used to monitor expected versus actual results. Total advertising expenses is the expense category regularly provided to the CODM. There are no other expenses regularly provided to the CODM that are used to manage the segment's operations. Total advertising expenses is defined as direct advertising expenses and general and administrative expenses excluding stock-based compensation expense and capitalized contract fulfillment costs. Segment Adjusted EBITDA is the profitability metric reported to the Company's CODM for purposes of assessing the performance of each operating segment as well as to make decisions related to invested capital, personnel, operational improvement or training, or to allocate other company resources. 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 Segment information for total assets is not presented as this information is not used by the Company's CODM in measuring segment performance or allocating resources between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56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562,287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524,769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1,583,234</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1,481,983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185,987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188,299</w:t>
            </w:r>
          </w:p>
        </w:tc>
      </w:tr>
      <w:tr>
        <w:trPr>
          <w:trHeight w:val="237"/>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624,468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585,541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1,769,221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1,670,282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56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666,328</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154,063</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820,391</w:t>
            </w:r>
          </w:p>
        </w:tc>
      </w:tr>
      <w:tr>
        <w:trPr>
          <w:trHeight w:val="257"/>
        </w:trPr>
        <w:tc>
          <w:tcPr>
            <w:tcW w:w="5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Segmented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319,889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297,264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875,987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815,655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34,236</w:t>
            </w:r>
          </w:p>
        </w:tc>
      </w:tr>
      <w:tr>
        <w:trPr>
          <w:trHeight w:val="270"/>
        </w:trPr>
        <w:tc>
          <w:tcPr>
            <w:tcW w:w="5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(26,531)</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(81,043)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(80,517)</w:t>
            </w:r>
          </w:p>
        </w:tc>
      </w:tr>
      <w:tr>
        <w:trPr>
          <w:trHeight w:val="288"/>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306,859</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280,770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836,545</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769,374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5430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line="298"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Reconciliation of adjusted EBITDA to income before income tax expense: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56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306,859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280,770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769,374</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(25,305)</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(242,207)</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76,116</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(118,374)</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7"/>
        </w:trPr>
        <w:tc>
          <w:tcPr>
            <w:tcW w:w="5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168,652</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146,641</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441,930</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October 1, 2026, Lamar Advertising Company’s direct wholly owned subsidiary Lamar Media Corp. and indirect wholly-owned special purpose subsidiaries, Lamar QRS Receivables, LLC and Lamar TRS Receivables, LLC, entered into the Eighth Amendment to the Receivables Financing Agreement dated December 18, 2018. The amendment extends the maturity date of the Accounts Receivable Securitization Program established under the Receivables Financing Agreement to October 1, 2029. Additionally, the amendment provides additional flexibility for eligibility of certain receivables under the Accounts Receivable Securitization Program.</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200" w:type="dxa"/>
            <w:vAlign w:val="bottom"/>
          </w:tcPr>
          <w:p>
            <w:pPr>
              <w:spacing w:after="0"/>
              <w:rPr>
                <w:sz w:val="12"/>
                <w:szCs w:val="12"/>
                <w:color w:val="auto"/>
              </w:rPr>
            </w:pPr>
          </w:p>
        </w:tc>
        <w:tc>
          <w:tcPr>
            <w:tcW w:w="1120" w:type="dxa"/>
            <w:vAlign w:val="bottom"/>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6"/>
        </w:trPr>
        <w:tc>
          <w:tcPr>
            <w:tcW w:w="8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8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64,312</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$12,772 and $11,856 in 2026 and 2025, respectively</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363,524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341,222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46,299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53,689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463,434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459,223</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4,892,398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4,766,872</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(3,169,171)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(3,087,972)</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1,723,227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1,678,900</w:t>
            </w:r>
          </w:p>
        </w:tc>
        <w:tc>
          <w:tcPr>
            <w:tcW w:w="0" w:type="dxa"/>
            <w:vAlign w:val="bottom"/>
          </w:tcPr>
          <w:p>
            <w:pPr>
              <w:spacing w:after="0"/>
              <w:rPr>
                <w:sz w:val="1"/>
                <w:szCs w:val="1"/>
                <w:color w:val="auto"/>
              </w:rPr>
            </w:pPr>
          </w:p>
        </w:tc>
      </w:tr>
      <w:tr>
        <w:trPr>
          <w:trHeight w:val="22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1,509,061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1,504,170</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right of use assets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5,478</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2,101,023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2,101,105</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1,154,305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1,113,361</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57,395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52,974</w:t>
            </w:r>
          </w:p>
        </w:tc>
        <w:tc>
          <w:tcPr>
            <w:tcW w:w="0" w:type="dxa"/>
            <w:vAlign w:val="bottom"/>
          </w:tcPr>
          <w:p>
            <w:pPr>
              <w:spacing w:after="0"/>
              <w:rPr>
                <w:sz w:val="1"/>
                <w:szCs w:val="1"/>
                <w:color w:val="auto"/>
              </w:rPr>
            </w:pPr>
          </w:p>
        </w:tc>
      </w:tr>
      <w:tr>
        <w:trPr>
          <w:trHeight w:val="262"/>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7,011,783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6,915,211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4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Trade 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16,469</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maturities of long-term debt, net of deferred financing costs of $234 and $396 in 2026 and 2025, respectively</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250,044</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232,457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financing lease liabilities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127,111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179,502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155,067</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776,418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782,479</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costs of $24,337 and $29,517 in 2026 and 2025, respectively</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3,250,914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3,168,863</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1,256,299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1,254,080</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11,952</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631,354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624,925</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54,851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52,563</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5,983,892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5,895,611</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stock, par value $0.01, 3,000 shares authorized, 100 shares issued and outstanding at 2026 and 2025</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3,502,690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3,421,052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(2,486,933)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(2,411,842)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13,193</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1,027,891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1,019,600</w:t>
            </w:r>
          </w:p>
        </w:tc>
        <w:tc>
          <w:tcPr>
            <w:tcW w:w="0" w:type="dxa"/>
            <w:vAlign w:val="bottom"/>
          </w:tcPr>
          <w:p>
            <w:pPr>
              <w:spacing w:after="0"/>
              <w:rPr>
                <w:sz w:val="1"/>
                <w:szCs w:val="1"/>
                <w:color w:val="auto"/>
              </w:rPr>
            </w:pPr>
          </w:p>
        </w:tc>
      </w:tr>
      <w:tr>
        <w:trPr>
          <w:trHeight w:val="261"/>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7,011,783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6,915,211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6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624,468</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585,541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1,769,221</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1,670,282</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196,381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554,489</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6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294,504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277,307</w:t>
            </w:r>
          </w:p>
        </w:tc>
        <w:tc>
          <w:tcPr>
            <w:tcW w:w="0" w:type="dxa"/>
            <w:vAlign w:val="bottom"/>
          </w:tcPr>
          <w:p>
            <w:pPr>
              <w:spacing w:after="0"/>
              <w:rPr>
                <w:sz w:val="1"/>
                <w:szCs w:val="1"/>
                <w:color w:val="auto"/>
              </w:rPr>
            </w:pPr>
          </w:p>
        </w:tc>
      </w:tr>
      <w:tr>
        <w:trPr>
          <w:trHeight w:val="24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242,207</w:t>
            </w:r>
          </w:p>
        </w:tc>
        <w:tc>
          <w:tcPr>
            <w:tcW w:w="0" w:type="dxa"/>
            <w:vAlign w:val="bottom"/>
          </w:tcPr>
          <w:p>
            <w:pPr>
              <w:spacing w:after="0"/>
              <w:rPr>
                <w:sz w:val="1"/>
                <w:szCs w:val="1"/>
                <w:color w:val="auto"/>
              </w:rPr>
            </w:pPr>
          </w:p>
        </w:tc>
      </w:tr>
      <w:tr>
        <w:trPr>
          <w:trHeight w:val="24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(76,116)</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414,905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1,205,354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1,091,900</w:t>
            </w:r>
          </w:p>
        </w:tc>
        <w:tc>
          <w:tcPr>
            <w:tcW w:w="0" w:type="dxa"/>
            <w:vAlign w:val="bottom"/>
          </w:tcPr>
          <w:p>
            <w:pPr>
              <w:spacing w:after="0"/>
              <w:rPr>
                <w:sz w:val="1"/>
                <w:szCs w:val="1"/>
                <w:color w:val="auto"/>
              </w:rPr>
            </w:pPr>
          </w:p>
        </w:tc>
      </w:tr>
      <w:tr>
        <w:trPr>
          <w:trHeight w:val="237"/>
        </w:trPr>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209,563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189,209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563,867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578,382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4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120,221</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121,530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120,180</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458,202</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438,704</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161,996</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424,313</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435,247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438,704</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165,911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143,528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431,805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438,728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controlling interest</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162,757</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141,206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424,202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435,271</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7"/>
                <w:szCs w:val="17"/>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1,019,600</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Reallocation of capital</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101,971</w:t>
            </w:r>
          </w:p>
        </w:tc>
        <w:tc>
          <w:tcPr>
            <w:tcW w:w="0" w:type="dxa"/>
            <w:vAlign w:val="bottom"/>
          </w:tcPr>
          <w:p>
            <w:pPr>
              <w:spacing w:after="0"/>
              <w:rPr>
                <w:sz w:val="1"/>
                <w:szCs w:val="1"/>
                <w:color w:val="auto"/>
              </w:rPr>
            </w:pPr>
          </w:p>
        </w:tc>
      </w:tr>
      <w:tr>
        <w:trPr>
          <w:trHeight w:val="225"/>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(168,690)</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100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3,447,188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(2,479,119)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976,732</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Reallocation of capital</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164,795</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(162,817)</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2026</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(2,481,032)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990,753</w:t>
            </w:r>
          </w:p>
        </w:tc>
        <w:tc>
          <w:tcPr>
            <w:tcW w:w="0" w:type="dxa"/>
            <w:vAlign w:val="bottom"/>
          </w:tcPr>
          <w:p>
            <w:pPr>
              <w:spacing w:after="0"/>
              <w:rPr>
                <w:sz w:val="1"/>
                <w:szCs w:val="1"/>
                <w:color w:val="auto"/>
              </w:rPr>
            </w:pPr>
          </w:p>
        </w:tc>
      </w:tr>
      <w:tr>
        <w:trPr>
          <w:trHeight w:val="237"/>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Reallocation of capital</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AdSource Outdoor acquisition</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165,150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(167,897)</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2026</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3,502,690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(2,486,933)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1,027,891</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7"/>
                <w:szCs w:val="17"/>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3,229,799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1,041,939</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Reallocation of capital</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139,338</w:t>
            </w:r>
          </w:p>
        </w:tc>
        <w:tc>
          <w:tcPr>
            <w:tcW w:w="0" w:type="dxa"/>
            <w:vAlign w:val="bottom"/>
          </w:tcPr>
          <w:p>
            <w:pPr>
              <w:spacing w:after="0"/>
              <w:rPr>
                <w:sz w:val="1"/>
                <w:szCs w:val="1"/>
                <w:color w:val="auto"/>
              </w:rPr>
            </w:pPr>
          </w:p>
        </w:tc>
      </w:tr>
      <w:tr>
        <w:trPr>
          <w:trHeight w:val="225"/>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(185,433)</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00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3,259,694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(2,232,324)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1,025,691</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155,166</w:t>
            </w:r>
          </w:p>
        </w:tc>
        <w:tc>
          <w:tcPr>
            <w:tcW w:w="0" w:type="dxa"/>
            <w:vAlign w:val="bottom"/>
          </w:tcPr>
          <w:p>
            <w:pPr>
              <w:spacing w:after="0"/>
              <w:rPr>
                <w:sz w:val="1"/>
                <w:szCs w:val="1"/>
                <w:color w:val="auto"/>
              </w:rPr>
            </w:pPr>
          </w:p>
        </w:tc>
      </w:tr>
      <w:tr>
        <w:trPr>
          <w:trHeight w:val="225"/>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(288,619)</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100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3,268,125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(2,366,438)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901,244</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Verde Outdoor acquisition</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147,642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(157,334)</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3,412,011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(2,381,894)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1,040,318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7"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1"/>
          <w:szCs w:val="11"/>
          <w:b w:val="1"/>
          <w:bCs w:val="1"/>
          <w:color w:val="auto"/>
        </w:rPr>
        <w:t>Nine Months Ended</w:t>
      </w:r>
    </w:p>
    <w:p>
      <w:pPr>
        <w:spacing w:after="0" w:line="1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1"/>
          <w:szCs w:val="11"/>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19685</wp:posOffset>
            </wp:positionV>
            <wp:extent cx="17487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68"/>
              <w:spacing w:after="0"/>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88"/>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36"/>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431,916</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438,704</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cash flows provided by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242,207</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Non-cash compensation</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25,305</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4,593</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Gain on disposition of assets and investments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(76,116)</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in earnings of investee</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(8,476)</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6,855</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decrease in:</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Receivables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(12,622)</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(5,271)</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(decrease) in:</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Trade accounts payable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(4,185)</w:t>
            </w:r>
          </w:p>
        </w:tc>
        <w:tc>
          <w:tcPr>
            <w:tcW w:w="0" w:type="dxa"/>
            <w:vAlign w:val="bottom"/>
          </w:tcPr>
          <w:p>
            <w:pPr>
              <w:spacing w:after="0"/>
              <w:rPr>
                <w:sz w:val="1"/>
                <w:szCs w:val="1"/>
                <w:color w:val="auto"/>
              </w:rPr>
            </w:pP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(21,628)</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(33,224)</w:t>
            </w:r>
          </w:p>
        </w:tc>
        <w:tc>
          <w:tcPr>
            <w:tcW w:w="0" w:type="dxa"/>
            <w:vAlign w:val="bottom"/>
          </w:tcPr>
          <w:p>
            <w:pPr>
              <w:spacing w:after="0"/>
              <w:rPr>
                <w:sz w:val="1"/>
                <w:szCs w:val="1"/>
                <w:color w:val="auto"/>
              </w:rPr>
            </w:pPr>
          </w:p>
        </w:tc>
      </w:tr>
      <w:tr>
        <w:trPr>
          <w:trHeight w:val="186"/>
        </w:trPr>
        <w:tc>
          <w:tcPr>
            <w:tcW w:w="84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Cash flows provided by operating activities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648,168</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558,228</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(187,245)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(133,894)</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(120,842)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(117,938)</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123,704</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Decrease in notes receivable</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86"/>
        </w:trPr>
        <w:tc>
          <w:tcPr>
            <w:tcW w:w="84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(277,165)</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(128,059)</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(726,000)</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442,000</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received from note offering</w:t>
            </w:r>
          </w:p>
        </w:tc>
        <w:tc>
          <w:tcPr>
            <w:tcW w:w="3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Payments on accounts receivable securitization program</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(99,400)</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29,400</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received from senior credit facility term loans</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698,250</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senior credit facility term loans</w:t>
            </w:r>
          </w:p>
        </w:tc>
        <w:tc>
          <w:tcPr>
            <w:tcW w:w="3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Debt issuance costs, net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(12,709)</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Contributions from parent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52,324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47,354</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Dividend to parent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(499,404)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(631,386)</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Cash flows used in financing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(381,573)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(457,761)</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(27,445)</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48,961</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114,923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Cash paid for foreign, state and federal income taxes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480" w:type="dxa"/>
            <w:vAlign w:val="bottom"/>
            <w:vMerge w:val="continue"/>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8,434</w:t>
            </w:r>
          </w:p>
        </w:tc>
        <w:tc>
          <w:tcPr>
            <w:tcW w:w="12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21,864</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001"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01"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2025 Combined Form 10-K.</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Certain notes are not provided for the accompanying condensed consolidated financial statements as the information in notes 1, 2, 3, 4, 5, 6, 7, 8, 9, 11, 12, 13, 14, 16, 17, 18, and 20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Summarized Financial Information of Subsidiaries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Summarized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summarized financial information. The following summarized financial information should be read in conjunction with the accompanying consolidated financial statements and notes. Separate financial statements of Lamar Media’s subsidiary guarantors are not included because the guarantors are each a consolidated subsidiary of Lamar Media, Lamar Media’s consolidated financial statements have been filed, and the guaranteed securities are debt securities with Lamar Media as the issuer. The accounts for all companies reflected herein are presented using the equity method of accounting for investments in subsidiaries.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Balance Sheet as of September 30, 2026</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Lamar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5"/>
                <w:szCs w:val="15"/>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Media Corp.</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24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44,799</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FF0FC"/>
              <w:right w:val="single" w:sz="8" w:color="CCEEFF"/>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50,616</w:t>
            </w: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FF0FC"/>
              <w:right w:val="single" w:sz="8" w:color="CCEEFF"/>
            </w:tcBorders>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368,019</w:t>
            </w: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463,434</w:t>
            </w:r>
          </w:p>
        </w:tc>
        <w:tc>
          <w:tcPr>
            <w:tcW w:w="60" w:type="dxa"/>
            <w:vAlign w:val="bottom"/>
            <w:tcBorders>
              <w:top w:val="single" w:sz="8" w:color="auto"/>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4,576,798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6,816,636</w:t>
            </w:r>
          </w:p>
        </w:tc>
        <w:tc>
          <w:tcPr>
            <w:tcW w:w="180" w:type="dxa"/>
            <w:vAlign w:val="bottom"/>
          </w:tcPr>
          <w:p>
            <w:pPr>
              <w:spacing w:after="0"/>
              <w:rPr>
                <w:sz w:val="21"/>
                <w:szCs w:val="21"/>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284,288</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(5,129,373)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6,548,349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59,752</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449,641</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267,025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776,418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3,548,968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1,895,955</w:t>
            </w:r>
          </w:p>
        </w:tc>
        <w:tc>
          <w:tcPr>
            <w:tcW w:w="180" w:type="dxa"/>
            <w:vAlign w:val="bottom"/>
          </w:tcPr>
          <w:p>
            <w:pPr>
              <w:spacing w:after="0"/>
              <w:rPr>
                <w:sz w:val="21"/>
                <w:szCs w:val="21"/>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440,415</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5,207,474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15,710</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(696)</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3"/>
        </w:trPr>
        <w:tc>
          <w:tcPr>
            <w:tcW w:w="2700" w:type="dxa"/>
            <w:vAlign w:val="bottom"/>
          </w:tcPr>
          <w:p>
            <w:pPr>
              <w:spacing w:after="0"/>
              <w:rPr>
                <w:sz w:val="24"/>
                <w:szCs w:val="24"/>
                <w:color w:val="auto"/>
              </w:rPr>
            </w:pPr>
          </w:p>
        </w:tc>
        <w:tc>
          <w:tcPr>
            <w:tcW w:w="5780" w:type="dxa"/>
            <w:vAlign w:val="bottom"/>
            <w:gridSpan w:val="8"/>
          </w:tcPr>
          <w:p>
            <w:pPr>
              <w:jc w:val="right"/>
              <w:ind w:right="777"/>
              <w:spacing w:after="0"/>
              <w:rPr>
                <w:sz w:val="20"/>
                <w:szCs w:val="20"/>
                <w:color w:val="auto"/>
              </w:rPr>
            </w:pPr>
            <w:r>
              <w:rPr>
                <w:rFonts w:ascii="Times New Roman" w:cs="Times New Roman" w:eastAsia="Times New Roman" w:hAnsi="Times New Roman"/>
                <w:sz w:val="18"/>
                <w:szCs w:val="18"/>
                <w:b w:val="1"/>
                <w:bCs w:val="1"/>
                <w:color w:val="auto"/>
              </w:rPr>
              <w:t>Summarized Balance Sheet as of December 31, 2025</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2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24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68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tcBorders>
              <w:top w:val="single" w:sz="8" w:color="CCEEFF"/>
              <w:bottom w:val="single" w:sz="8" w:color="CCEEFF"/>
              <w:right w:val="single" w:sz="8" w:color="CFF0FC"/>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CFF0FC"/>
              <w:right w:val="single" w:sz="8" w:color="CCEEFF"/>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52,917</w:t>
            </w:r>
          </w:p>
        </w:tc>
        <w:tc>
          <w:tcPr>
            <w:tcW w:w="120" w:type="dxa"/>
            <w:vAlign w:val="bottom"/>
            <w:tcBorders>
              <w:top w:val="single" w:sz="8" w:color="CCEEFF"/>
              <w:bottom w:val="single" w:sz="8" w:color="CCEEFF"/>
              <w:right w:val="single" w:sz="8" w:color="CFF0FC"/>
            </w:tcBorders>
            <w:shd w:val="clear" w:color="auto" w:fill="CCEEFF"/>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CFF0FC"/>
              <w:right w:val="single" w:sz="8" w:color="CCEEFF"/>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57,033</w:t>
            </w:r>
          </w:p>
        </w:tc>
        <w:tc>
          <w:tcPr>
            <w:tcW w:w="18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CFF0FC"/>
              <w:right w:val="single" w:sz="8" w:color="CCEEFF"/>
            </w:tcBorders>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349,273</w:t>
            </w:r>
          </w:p>
        </w:tc>
        <w:tc>
          <w:tcPr>
            <w:tcW w:w="18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CFF0FC"/>
              <w:right w:val="single" w:sz="8" w:color="CCEEFF"/>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CFF0FC"/>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4,470,971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6,704,177</w:t>
            </w:r>
          </w:p>
        </w:tc>
        <w:tc>
          <w:tcPr>
            <w:tcW w:w="180" w:type="dxa"/>
            <w:vAlign w:val="bottom"/>
          </w:tcPr>
          <w:p>
            <w:pPr>
              <w:spacing w:after="0"/>
              <w:rPr>
                <w:sz w:val="21"/>
                <w:szCs w:val="21"/>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288,193</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(5,007,353)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6,455,988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53,031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462,330</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267,118</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3,464,450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1,881,921</w:t>
            </w:r>
          </w:p>
        </w:tc>
        <w:tc>
          <w:tcPr>
            <w:tcW w:w="180" w:type="dxa"/>
            <w:vAlign w:val="bottom"/>
          </w:tcPr>
          <w:p>
            <w:pPr>
              <w:spacing w:after="0"/>
              <w:rPr>
                <w:sz w:val="21"/>
                <w:szCs w:val="21"/>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414,928</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5,113,132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5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13,691</w:t>
            </w:r>
          </w:p>
        </w:tc>
        <w:tc>
          <w:tcPr>
            <w:tcW w:w="18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shd w:val="clear" w:color="auto" w:fill="CCEEFF"/>
          </w:tcPr>
          <w:p>
            <w:pPr>
              <w:spacing w:after="0"/>
              <w:rPr>
                <w:sz w:val="21"/>
                <w:szCs w:val="21"/>
                <w:color w:val="auto"/>
              </w:rPr>
            </w:pPr>
          </w:p>
        </w:tc>
        <w:tc>
          <w:tcPr>
            <w:tcW w:w="114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shd w:val="clear" w:color="auto" w:fill="CCEEFF"/>
          </w:tcPr>
          <w:p>
            <w:pPr>
              <w:spacing w:after="0"/>
              <w:rPr>
                <w:sz w:val="2"/>
                <w:szCs w:val="2"/>
                <w:color w:val="auto"/>
              </w:rPr>
            </w:pPr>
          </w:p>
        </w:tc>
        <w:tc>
          <w:tcPr>
            <w:tcW w:w="15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r>
      <w:tr>
        <w:trPr>
          <w:trHeight w:val="190"/>
        </w:trPr>
        <w:tc>
          <w:tcPr>
            <w:tcW w:w="424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6"/>
                <w:szCs w:val="16"/>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42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624,468</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414,905</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209,563</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165,150</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161,996</w:t>
            </w:r>
          </w:p>
        </w:tc>
      </w:tr>
      <w:tr>
        <w:trPr>
          <w:trHeight w:val="531"/>
        </w:trPr>
        <w:tc>
          <w:tcPr>
            <w:tcW w:w="8480" w:type="dxa"/>
            <w:vAlign w:val="bottom"/>
            <w:gridSpan w:val="10"/>
          </w:tcPr>
          <w:p>
            <w:pPr>
              <w:ind w:left="3180"/>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8"/>
        </w:trPr>
        <w:tc>
          <w:tcPr>
            <w:tcW w:w="8480" w:type="dxa"/>
            <w:vAlign w:val="bottom"/>
            <w:gridSpan w:val="10"/>
          </w:tcPr>
          <w:p>
            <w:pPr>
              <w:ind w:left="376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4"/>
        </w:trPr>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r>
      <w:tr>
        <w:trPr>
          <w:trHeight w:val="204"/>
        </w:trPr>
        <w:tc>
          <w:tcPr>
            <w:tcW w:w="4240" w:type="dxa"/>
            <w:vAlign w:val="bottom"/>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7"/>
                <w:szCs w:val="17"/>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42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585,541</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396,332</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189,209</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144,200</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(179,491)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141,878</w:t>
            </w:r>
          </w:p>
        </w:tc>
      </w:tr>
      <w:tr>
        <w:trPr>
          <w:trHeight w:val="27"/>
        </w:trPr>
        <w:tc>
          <w:tcPr>
            <w:tcW w:w="4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200" w:type="dxa"/>
            <w:vAlign w:val="bottom"/>
          </w:tcPr>
          <w:p>
            <w:pPr>
              <w:spacing w:after="0"/>
              <w:rPr>
                <w:sz w:val="15"/>
                <w:szCs w:val="15"/>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7"/>
                <w:szCs w:val="17"/>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1,769,221</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1,205,354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563,867</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431,916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Net income (loss) attributable to controlling interest</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424,313</w:t>
            </w:r>
          </w:p>
        </w:tc>
        <w:tc>
          <w:tcPr>
            <w:tcW w:w="0" w:type="dxa"/>
            <w:vAlign w:val="bottom"/>
          </w:tcPr>
          <w:p>
            <w:pPr>
              <w:spacing w:after="0"/>
              <w:rPr>
                <w:sz w:val="1"/>
                <w:szCs w:val="1"/>
                <w:color w:val="auto"/>
              </w:rPr>
            </w:pPr>
          </w:p>
        </w:tc>
      </w:tr>
      <w:tr>
        <w:trPr>
          <w:trHeight w:val="531"/>
        </w:trPr>
        <w:tc>
          <w:tcPr>
            <w:tcW w:w="8480" w:type="dxa"/>
            <w:vAlign w:val="bottom"/>
            <w:gridSpan w:val="11"/>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4700" w:type="dxa"/>
            <w:vAlign w:val="bottom"/>
            <w:gridSpan w:val="10"/>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 2025</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204"/>
        </w:trPr>
        <w:tc>
          <w:tcPr>
            <w:tcW w:w="3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7"/>
                <w:szCs w:val="17"/>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378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1,670,282</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578,382</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438,704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Net income (loss) attributable to controlling interest</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435,247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(544,978)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435,247</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Reporting</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2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244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2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2440" w:type="dxa"/>
            <w:vAlign w:val="bottom"/>
            <w:tcBorders>
              <w:bottom w:val="single" w:sz="8" w:color="CCEEFF"/>
            </w:tcBorders>
          </w:tcPr>
          <w:p>
            <w:pPr>
              <w:spacing w:after="0"/>
              <w:rPr>
                <w:sz w:val="3"/>
                <w:szCs w:val="3"/>
                <w:color w:val="auto"/>
              </w:rPr>
            </w:pPr>
          </w:p>
        </w:tc>
        <w:tc>
          <w:tcPr>
            <w:tcW w:w="3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562,287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524,769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1,583,234</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1,481,983</w:t>
            </w:r>
          </w:p>
        </w:tc>
      </w:tr>
      <w:tr>
        <w:trPr>
          <w:trHeight w:val="27"/>
        </w:trPr>
        <w:tc>
          <w:tcPr>
            <w:tcW w:w="2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185,987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188,299</w:t>
            </w:r>
          </w:p>
        </w:tc>
      </w:tr>
      <w:tr>
        <w:trPr>
          <w:trHeight w:val="237"/>
        </w:trPr>
        <w:tc>
          <w:tcPr>
            <w:tcW w:w="5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624,468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585,541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1,769,221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1,670,282</w:t>
            </w:r>
          </w:p>
        </w:tc>
      </w:tr>
      <w:tr>
        <w:trPr>
          <w:trHeight w:val="27"/>
        </w:trPr>
        <w:tc>
          <w:tcPr>
            <w:tcW w:w="2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2440" w:type="dxa"/>
            <w:vAlign w:val="bottom"/>
            <w:shd w:val="clear" w:color="auto" w:fill="CCEEFF"/>
          </w:tcPr>
          <w:p>
            <w:pPr>
              <w:spacing w:after="0"/>
              <w:rPr>
                <w:sz w:val="22"/>
                <w:szCs w:val="22"/>
                <w:color w:val="auto"/>
              </w:rPr>
            </w:pPr>
          </w:p>
        </w:tc>
        <w:tc>
          <w:tcPr>
            <w:tcW w:w="3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666,328</w:t>
            </w: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154,063</w:t>
            </w:r>
          </w:p>
        </w:tc>
      </w:tr>
      <w:tr>
        <w:trPr>
          <w:trHeight w:val="27"/>
        </w:trPr>
        <w:tc>
          <w:tcPr>
            <w:tcW w:w="244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820,391</w:t>
            </w:r>
          </w:p>
        </w:tc>
      </w:tr>
      <w:tr>
        <w:trPr>
          <w:trHeight w:val="257"/>
        </w:trPr>
        <w:tc>
          <w:tcPr>
            <w:tcW w:w="24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Segmented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319,889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297,264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875,987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815,655</w:t>
            </w:r>
          </w:p>
        </w:tc>
      </w:tr>
      <w:tr>
        <w:trPr>
          <w:trHeight w:val="27"/>
        </w:trPr>
        <w:tc>
          <w:tcPr>
            <w:tcW w:w="2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34,236</w:t>
            </w:r>
          </w:p>
        </w:tc>
      </w:tr>
      <w:tr>
        <w:trPr>
          <w:trHeight w:val="270"/>
        </w:trPr>
        <w:tc>
          <w:tcPr>
            <w:tcW w:w="5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(26,405)</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(80,636)</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(80,133)</w:t>
            </w:r>
          </w:p>
        </w:tc>
      </w:tr>
      <w:tr>
        <w:trPr>
          <w:trHeight w:val="288"/>
        </w:trPr>
        <w:tc>
          <w:tcPr>
            <w:tcW w:w="5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306,985</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836,952</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769,758</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2440" w:type="dxa"/>
            <w:vAlign w:val="bottom"/>
            <w:tcBorders>
              <w:bottom w:val="single" w:sz="8" w:color="auto"/>
            </w:tcBorders>
          </w:tcPr>
          <w:p>
            <w:pPr>
              <w:spacing w:after="0"/>
              <w:rPr>
                <w:sz w:val="13"/>
                <w:szCs w:val="13"/>
                <w:color w:val="auto"/>
              </w:rPr>
            </w:pPr>
          </w:p>
        </w:tc>
        <w:tc>
          <w:tcPr>
            <w:tcW w:w="3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67" w:lineRule="exact"/>
        <w:rPr>
          <w:sz w:val="20"/>
          <w:szCs w:val="20"/>
          <w:color w:val="auto"/>
        </w:rPr>
      </w:pPr>
    </w:p>
    <w:p>
      <w:pPr>
        <w:ind w:left="340" w:hanging="332"/>
        <w:spacing w:after="0" w:line="298"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Reconciliation of adjusted EBITDA to income before income tax expense: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56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306,985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769,758</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(25,305)</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(242,207)</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76,116</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(118,374)</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7"/>
        </w:trPr>
        <w:tc>
          <w:tcPr>
            <w:tcW w:w="5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5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168,778</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146,766</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442,337</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458,202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2025 Combined Form 10-K filed on February 20, 2026, and such risk factors as further updated or supplemented, from time to time, in our combined Quarterly Reports on Form 10-Q and Current Reports on Form 8-K. You should carefully consider each of these risks and uncertainties in evaluating the Company’s and Lamar Media’s financial condition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the Company for the three and nine months ended September 30, 2026 and 2025. This discussion should be read in conjunction with the condensed consolidated financial statements of the Company and the related notes thereto.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Company’s net revenues are derived primarily from the rental of advertising space on outdoor advertising displays owned and operated by the Company. We manage our business through three operating segments – billboard, logo and transit advertising. Revenue growth is based on many factors that include the Company’s ability to increase occupancy of its existing advertising displays; raise advertising rates; and acquire new advertising displays. Its operating results are therefore affected by general economic conditions, as well as trends in the advertising industry. Advertising spending is particularly sensitive to changes in general economic conditions, which affect the rates the Company is able to charge for advertising on its displays and its ability to maximize advertising sales or occupancy on its displays.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capital expenditures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the senior credit facility and the Accounts Receivable Securitization Program or through the issuance of debt or equity securities. See “Liquidity and Capital Resources- Sources of Cash,” for more information.</w:t>
      </w:r>
    </w:p>
    <w:p>
      <w:pPr>
        <w:spacing w:after="0" w:line="21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2026, the Company completed multiple acquisitions for a total cash purchase price of approximately $187.2 million. See </w:t>
      </w:r>
      <w:r>
        <w:rPr>
          <w:rFonts w:ascii="Times New Roman" w:cs="Times New Roman" w:eastAsia="Times New Roman" w:hAnsi="Times New Roman"/>
          <w:sz w:val="18"/>
          <w:szCs w:val="18"/>
          <w:i w:val="1"/>
          <w:iCs w:val="1"/>
          <w:color w:val="auto"/>
        </w:rPr>
        <w:t>Uses of Cash – Acquisitions</w:t>
      </w:r>
      <w:r>
        <w:rPr>
          <w:rFonts w:ascii="Times New Roman" w:cs="Times New Roman" w:eastAsia="Times New Roman" w:hAnsi="Times New Roman"/>
          <w:sz w:val="18"/>
          <w:szCs w:val="18"/>
          <w:color w:val="auto"/>
        </w:rPr>
        <w:t xml:space="preserve"> for more information. 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and nine months ended September 30, 2026 and 2025: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56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r>
      <w:tr>
        <w:trPr>
          <w:trHeight w:val="24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Billboard — traditional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22,677</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Billboard — digital</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22,913</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57,581</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63,486</w:t>
            </w:r>
          </w:p>
        </w:tc>
      </w:tr>
      <w:tr>
        <w:trPr>
          <w:trHeight w:val="24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Logos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Transit</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r>
      <w:tr>
        <w:trPr>
          <w:trHeight w:val="24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Land and buildings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equipment</w:t>
            </w: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1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13,727</w:t>
            </w:r>
          </w:p>
        </w:tc>
      </w:tr>
      <w:tr>
        <w:trPr>
          <w:trHeight w:val="236"/>
        </w:trPr>
        <w:tc>
          <w:tcPr>
            <w:tcW w:w="5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120,842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117,938</w:t>
            </w:r>
          </w:p>
        </w:tc>
      </w:tr>
      <w:tr>
        <w:trPr>
          <w:trHeight w:val="27"/>
        </w:trPr>
        <w:tc>
          <w:tcPr>
            <w:tcW w:w="5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revenues.</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 Our management uses this measure internally to evaluate the performance of our business as a whole and our individual business segments.</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FFO is defined as net income before (gain) loss from the sale or disposal of real estate assets and investments, net of tax, and real estate related depreciation and amortization and including adjustments to eliminate unconsolidated affiliates and non-controlling interest.</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 (iv) non-cash portion of tax expense (benefit); (v) non-real estate related depreciation and amortization; (vi) amortization of deferred financing costs; (vii) loss on extinguishment of debt; (viii) transaction expenses; (ix) non-recurring infrequent or unusual losses (gains); (x) less maintenance capital expenditures; and (xi) an adjustment for unconsolidated affiliates and non-controlling interest.</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Acquisition-adjusted net revenues adjusts our net revenues for the prior period by adding to it the net revenues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revenues”. In addition, we adjust the prior period to subtract revenue generated by the assets that have been divested since the prior period and, therefore, no revenue derived from those assets is reflected in the current period.</w:t>
      </w:r>
    </w:p>
    <w:p>
      <w:pPr>
        <w:spacing w:after="0" w:line="214"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Adjusted EBITDA, FFO, AFFO and acquisition-adjusted net revenues are not intended to replace net income or any other performance measures determined in accordance with GAAP. Neither FFO nor AFFO represents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revenues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 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w:t>
      </w:r>
    </w:p>
    <w:p>
      <w:pPr>
        <w:spacing w:after="0" w:line="1" w:lineRule="exact"/>
        <w:rPr>
          <w:sz w:val="20"/>
          <w:szCs w:val="20"/>
          <w:color w:val="auto"/>
        </w:rPr>
      </w:pPr>
    </w:p>
    <w:p>
      <w:pPr>
        <w:jc w:val="both"/>
        <w:ind w:firstLine="8"/>
        <w:spacing w:after="0" w:line="253"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net revenues is a supplement to net revenues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214"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Our measurement of adjusted EBITDA, FFO, AFFO and acquisition-adjusted net revenues may not, however, be fully comparable to similarly titled measures used by other companies. Reconciliations of adjusted EBITDA, FFO, AFFO and acquisition-adjusted net revenues to net income, the most directly comparable GAAP measure, have been included herein.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nine months ended September 30, 2025</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$98.9 million, or 5.9%, to $1.77 billion for the nine months ended September 30, 2026 from $1.67 billion for the same period in 2025. This increase was primarily attributable to an increase in billboard net revenues of $101.3 million and an increase in logo net revenues of $1.7 million, offset by a decrease in transit net revenues of $4.0 million over the same period in 2025.</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2026, there was a $92.1 million increase in net revenues as compared to acquisition-adjusted net revenues for the nine months ended September 30, 2025, which represents an increase of 5.5%. See "Reconciliations" below. The $92.1 million increase in net revenues is primarily due to an increase of $78.5 million in billboard net revenues, an increase of $2.2 million in logo net revenues, and an increase in transit net revenues of $11.5 million over the same period in 2025.</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and investments, increased $44.7 million, or 4.8%, to $970.9 million for the nine months ended September 30, 2026 from $926.2 million for the same period in 2025. The $44.7 million increase over the prior year is comprised of a $31.7 million increase in total direct, general and administrative and corporate expenses (excluding stock-based compensation) primarily related to the operations of our outdoor advertising assets, as well as a $13.0 million increase in stock-based compensation.</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$24.8 million to $267.0 million for the nine months ended September 30, 2026 as compared to $242.2 million for the same period in 2025, primarily related to the disposal of previously capitalized software implementation costs, as well as acquisitions and capital expenditures completed in the last twelve months.</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the Company recognized a gain on disposition of assets and investments of $32.2 million as compared to $76.1 million for the same period in 2025. The $44.0 million decrease is primarily related to the gain associated with the sale of Lamar's equity interest in Vistar Media, Inc. during the nine months ended September 30, 2025.</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decreased by $14.5 million to $563.5 million for the nine months ended September 30, 2026 as compared to $578.0 million for the same period in 2025.</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increased $2.6 million for the nine months ended September 30, 2026 to $122.8 million as compared to $120.2 million for the nine months ended September 30, 2025. The increase was primarily due to the institutional private placement of the 5 3/8% Senior Notes in September 2025, offset by a decrease in interest rates on the senior credit facility and Accounts Receivable Securitization Program.</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decrease in operating income, as well as the increase in interest expense, resulted in a $15.9 million decrease in income before income tax expense for the nine months ended September 30, 2026 as compared to the same period in 2025. The effective tax rate for the nine months ended September 30, 2026 was 2.4%, which differs from the federal statutory rate primarily due to our qualification for taxation as a REIT and adjustments for foreign items.</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nine months ended September 30, 2026 of $431.5 million, as compared to net income of $438.3 million for the same period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2024 have contributed to our net revenues results for the periods presented, we provide 2025 acquisition-adjusted net revenues, which adjusts our 2025 net revenues for the nine months ended September 30, 2025 by adding to or subtracting from it the net revenues generated by the acquired or divested assets prior to our acquisition or divestiture of these assets for the same time frame that those assets were owned in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2025 reported net revenues to 2025 acquisition-adjusted net revenues for the nine months ended September 30, as well as a comparison of 2025 acquisition-adjusted net revenues to 2026 reported net revenues for the nine months ended September 30, are provided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Revenues to Acquisition-Adjusted Net Revenues</w:t>
      </w:r>
    </w:p>
    <w:p>
      <w:pPr>
        <w:spacing w:after="0" w:line="3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1,670,282</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1,769,221</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1,677,104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1"/>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836,545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769,374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67,171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nine months ended September 30, 2026 increased 8.7% to $836.5 million. The increase in adjusted EBITDA was primarily attributable to an increase in our gross margin (net revenues less direct advertising expenses, exclusive of depreciation and amortization and capitalized contract fulfillment costs, net) of $79.4 million, offset by an increase in total general and administrative and corporate expenses of $12.2 million, excluding the impact of stock-based compensation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(81,043)</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836,545</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769,374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67,171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3" w:lineRule="exact"/>
        <w:rPr>
          <w:rFonts w:ascii="Times New Roman" w:cs="Times New Roman" w:eastAsia="Times New Roman" w:hAnsi="Times New Roman"/>
          <w:sz w:val="16"/>
          <w:szCs w:val="16"/>
          <w:color w:val="auto"/>
        </w:rPr>
      </w:pPr>
    </w:p>
    <w:p>
      <w:pPr>
        <w:ind w:left="340" w:hanging="332"/>
        <w:spacing w:after="0" w:line="257"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nine months ended September 30, 2026 increased 8.7% to $836.5 million. The increase in adjusted EBITDA was primarily attributable to the increase in our billboard advertising adjusted EBITDA of $60.3 million and an increase in other adjusted EBITDA of $7.4 million, offset by an increase in corporate expenses of $0.5 million, excluding the impact of stock-based compensation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and investments,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628,755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674,755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616,062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2026, FFO was $628.8 million as compared to $600.8 million for the same period in 2025, an increase of 4.6%. AFFO for the nine months ended September 30, 2026 increased 9.5% to $674.8 million as compared to $616.1 million for the same period in 2025. The increase in AFFO was primarily attributable to an increase in our gross margin (net revenues less direct advertising expenses, exclusive of depreciation and amortization and capitalized contract fulfillment costs, net) of $79.4 million, offset by an increase in interest expense of $2.6 million and an increase in total general and administrative and corporate expenses of $12.2 million for the nine months ended September 30,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three months ended September 30, 2025</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$38.9 million or 6.6% to $624.5 million for the three months ended September 30, 2026 from $585.5 million for the same period in 2025. This increase was primarily attributable to an increase in billboard net revenues of $37.5 million, an increase in logo net revenues of $0.1 million, and an increase in transit net revenues of $1.3 million over the same period in 2025.</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there was a $36.6 million increase in net revenues as compared to acquisition-adjusted net revenues for the three months ended September 30, 2025, which represents an increase of 6.2%. See "Reconciliations" below. The $36.6 million increase in net revenues is primarily due to an increase of $32.2 million in billboard net revenues, an increase of $0.3 million in logo net revenues, and an increase of $4.1 million in transit net revenues over the same period in 2025.</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and investments, increased $18.9 million, or 6.1%, to $331.3 million for the three months ended September 30, 2026 from $312.3 million for the same period in 2025. The $18.9 million increase over the prior year is comprised of a $13.4 million increase in total direct, general and administrative and corporate expenses (excluding stock-based compensation) primarily related to the operations of our outdoor advertising assets, as well as a $5.5 million increase in stock-based compensation.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$14.4 million to $100.6 million for the three months ended September 30, 2026 as compared to $86.3 million for the same period in 2025. The increase is primarily related to the disposal of previously capitalized software implementation costs, as well as acquisitions and capital expenditures completed in the last twelve months.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the Company recognized a gain on disposition of assets and investments of $16.9 million, primarily resulting from transactions related to the sale of real estate and billboard locations and displays.</w:t>
      </w:r>
    </w:p>
    <w:p>
      <w:pPr>
        <w:spacing w:after="0" w:line="18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$20.4 million to $209.4 million for the three months ended September 30, 2026 as compared to $189.1 million for the same period in 2025.</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Interest expense was $41.2 million for both the three months ended September 30, 2026 and 2025.</w:t>
      </w:r>
    </w:p>
    <w:p>
      <w:pPr>
        <w:spacing w:after="0" w:line="25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resulted in an increase in income before income tax expense of $22.0 million for the three months ended September 30, 2026 as compared to the same period in 2025. The effective tax rate for the three months ended September 30, 2026 was 2.2%, which differs from the federal statutory rate primarily due to our qualification for taxation as a REIT and adjustments for foreign items.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three months ended September 30, 2026 of $165.0 million, as compared to net income of $144.1 million for the same period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2024 have contributed to our net revenues results for the periods presented, we provide 2025 acquisition-adjusted net revenues, which adjusts our 2025 net revenues for the three months ended September 30, 2025 by adding to or subtracting from it the net revenues generated by the acquired or divested assets prior to our acquisition or divestiture of these assets for the same time frame that those assets were owned in the three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2025 reported net revenues to 2025 acquisition-adjusted net revenues for the three months ended September 30, as well as a comparison of 2025 acquisition-adjusted net revenues to 2026 reported net revenues for the three months ended September 30, are provided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Revenues to Acquisition-Adjusted Net Revenues</w:t>
      </w:r>
    </w:p>
    <w:p>
      <w:pPr>
        <w:spacing w:after="0" w:line="3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585,541</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624,468</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587,867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1"/>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306,859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280,770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2026 increased 9.3% to $306.9 million. The increase in adjusted EBITDA was primarily attributable to an increase in our gross margin (net revenues less direct advertising expense, exclusive of depreciation and amortization and capitalized contract fulfillment costs, net) of $30.9 million offset by an increase in total general and administrative and corporate expenses of $4.8 million, excluding the impact of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(26,531)</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306,859</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280,770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6" w:lineRule="exact"/>
        <w:rPr>
          <w:rFonts w:ascii="Times New Roman" w:cs="Times New Roman" w:eastAsia="Times New Roman" w:hAnsi="Times New Roman"/>
          <w:sz w:val="16"/>
          <w:szCs w:val="16"/>
          <w:color w:val="auto"/>
        </w:rPr>
      </w:pPr>
    </w:p>
    <w:p>
      <w:pPr>
        <w:ind w:left="340" w:hanging="332"/>
        <w:spacing w:after="0" w:line="270"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9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2026 increased 9.3% to $306.9 million. The increase in adjusted EBITDA was primarily attributable to the increase in our billboard advertising adjusted EBITDA of $22.6 million, an increase in other adjusted EBITDA of $3.0 million and a decrease in corporate expenses of $0.5 million, excluding the impact of stock-based compensation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and investments,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226,472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FFO was $224.2 million as compared to $219.3 million for the same period in 2025, an increase of 2.2%. AFFO for the three months ended September 30, 2026 increased 10.1% to $249.3 million as compared to $226.5 million for the same period in 2025. The increase in AFFO was primarily attributable to an increase in our gross margin (net revenues less direct advertising expense, exclusive of depreciation and amortization and capitalized contract fulfillment costs, net) of $30.9 million, offset by an increase in total general and administrative and corporate expenses of $4.8 million, excluding the impact of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has historically satisfied its working capital requirements with cash from operations and borrowings under the senior credit facility and the Accounts Receivable Securitization Program. The Company’s wholly owned subsidiary, Lamar Media Corp., is the borrower under the senior credit facility and maintains all corporate operating cash balances. Certain subsidiaries of Lamar Media are the principal borrowers under the Accounts Receivable Securitization Program. Any cash requirements of the Company, therefore, must be funded by distributions from Lamar Media.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25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Liquidity. </w:t>
      </w:r>
      <w:r>
        <w:rPr>
          <w:rFonts w:ascii="Times New Roman" w:cs="Times New Roman" w:eastAsia="Times New Roman" w:hAnsi="Times New Roman"/>
          <w:sz w:val="18"/>
          <w:szCs w:val="18"/>
          <w:color w:val="auto"/>
        </w:rPr>
        <w:t>As of September 30, 2026 we had $721.1 million of total liquidity, which is comprised of $54.1 million in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and $667.0 million of availability under the revolving portion of Lamar Media’s senior credit facility. We expect our total liquidity to be adequate for the Company to meet its operational requirements for the next twelve months. We are currently in compliance with the maintenance covenant included in the senior credit facility and we would remain in compliance after accounting for borrowing the full amount available to us under the revolving portion of the senior credit facility.</w:t>
      </w:r>
    </w:p>
    <w:p>
      <w:pPr>
        <w:spacing w:after="0" w:line="21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a working capital deficit of $324.7 million and $334.3 million, respectively. The decrease in working capital deficit of $9.6 million is primarily due to an increase in our receivables balance and a decrease in current operating lease liabilities, offset by an increase in deferred income as of September 30, 2026.</w:t>
      </w:r>
    </w:p>
    <w:p>
      <w:pPr>
        <w:spacing w:after="0" w:line="20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Generated by Operations. </w:t>
      </w:r>
      <w:r>
        <w:rPr>
          <w:rFonts w:ascii="Times New Roman" w:cs="Times New Roman" w:eastAsia="Times New Roman" w:hAnsi="Times New Roman"/>
          <w:sz w:val="18"/>
          <w:szCs w:val="18"/>
          <w:color w:val="auto"/>
        </w:rPr>
        <w:t>For the nine months ended September 30, 2026 and 2025, our cash provided by operating activities was $683.9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$592.9 million, respectively. We expect to generate cash flows from operations during 2026 in excess of our cash needs for operations, capital expenditures and dividends, as described herein. We believe we have sufficient liquidity available under our revolving credit facility to meet our operating cash needs for the next twelve months.</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Accounts Receivable Securitization Program. </w:t>
      </w:r>
      <w:r>
        <w:rPr>
          <w:rFonts w:ascii="Times New Roman" w:cs="Times New Roman" w:eastAsia="Times New Roman" w:hAnsi="Times New Roman"/>
          <w:sz w:val="18"/>
          <w:szCs w:val="18"/>
          <w:color w:val="auto"/>
        </w:rPr>
        <w:t>On June 24, 2022, Lamar Media and the Special Purpose Subsidiaries entered into the Sixth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(the "Sixth Amendment") to the Receivables Financing Agreement. The Sixth Amendment increased the Accounts Receivable Securitization Program from $175.0 million to $250.0 million. Additionally, the Sixth Amendment provides for the replacement of LIBOR-based interest rate mechanics with Term Secured Overnight Financing Rate ("Term SOFR") based interest rate mechanics for the Accounts Receivable Securitization Program.</w:t>
      </w:r>
    </w:p>
    <w:p>
      <w:pPr>
        <w:spacing w:after="0" w:line="20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The Accounts Receivable Securitization Program was set to mature on July 21, 2025, but was subsequently extended to October 15, 2027 by the Seventh Amendment to the Receivables Financing Agreement dated October 15, 2024 and was further extended after September 30, 2026. See Note 20,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further amendment information. Lamar Media may amend the facility to further extend the maturity date, enter into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securitization facility with a different maturity date, or refinance the indebtedness outstanding under the Accounts Receivable Securitization Program using borrowings under its senior credit facility or from other financing sources.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("TRSs")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guarantee its performance in its capacity as servicer and originator, as well as the performance of the Subsidiary Originators, of their obligations under the agreements governing the Accounts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September 30, 2026, there was $250.0 million in outstanding aggregate borrowings under the Accounts Receivable Securitization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had no additional availability under the Accounts Receivable Securitization Program as of September 30, 2026.</w:t>
      </w:r>
    </w:p>
    <w:p>
      <w:pPr>
        <w:spacing w:after="0" w:line="232"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On July 24, 2024, the Company entered into an equity distribution agreement, or At-the-Market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"2024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2024 Sales Agreement, the Company may, from time to time, issue and sell shares of its Class A common stock, having an aggregate offering price of up to $400.0 million through the Sales Agents as either agents or principals. Sales of the Class A common stock, if any, may be conducted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2024 Sales Agreement and may at any time suspend solicitations and offers under the 2024 Sales Agreement. The Company intends to use the net proceeds, if any, from the sale of the Class A common stock pursuant to the 2024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the 2024 Sales Agreement or the prior sales agreement during the year ended December 31, 2025 and the nine months ended September 30, 2026.</w:t>
      </w:r>
    </w:p>
    <w:p>
      <w:pPr>
        <w:spacing w:after="0" w:line="214" w:lineRule="exact"/>
        <w:rPr>
          <w:sz w:val="20"/>
          <w:szCs w:val="20"/>
          <w:color w:val="auto"/>
        </w:rPr>
      </w:pPr>
    </w:p>
    <w:p>
      <w:pPr>
        <w:jc w:val="both"/>
        <w:ind w:right="20"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Shelf Registration Statement. </w:t>
      </w:r>
      <w:r>
        <w:rPr>
          <w:rFonts w:ascii="Times New Roman" w:cs="Times New Roman" w:eastAsia="Times New Roman" w:hAnsi="Times New Roman"/>
          <w:sz w:val="18"/>
          <w:szCs w:val="18"/>
          <w:color w:val="auto"/>
        </w:rPr>
        <w:t>On July 24, 2024, the Company filed a new automatically effective shelf registration statement that allows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offer and sell an indeterminate amount of additional shares of its Class A common stock. As of September 30, 2026, the Company has not issued any shares under the shelf registration statement.</w:t>
      </w:r>
    </w:p>
    <w:p>
      <w:pPr>
        <w:spacing w:after="0" w:line="20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On February 6, 2020, Lamar Media entered into a Fourth Amended and Restated Credit Agreement (the “Fourth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 xml:space="preserve">The senior credit facility, as established by the Fourth Amended and Restated Credit Agreement (as amended by the Amendments, as defined below) (the “senior credit facility”), consists of (i) a $750.0 million senior secured revolving credit facility which will mature on July 31, 2028, subject to certain conditions (see description of Amendment No. 4 below) (the “revolving credit facility”), (ii) a $700.0 million senior secured Term B loan facility (the “Term B loans”) which will mature on September 23, 2032, and (iii) an incremental facility (the “Incremental Facility”) pursuant to which Lamar Media may incur additional term loan tranches or additional incremental revolving facilities or increase its existing revolving credit facility subject to a pro forma secured debt ratio calculated as described under </w:t>
      </w:r>
      <w:r>
        <w:rPr>
          <w:rFonts w:ascii="Times New Roman" w:cs="Times New Roman" w:eastAsia="Times New Roman" w:hAnsi="Times New Roman"/>
          <w:sz w:val="18"/>
          <w:szCs w:val="18"/>
          <w:i w:val="1"/>
          <w:iCs w:val="1"/>
          <w:color w:val="auto"/>
        </w:rPr>
        <w:t>“Restrictions under Senior Credit Facility”</w:t>
      </w:r>
      <w:r>
        <w:rPr>
          <w:rFonts w:ascii="Times New Roman" w:cs="Times New Roman" w:eastAsia="Times New Roman" w:hAnsi="Times New Roman"/>
          <w:sz w:val="18"/>
          <w:szCs w:val="18"/>
          <w:color w:val="auto"/>
        </w:rPr>
        <w:t xml:space="preserve"> of 4.50 to 1.00, as well as certain other conditions including lender approval.</w:t>
      </w:r>
    </w:p>
    <w:p>
      <w:pPr>
        <w:spacing w:after="0" w:line="21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July 2, 2021, Lamar Media entered into Amendment No. 1 (the "Amendment No. 1"), to the Fourth Amended and Restated Credit Agreement. The Amendment No. 1 amended the definition of "Subsidiary" to exclude each of Lamar Partnering Sponsor LLC and Lamar Partnering Corporation and any of their subsidiaries (collectively, the “Lamar Partnering Entities”) such that, after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No. 1 also amended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21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which established a new class of incremental Term A loans that were subsequently repaid in full on July 31, 2024.</w:t>
      </w:r>
    </w:p>
    <w:p>
      <w:pPr>
        <w:spacing w:after="0" w:line="18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forth in the Fourth Amended and Restated Credit Agreement. All other material terms and conditions of the Fourth Amended and Restated Credit Agreement were unchanged by Amendment No. 3.</w:t>
      </w:r>
    </w:p>
    <w:p>
      <w:pPr>
        <w:spacing w:after="0" w:line="210"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extended the maturity date of Lamar Media’s $750.0 million revolving credit facility such that the revolving credit facility matures July 31, 2028; provided that, if on the date (the "Springing Maturity Test Date") that is 91 days prior to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3 3/4% Notes, the revolving credit facility will mature on the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21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Amendment No. 4 also established a $75.0 million swingline as a sublimit of the revolving credit facility, which allows Lamar Media to borrow revolving loans on a same-day basis, in an aggregate outstanding principal amount of up to $75.0 million. In addition, Amendment No. 4 amended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20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September 23, 2025, Lamar Media entered into Amendment No. 5 (the “Amendment No. 5”, and together with the Amendment, Amendment No. 2, Amendment No. 3 and Amendment No. 4, the “Amendments”) to the Fourth Amended and Restated Credit Agreement with certain of Lamar Media’s subsidiaries as guarantors, JPMorgan Chase Bank, N.A., as administrative agent and the lenders party thereto. Amendment No. 5 established the Term B loans as a new class of incremental term loans. Lamar Media borrowed all $700.0 million in Term B loans on September 23, 2025. Proceeds from the Term B loans were used to repay $600.0 million in Term B loans previously outstanding, with the remainder used to repay a portion of the outstanding balance on the revolving credit facility. The Term B loans will mature on September 23, 2032 (or if such day is not a Business Day, the next Business Day) and the entire principal amount of the Term B loans then outstanding, together with all accrued and unpaid interest on the Term B loans, will be due and payable on such date. The Term B loans bear interest at rates based on the Adjusted Term SOFR Rate (“Term Benchmark Term B Loans”) or the Adjusted Base Rate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 Rate Term B Loans”) at Lamar Media’s option. For purposes of the Term B Loans, the “Adjusted Term SOFR Rate” is a rate per annum equal to the Term SOFR Rate for the applicable interest period, plus 0.00%. Term Benchmark Term B Loans bear interest at a rate per annum equal to the Adjusted Term SOFR Rate plus 1.50% and Base Rate Term B Loans bear interest at a rate per annum equal to the Adjusted Base Rate plus 0.50%. The covenants, events of default and other terms of the senior credit facility (all of which are unchanged by Amendment No. 5) apply to the Term B loans.</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September 30, 2026, the aggregate balance outstanding under the senior credit facility was $775.0 million, consisting of $700.0 million in Term B loans aggregate principal balance and $75.0 million in outstanding borrowings under our revolving credit facility. Lamar Media had approximately $667.0 million of unused capacity under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internally generated cash flow are general economic conditions, specific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in the markets where the Company conducts its business and overall spending on advertising by advertisers. We expect to generate cash flows from operations during 2026 in excess of our cash needs for operations, capital expenditures and dividends, as described herein, and we believe we have sufficient liquidity with cash on hand and availability under our revolving credit facility to meet our operating cash needs for the next twelve months.</w:t>
      </w:r>
    </w:p>
    <w:p>
      <w:pPr>
        <w:spacing w:after="0" w:line="207"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and Other Debt Securities. </w:t>
      </w:r>
      <w:r>
        <w:rPr>
          <w:rFonts w:ascii="Times New Roman" w:cs="Times New Roman" w:eastAsia="Times New Roman" w:hAnsi="Times New Roman"/>
          <w:sz w:val="18"/>
          <w:szCs w:val="18"/>
          <w:color w:val="auto"/>
        </w:rPr>
        <w:t>The Company and Lamar Media must comply with certain covenants and restrictions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credit facility, its outstanding debt securities and its Accounts Receivable Securitization Program.</w:t>
      </w:r>
    </w:p>
    <w:p>
      <w:pPr>
        <w:spacing w:after="0" w:line="18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Debt Securities. </w:t>
      </w:r>
      <w:r>
        <w:rPr>
          <w:rFonts w:ascii="Times New Roman" w:cs="Times New Roman" w:eastAsia="Times New Roman" w:hAnsi="Times New Roman"/>
          <w:sz w:val="18"/>
          <w:szCs w:val="18"/>
          <w:color w:val="auto"/>
        </w:rPr>
        <w:t>The Company and Lamar Media must comply with certain covenants and restrictions related to its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Currently, Lamar Media has outstanding the $600.0 million 3 3/4% Senior Notes issued February 2020, the $550.0 million 4% Senior Notes issued February 2020 and August 2020, the $400.0 million 4 7/8% Senior Notes issued in May 2020, the $550.0 million 3 5/8% Senior Notes issued in January 2021 and the $400.0 million 5 3/8% Senior Notes issued September 2025.</w:t>
      </w:r>
    </w:p>
    <w:p>
      <w:pPr>
        <w:spacing w:after="0" w:line="20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(and in the case of the 5 3/8% Notes, minus (z) unrestricted cash of Lamar Media and its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214"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In addition to debt incurred under the provisions described in the preceding paragraph, the indentures relating to Lamar Media’s outstanding notes permit Lamar Media to incur indebtedness pursuant to the following baskets:</w:t>
      </w:r>
    </w:p>
    <w:p>
      <w:pPr>
        <w:spacing w:after="0" w:line="229" w:lineRule="exact"/>
        <w:rPr>
          <w:sz w:val="20"/>
          <w:szCs w:val="20"/>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billion of indebtedness under the senior credit facility;</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date of the indentures or debt incurred to refinance outstanding debt;</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debt between Lamar Media and its restricted subsidiaries or between restricted subsidiaries;</w:t>
      </w:r>
    </w:p>
    <w:p>
      <w:pPr>
        <w:spacing w:after="0" w:line="103" w:lineRule="exact"/>
        <w:rPr>
          <w:rFonts w:ascii="Times New Roman" w:cs="Times New Roman" w:eastAsia="Times New Roman" w:hAnsi="Times New Roman"/>
          <w:sz w:val="18"/>
          <w:szCs w:val="18"/>
          <w:color w:val="auto"/>
        </w:rPr>
      </w:pPr>
    </w:p>
    <w:p>
      <w:pPr>
        <w:ind w:left="1140" w:hanging="565"/>
        <w:spacing w:after="0" w:line="35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to exceed $75.0 million; and</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 million of permitted securitization financings.</w:t>
      </w:r>
    </w:p>
    <w:p>
      <w:pPr>
        <w:spacing w:after="0" w:line="30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Senior Credit Facility. </w:t>
      </w:r>
      <w:r>
        <w:rPr>
          <w:rFonts w:ascii="Times New Roman" w:cs="Times New Roman" w:eastAsia="Times New Roman" w:hAnsi="Times New Roman"/>
          <w:sz w:val="18"/>
          <w:szCs w:val="18"/>
          <w:color w:val="auto"/>
        </w:rPr>
        <w:t>Lamar Media is required to comply with certain covenants and restrictions under the senior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If the Company or Lamar Media fails to comply with these tests, the lenders under the senior credit facility will be entitled to exercise certain remedies, including the termination of the lending commitments and the acceleration of the debt payments under the senior credit facility. As of September 30, 2026, we were, and currently we are, in compliance with all such tests under the senior credit facility.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S</w:t>
      </w:r>
      <w:r>
        <w:rPr>
          <w:rFonts w:ascii="Times New Roman" w:cs="Times New Roman" w:eastAsia="Times New Roman" w:hAnsi="Times New Roman"/>
          <w:sz w:val="18"/>
          <w:szCs w:val="18"/>
          <w:i w:val="1"/>
          <w:iCs w:val="1"/>
          <w:color w:val="auto"/>
        </w:rPr>
        <w:t>ources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Cash – Accounts Receivable Securitization Program)) </w:t>
      </w:r>
      <w:r>
        <w:rPr>
          <w:rFonts w:ascii="Times New Roman" w:cs="Times New Roman" w:eastAsia="Times New Roman" w:hAnsi="Times New Roman"/>
          <w:sz w:val="18"/>
          <w:szCs w:val="18"/>
          <w:color w:val="auto"/>
        </w:rPr>
        <w:t>to EBITDA, as defined below, for the period of four consecutive fiscal quarters then ended, of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or equal to 4.5 to 1.0.</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8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 is also restricted from incurring additional unsecured senior indebtedness under certain circumstances unless, after giving effect to the incurrence of such indebtedness, Lamar Media would have a total debt ratio, defined as (x)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(y) EBITDA, as defined below, for the most recent four fiscal quarters then ended, of less than 7.0 to 1.0.</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89"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shall be excluded. If during any period for which EBITDA is being determined, Lamar Media has consummated any acquisition or disposition, EBITDA will be determined on a pro forma basis as if such acquisition or disposition had been made or consummated on the first day of such period.</w:t>
      </w:r>
    </w:p>
    <w:p>
      <w:pPr>
        <w:spacing w:after="0" w:line="21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Under the senior credit facility, "net income" means for any period, the consolidated net income (or loss) of Lamar Advertising, Lamar Media, and its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Lamar Media or any of its restricted subsidiaries, and (b) the income (or deficit) of any person (other than any of our restricted subsidiaries) in which Lamar Advertising, Lamar Media or any of its subsidiaries has an ownership interest, except to the extent that any such income is received by Lamar Advertising, Lamar Media or any of its restricted subsidiaries in the form of dividends or similar distributions.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8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Restrictions under Accounts Receivable Securitization Program. </w:t>
      </w:r>
      <w:r>
        <w:rPr>
          <w:rFonts w:ascii="Times New Roman" w:cs="Times New Roman" w:eastAsia="Times New Roman" w:hAnsi="Times New Roman"/>
          <w:sz w:val="18"/>
          <w:szCs w:val="18"/>
          <w:color w:val="auto"/>
        </w:rPr>
        <w:t>The agreements governing the Accounts Receivable Securitization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the senior credit facility.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254"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Capital expenditures, excluding acquisitions, were approximately $120.8 million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We anticipate our 2026 total capital expenditures will be approximately $186.0 million.</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nine months ended September 30, 2026, the Company completed acquisitions for an aggregate cash purchase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$187.2 million, which were financed using available cash on hand and borrowings on the senior credit facility.</w:t>
      </w:r>
    </w:p>
    <w:p>
      <w:pPr>
        <w:spacing w:after="0" w:line="185"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On February 26, 2026, the Company's Board of Directors declared a quarterly cash dividend of $1.60 per common share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paid on March 31, 2026 to its stockholders of record of its Class A common stock, Class B common stock, and holders of common/LTIP units of Lamar LP, on March 16, 2026. On May 14, 2026, the Company's Board of Directors declared a quarterly cash dividend of $1.60 per common share of the Company, paid on June 30, 2026 to its stockholders of record of its Class A common stock, Class B common stock, and holders of common/LTIP units of Lamar LP, on June 16, 2026. On September 1, 2026, the Company's Board of Directors declared a quarterly cash dividend of $1.65 per common share of the Company, paid on September 30, 2026 to its stockholders of record of its Class A common stock, Class B common stock, and holders of common/LTIP units of Lamar LP, on September 21, 2026. Subject to approval of the Company's Board of Directors, the Company expects aggregate quarterly distributions to stockholders in 2026 will be at least $6.50 per share of common stock, including the dividends paid on March 31, 2026, June 30, 2026, and September 30, 2026.</w:t>
      </w:r>
    </w:p>
    <w:p>
      <w:pPr>
        <w:spacing w:after="0" w:line="21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TRSs, the impact of general economic conditions on the Company’s operations and other factors that the Board of Directors may deem relevant. The foregoing factors may also impact management’s recommendations to the Board of Directors as to the timing, amount and frequency of future distributions.</w:t>
      </w:r>
    </w:p>
    <w:p>
      <w:pPr>
        <w:spacing w:after="0" w:line="213"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 and Debt Repurchasing Program. </w:t>
      </w:r>
      <w:r>
        <w:rPr>
          <w:rFonts w:ascii="Times New Roman" w:cs="Times New Roman" w:eastAsia="Times New Roman" w:hAnsi="Times New Roman"/>
          <w:sz w:val="18"/>
          <w:szCs w:val="18"/>
          <w:color w:val="auto"/>
        </w:rPr>
        <w:t>Prior to May 15, 2025, the Company’s Board of Directors had authorized the repurchase of up to $250.0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the Company’s Class A common stock. Additionally, the Board of Directors has authorized Lamar Media to repurchase up to $250.0 million in outstanding senior or senior subordinated notes and other indebtedness outstanding from time to time under its senior credit agreement. On May 15, 2025, the Company's Board of Directors approved the increase of the amount authorized under the Stock Repurchase Program by $150.0 million, bringing the total amount authorized under the Program to $400.0 million. On February 26, 2026, the Board of Directors authorized the extension of the Stock Repurchase Program through September 30, 2027. The Company’s management may opt not to make any repurchases under the program, or may make aggregate purchases less than the total amount authorized. During the year ended December 31, 2025, the Company repurchased 1,388,091 shares of the Company's Class A common stock outstanding for a total purchase price of $150.0 million. There were no repurchases made during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56" w:lineRule="exact"/>
        <w:rPr>
          <w:sz w:val="20"/>
          <w:szCs w:val="20"/>
          <w:color w:val="auto"/>
        </w:rPr>
      </w:pPr>
    </w:p>
    <w:p>
      <w:pPr>
        <w:ind w:right="20" w:firstLine="567"/>
        <w:spacing w:after="0" w:line="282" w:lineRule="auto"/>
        <w:rPr>
          <w:sz w:val="20"/>
          <w:szCs w:val="20"/>
          <w:color w:val="auto"/>
        </w:rPr>
      </w:pPr>
      <w:r>
        <w:rPr>
          <w:rFonts w:ascii="Times New Roman" w:cs="Times New Roman" w:eastAsia="Times New Roman" w:hAnsi="Times New Roman"/>
          <w:sz w:val="18"/>
          <w:szCs w:val="18"/>
          <w:color w:val="auto"/>
        </w:rPr>
        <w:t>Our expected material cash requirements for the twelve months following September 30, 2026 and thereafter are comprised of contractual obligations, required annual distributions and other opportunistic expenditures.</w:t>
      </w:r>
    </w:p>
    <w:p>
      <w:pPr>
        <w:spacing w:after="0" w:line="187" w:lineRule="exact"/>
        <w:rPr>
          <w:sz w:val="20"/>
          <w:szCs w:val="20"/>
          <w:color w:val="auto"/>
        </w:rPr>
      </w:pPr>
    </w:p>
    <w:p>
      <w:pPr>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and Contractual Obligations. </w:t>
      </w:r>
      <w:r>
        <w:rPr>
          <w:rFonts w:ascii="Times New Roman" w:cs="Times New Roman" w:eastAsia="Times New Roman" w:hAnsi="Times New Roman"/>
          <w:sz w:val="18"/>
          <w:szCs w:val="18"/>
          <w:color w:val="auto"/>
        </w:rPr>
        <w:t>The following table summarizes our future debt maturities, interest payment obligations, and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including required payments under operating and financing leases as of September 30,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2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7"/>
        </w:trPr>
        <w:tc>
          <w:tcPr>
            <w:tcW w:w="2440" w:type="dxa"/>
            <w:vAlign w:val="bottom"/>
            <w:tcBorders>
              <w:bottom w:val="single" w:sz="8" w:color="CCEEFF"/>
            </w:tcBorders>
          </w:tcPr>
          <w:p>
            <w:pPr>
              <w:spacing w:after="0"/>
              <w:rPr>
                <w:sz w:val="3"/>
                <w:szCs w:val="3"/>
                <w:color w:val="auto"/>
              </w:rPr>
            </w:pPr>
          </w:p>
        </w:tc>
        <w:tc>
          <w:tcPr>
            <w:tcW w:w="60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4"/>
        </w:trPr>
        <w:tc>
          <w:tcPr>
            <w:tcW w:w="848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Debt maturities</w:t>
            </w:r>
            <w:r>
              <w:rPr>
                <w:rFonts w:ascii="Times New Roman" w:cs="Times New Roman" w:eastAsia="Times New Roman" w:hAnsi="Times New Roman"/>
                <w:sz w:val="28"/>
                <w:szCs w:val="28"/>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3,500.7</w:t>
            </w:r>
          </w:p>
        </w:tc>
      </w:tr>
      <w:tr>
        <w:trPr>
          <w:trHeight w:val="270"/>
        </w:trPr>
        <w:tc>
          <w:tcPr>
            <w:tcW w:w="848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Interest obligations on long-term debt</w:t>
            </w:r>
            <w:r>
              <w:rPr>
                <w:rFonts w:ascii="Times New Roman" w:cs="Times New Roman" w:eastAsia="Times New Roman" w:hAnsi="Times New Roman"/>
                <w:sz w:val="28"/>
                <w:szCs w:val="28"/>
                <w:color w:val="auto"/>
                <w:vertAlign w:val="superscript"/>
              </w:rPr>
              <w:t>(2)</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r>
      <w:tr>
        <w:trPr>
          <w:trHeight w:val="27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 including operating and financing leases</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1,961.1</w:t>
            </w:r>
          </w:p>
        </w:tc>
      </w:tr>
      <w:tr>
        <w:trPr>
          <w:trHeight w:val="26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5,955.5</w:t>
            </w:r>
          </w:p>
        </w:tc>
      </w:tr>
      <w:tr>
        <w:trPr>
          <w:trHeight w:val="20"/>
        </w:trPr>
        <w:tc>
          <w:tcPr>
            <w:tcW w:w="24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67"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maturities assume there is no refinancing prior to the existing maturity date and is based on contractual maturities.</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on our variable rate instruments assume rates at the September 30, 2026 levels.</w:t>
      </w:r>
    </w:p>
    <w:p>
      <w:pPr>
        <w:spacing w:after="0" w:line="234"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Required Annual Distributions. </w:t>
      </w:r>
      <w:r>
        <w:rPr>
          <w:rFonts w:ascii="Times New Roman" w:cs="Times New Roman" w:eastAsia="Times New Roman" w:hAnsi="Times New Roman"/>
          <w:sz w:val="18"/>
          <w:szCs w:val="18"/>
          <w:color w:val="auto"/>
        </w:rPr>
        <w:t>As a REIT, the Company must annually distribute to its stockholders an amount equal to at least 90% of its REIT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(determined before the deduction for distributed earnings and excluding any net capital gain). On February 26, 2026, the Company's Board of Directors declared a quarterly cash dividend of $1.60 per common share of the Company, paid on March 31, 2026 to its stockholders of record of its Class A common stock, Class B common stock, and holders of common/LTIP units of Lamar LP, on March 16, 2026. On May 14, 2026, the Company's Board of Directors declared a quarterly cash dividend of $1.60 per common share of the Company, paid on June 30, 2026 to its stockholders of record of its Class A common stock, Class B common stock, and holders of common/LTIP units of Lamar LP, on June 16, 2026. On September 1, 2026, the Company's Board of Directors declared a quarterly cash dividend of $1.65 per common share of the Company, paid on September 30, 2026 to its stockholders of record of its Class A common stock, Class B common stock, and holders of common/LTIP units of Lamar LP, on September 21, 2026. Subject to approval of the Company's Board of Directors, the Company expects aggregate quarterly distributions to stockholders in 2026 will be at least $6.50 per share of common stock, including the dividends paid on March 31, 2026, June 30, 2026, and September 30, 2026.</w:t>
      </w:r>
    </w:p>
    <w:p>
      <w:pPr>
        <w:spacing w:after="0" w:line="21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Opportunistic Expenditures. </w:t>
      </w:r>
      <w:r>
        <w:rPr>
          <w:rFonts w:ascii="Times New Roman" w:cs="Times New Roman" w:eastAsia="Times New Roman" w:hAnsi="Times New Roman"/>
          <w:sz w:val="18"/>
          <w:szCs w:val="18"/>
          <w:color w:val="auto"/>
        </w:rPr>
        <w:t>As part of our capital allocation strategy, we plan to continue to allocate our available capital among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alternatives 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cash flows provided by operating activities increased $91.0 million from $592.9 million for the nine months ended September 30, 2025 to $683.9 million for the nine months ended September 30, 2026. This increase was primarily due to the increase in net revenues offset by an increase in the receivables balance during the period.</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increased $149.1 million from $128.1 million for the nine months ended September 30, 2025 to $277.2 million for the nine months ended September 30, 2026. This change was primarily due to increases in acquisitions and capital expenditures during 2026 as well as a decrease in proceeds from dispositions of assets and investments.</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cash flows used in financing activities were $417.3 million for the nine months ended September 30, 2026 as compared to $492.4 million for the nine months ended September 30, 2025. The cash flows used in financing activities of $417.3 million for the nine months ended September 30, 2026 were primarily due to cash paid for dividends and distributions, offset by borrowings on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liquidity and capital resources are based on our condensed consolidated financial statements, which have been prepared in accordance with GAAP. The preparation of these financial statements requires us to make estimates and judgments that affect the reported amounts of assets, liabilities, revenues and expenses. There have been no material changes to the critical accounting policies and estimates as previously disclosed in Item 7 of our 2025 Combined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and Regulatory Update</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See Note 14, "New Accounting Pronouncements" to our condensed consolidated financial statements included in Part 1, Item 1 of this report for a discussion of our Accounting Standards and Regulatory Update.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Lamar Media for the three and nine months ended September 30, 2026 and 2025. This discussion should be read in conjunction with the consolidated financial statements of Lamar Media and the related notes thereto.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nine months ended September 30, 2025</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$98.9 million, or 5.9%, to $1.77 billion for the nine months ended September 30, 2026 from $1.67 billion for the same period in 2025. This increase was primarily attributable to an increase in billboard net revenues of $101.3 million and an increase in logo net revenues of $1.7 million, offset by a decrease in transit net revenues of $4.0 million over the same period in 2025.</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2026, there was a $92.1 million increase in net revenues as compared to acquisition-adjusted net revenues for the nine months ended September 30, 2025, which represents an increase of 5.5%. See "Reconciliations" below. The $92.1 million increase in net revenues is primarily due to an increase of $78.5 million in billboard net revenues, an increase of $2.2 million in logo net revenues, and an increase in transit net revenues of $11.5 million over the same period in 2025.</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and investments, increased $44.7 million, or 4.8%, to $970.5 million for the nine months ended September 30, 2026 from $925.8 million for the same period in 2025. The $44.7 million increase over the prior year is comprised of a $31.7 million increase in total direct, general and administrative and corporate expenses (excluding stock-based compensation) primarily related to the operations of our outdoor advertising assets, as well as a $13.0 million increase in stock-based compensation.</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$24.8 million to $267.0 million for the nine months ended September 30, 2026 as compared to $242.2 million for the same period in 2025, primarily related to the disposal of previously capitalized software implementation costs, as well as acquisitions and capital expenditures completed in the last twelve months.</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Lamar Media recognized a gain on disposition of assets and investments of $32.2 million as compared to $76.1 million for the same period in 2025. The $44.0 million decrease is primarily related to the gain associated with the sale of Lamar's equity interest in Vistar Media, Inc. during the nine months ended September 30, 2025.</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decreased by $14.5 million to $563.9 million for the nine months ended September 30, 2026 as compared to $578.4 million for the same period in 2025.</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increased $2.6 million for the nine months ended September 30, 2026 to $122.8 million as compared to $120.2 million for the nine months ended September 30, 2025. The increase was primarily due to the institutional private placement of the 5 3/8% Senior Notes in September 2025, offset by a decrease in interest rates on the senior credit facility and Accounts Receivable Securitization Program.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decrease in operating income, as well as the increase in interest expense, resulted in a $15.9 million decrease in income before income tax expense for the nine months ended September 30, 2026 as compared to the same period in 2025. The effective tax rate for the nine months ended September 30, 2026 was 2.4%, which differs from the federal statutory rate primarily due to our qualification for taxation as a REIT and adjustments for foreign items.</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nine months ended September 30, 2026 of $431.9 million, as compared to net income of $438.7 million for the same period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2024 have contributed to our net revenues results for the periods presented, we provide 2025 acquisition-adjusted net revenues, which adjusts our 2025 net revenues for the nine months ended September 30, 2025 by adding to or subtracting from it the net revenues generated by the acquired or divested assets prior to our acquisition or divestiture of these assets for the same time frame that those assets were owned in the nine months ended September 30, 2026.</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2025 reported net revenues to 2025 acquisition-adjusted net revenues for the nine months ended September 30, as well as a comparison of 2025 acquisition-adjusted net revenues to 2026 reported net revenues for the nine months ended September 30, are provided below:</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Revenues to Acquisition-Adjusted Net Revenues</w:t>
      </w:r>
    </w:p>
    <w:p>
      <w:pPr>
        <w:spacing w:after="0" w:line="3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1,670,282</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1,769,221</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1,677,104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7"/>
                <w:szCs w:val="17"/>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836,952</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769,758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nine months ended September 30, 2026 increased 8.7% to $837.0 million. The increase in adjusted EBITDA was primarily attributable to an increase in our gross margin (net revenues less direct advertising expenses, exclusive of depreciation and amortization and capitalized contract fulfillment costs, net) of $79.4 million, offset by an increase in total general and administrative and corporate expenses of $12.2 million, excluding the impact of stock-based compensation expense.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836,952</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769,758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6" w:lineRule="exact"/>
        <w:rPr>
          <w:rFonts w:ascii="Times New Roman" w:cs="Times New Roman" w:eastAsia="Times New Roman" w:hAnsi="Times New Roman"/>
          <w:sz w:val="16"/>
          <w:szCs w:val="16"/>
          <w:color w:val="auto"/>
        </w:rPr>
      </w:pPr>
    </w:p>
    <w:p>
      <w:pPr>
        <w:ind w:left="340" w:hanging="332"/>
        <w:spacing w:after="0" w:line="270"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9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nine months ended September 30, 2026 increased 8.7% to $837.0 million. The increase in adjusted EBITDA was primarily attributable to the increase in our billboard advertising adjusted EBITDA of $60.3 million, and an increase in other adjusted EBITDA of $7.4 million, offset by an increase in corporate expenses of $0.5 million, excluding the impact of stock-based compensation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and investments,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629,162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675,162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616,446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2026, FFO was $629.2 million as compared to $601.2 million for the same period in 2025, an increase of 4.6%. AFFO for the nine months ended September 30, 2026 increased 9.5% to $675.2 million as compared to $616.4 million for the same period in 2025. The increase in AFFO was primarily attributable to an increase in our gross margin (net revenues less direct advertising expenses, exclusive of depreciation and amortization and capitalized contract fulfillment costs, net) of $79.4 million, offset by an increase in interest expense of $2.6 million and an increase in total general and administrative and corporate expenses of $12.2 million, excluding the impact of stock-based compensation, for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three months ended September 30, 2025</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$38.9 million or 6.6% to $624.5 million for the three months ended September 30, 2026 from $585.5 million for the same period in 2025. This increase was primarily attributable to an increase in billboard net revenues of $37.5 million, an increase in logo net revenues of $0.1 million, and an increase in transit net revenues of $1.3 million over the same period in 2025.</w:t>
      </w:r>
    </w:p>
    <w:p>
      <w:pPr>
        <w:spacing w:after="0" w:line="203"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there was a $36.6 million increase in net revenues as compared to acquisition-adjusted net revenues for the three months ended September 30, 2025, which represents an increase of 6.2%. See "Reconciliations" below. The $36.6 million increase in net revenues is primarily due to an increase of $32.2 million in billboard net revenues, an increase of $0.3 million in logo net revenues, and an increase in transit net revenues of $4.1 million over the same period in 2025.</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and investments, increased $18.9 million, or 6.1%, to $331.1 million for the three months ended September 30, 2026 from $312.2 million for the same period in 2025. The $18.9 million increase over the prior year is comprised of a $13.4 million increase in total direct, general and administrative and corporate expenses (excluding stock-based compensation) primarily related to the operations of our outdoor advertising assets, as well as a $5.5 million increase in stock-based compensation.</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$14.4 million to $100.6 million for the three months ended September 30, 2026 as compared to $86.3 million for the same period in 2025. The increase is primarily related to the disposal of previously capitalized software implementation costs, as well as acquisitions and capital expenditures completed in the last twelve months.</w:t>
      </w:r>
    </w:p>
    <w:p>
      <w:pPr>
        <w:spacing w:after="0" w:line="203"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Lamar Media recognized a gain on disposition of assets and investments of $16.9 million, primarily resulting from transactions related to the sale of real estate and billboard locations and displays.</w:t>
      </w:r>
    </w:p>
    <w:p>
      <w:pPr>
        <w:spacing w:after="0" w:line="18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$20.4 million to $209.6 million for the three months ended September 30, 2026 as compared to $189.2 million for the same period in 2025.</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Interest expense was $41.2 million for both the three months ended September 30, 2026 and 2025.</w:t>
      </w:r>
    </w:p>
    <w:p>
      <w:pPr>
        <w:spacing w:after="0" w:line="25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resulted in an increase in income before income tax expense of $22.0 million for the three months ended September 30, 2026 as compared to the same period in 2025. The effective tax rate for the three months ended September 30, 2026 was 2.1%, which differs from the federal statutory rate primarily due to our qualification for taxation as a REIT and adjustments for foreign items.</w:t>
      </w:r>
    </w:p>
    <w:p>
      <w:pPr>
        <w:spacing w:after="0" w:line="203"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three months ended September 30, 2026 of $165.2 million, as compared to net income of $144.2 million for the same period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2024 have contributed to our net revenues results for the periods presented, we provide 2025 acquisition-adjusted net revenues, which adjusts our 2025 net revenues for the three months ended September 30, 2025 by adding to or subtracting from it the net revenues generated by the acquired or divested assets prior to our acquisition or divestiture of these assets for the same time frame that those assets were owned in the three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2025 reported net revenues to 2025 acquisition-adjusted net revenues for the three months ended September 30, as well as a comparison of 2025 acquisition-adjusted net revenues to 2026 reported net revenues for the three months ended September 30, are provided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Revenues to Acquisition-Adjusted Net Revenues</w:t>
      </w:r>
    </w:p>
    <w:p>
      <w:pPr>
        <w:spacing w:after="0" w:line="3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585,541</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624,468</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587,867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0"/>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306,985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2026 increased 9.3% to $307.0 million. The increase in adjusted EBITDA was primarily attributable to an increase in our gross margin (net revenues less direct advertising expense, exclusive of depreciation and amortization and capitalized contract fulfillment costs, net) of $30.9 million offset by an increase in total general and administrative and corporate expenses of $4.8 million, excluding the impact of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(26,405)</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306,985</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280,895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6" w:lineRule="exact"/>
        <w:rPr>
          <w:rFonts w:ascii="Times New Roman" w:cs="Times New Roman" w:eastAsia="Times New Roman" w:hAnsi="Times New Roman"/>
          <w:sz w:val="16"/>
          <w:szCs w:val="16"/>
          <w:color w:val="auto"/>
        </w:rPr>
      </w:pPr>
    </w:p>
    <w:p>
      <w:pPr>
        <w:ind w:left="340" w:hanging="332"/>
        <w:spacing w:after="0" w:line="270"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9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2026 increased 9.3% to $307.0 million. The increase in adjusted EBITDA was primarily attributable to the increase in our billboard advertising adjusted EBITDA of $22.6 million, an increase in other adjusted EBITDA of $3.0 million and a decrease in corporate expenses of $0.5 million, excluding the impact of stock-based compensation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and investments,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224,327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219,463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249,415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226,597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FFO was $224.3 million as compared to $219.5 million for the same period in 2025, an increase of 2.2%. AFFO for the three months ended September 30, 2026 increased 10.1% to $249.4 million as compared to $226.6 million for the same period in 2025. The increase in AFFO was primarily attributable to an increase in our gross margin (net revenues less direct advertising expenses, exclusive of depreciation and amortization and capitalized contract fulfillment costs, net) of $30.9 million, offset by an increase in total general and administrative and corporate expenses of $4.8 million, excluding the impact of stock-based compensation expense.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Lamar Advertising Company and Lamar Media Corp.</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September 30, 2026, and should be read in conjunction with Note 11 of the Notes to the Company’s Condensed Consolidated Financial Statements.</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At September 30, 2026, there was approximately $1.02 billion of indebtedness outstanding under the senior credit facility and the Accounts Receivable Securitization Program, or approximately 29.0% of the Company’s outstanding long-term debt on that date, bearing interest at variable rates. The aggregate interest expense for the nine months ended September 30, 2026 with respect to borrowings under the senior credit facility and the Accounts Receivable Securitization Program was $37.6 million, and the weighted average interest rate applicable to these borrowings during 2026 was 5.0%. Assuming that the weighted average interest rate was 200 basis points higher (that is 7.0% rather than 5.0%), then the Company’s 2026 interest expense would have increased by approximately $14.4 million for the nine months ended September 30, 2026.</w:t>
      </w:r>
    </w:p>
    <w:p>
      <w:pPr>
        <w:spacing w:after="0" w:line="214"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the Adjusted Term SOFR Rate (as applicable),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it may take to mitigate this risk will be feasible or that, if these actions are taken, that they will be effective.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ind w:left="560" w:hanging="552"/>
        <w:spacing w:after="0"/>
        <w:tabs>
          <w:tab w:leader="none" w:pos="5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254"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14" w:lineRule="exact"/>
        <w:rPr>
          <w:sz w:val="20"/>
          <w:szCs w:val="20"/>
          <w:color w:val="auto"/>
        </w:rPr>
      </w:pPr>
    </w:p>
    <w:p>
      <w:pPr>
        <w:ind w:left="560" w:hanging="552"/>
        <w:spacing w:after="0"/>
        <w:tabs>
          <w:tab w:leader="none" w:pos="5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in our combined Annual Report on Form 10-K for the year ended December 31, 2025, which could adversely affect our business, financial condition, results of operations, cash flows, and the trading price of our Class A common stock. There have been no material changes to our risk factors since our combined Annual Report on Form 10-K for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August 12, 2026, Lamar LP, the subsidiary operating partnership of the Company issued a total of 209,078 Common Units of Lamar LP (the “Common Units”). The Common Units were issued to the owners of AdSource Outdoor as the consideration in connection with an acquisition, whereby the assets of AdSource Outdoor were contributed to Lamar LP. The value of the Common Units issued was approximately $32.2 million, based on the Company's common stock price on August 12, 2026. The AdSource Outdoor assets include more than 200 billboard displays in one state.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of the Limited Partnership Agreement of Lamar LP, the Common Units are redeemable by the holder after a holding period, which is generally twelve months, for a cash amount per Common Unit equal to the market value of an equivalent number of shares of common stock of the Company. At the Company’s option, in lieu of cash, the redemption obligation may be satisfied by issuing shares of Class A common stock of the Company in exchange for Common Units tendered for redemption.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None of the securities issued in the transaction, nor any of the securities that may be issuable upon the redemption thereof, have been registered under the Securities Act of 1933, as amended (the “Act”) or any state securities laws, and none of such securities may be offered and sold in the United States absent registration or an applicable exemption from registration. Issuance of the Common Units is exempt from the registration requirements of the Act by virtue of the exemptions provided for in Section 4(a)(2) of the Act and Rule 506(b) of Regulation D promulgated thereunder. Each of the recipients of the Common Units has represented that it is an “accredited investor,” as that term is defined in Rule 501(a) of Regulation D under the 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2026, none of our directors or officers (as defined in Section 16 of the Securities Exchange Act of 1934, as amended) adopted or terminated a “Rule 10b5-1 trading arrangement” or adopted or terminated a “non-Rule 10b5-1 trading arrangement” (each as defined in Item 408(a) and (c)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9"/>
        </w:trPr>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5960" w:type="dxa"/>
            <w:vAlign w:val="bottom"/>
            <w:gridSpan w:val="15"/>
          </w:tcPr>
          <w:p>
            <w:pPr>
              <w:ind w:left="5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83"/>
        </w:trPr>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20" w:type="dxa"/>
            <w:vAlign w:val="bottom"/>
            <w:tcBorders>
              <w:top w:val="single" w:sz="8" w:color="auto"/>
            </w:tcBorders>
            <w:gridSpan w:val="16"/>
          </w:tcPr>
          <w:p>
            <w:pPr>
              <w:spacing w:after="0"/>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Amended and Restated Certificate of Incorporation of Lamar Advertising Company (the “Company”), as filed with the Secretary of the State of</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Delaware effective as of November 18, 2014. Previously filed as Exhibit 3.1 to the Company’s Current Report on Form 8-K (File No. 1-36756) filed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6"/>
          </w:tcPr>
          <w:p>
            <w:pPr>
              <w:spacing w:after="0" w:line="183"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on November 19, 2014 and incorporated herein by reference.</w:t>
              </w:r>
            </w:hyperlink>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6"/>
          </w:tcPr>
          <w:p>
            <w:pPr>
              <w:spacing w:after="0"/>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Certificate of Merger, effective as of November 18, 2014. Previously filed as Exhibit 3.2 to the Company’s Current Report on Form 8-K (File No. 1-</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36756) filed on November 19, 2014 and incorporated herein by reference.</w:t>
              </w:r>
            </w:hyperlink>
          </w:p>
        </w:tc>
        <w:tc>
          <w:tcPr>
            <w:tcW w:w="510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36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6"/>
          </w:tcPr>
          <w:p>
            <w:pPr>
              <w:spacing w:after="0"/>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Amended and Restated Certificate of Incorporation of Lamar Media Corp. (“Lamar Media”). Previously filed as Exhibit 3.2 to the Company’s</w:t>
              </w:r>
            </w:hyperlink>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340" w:type="dxa"/>
            <w:vAlign w:val="bottom"/>
            <w:tcBorders>
              <w:top w:val="single" w:sz="8" w:color="0000FF"/>
            </w:tcBorders>
            <w:gridSpan w:val="4"/>
          </w:tcPr>
          <w:p>
            <w:pPr>
              <w:spacing w:after="0" w:line="149"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Quarterly Report on Form 10-Q for the period ended March 31, 2007 (File No. 0-30242) filed on</w:t>
              </w:r>
            </w:hyperlink>
          </w:p>
        </w:tc>
        <w:tc>
          <w:tcPr>
            <w:tcW w:w="3520" w:type="dxa"/>
            <w:vAlign w:val="bottom"/>
            <w:tcBorders>
              <w:top w:val="single" w:sz="8" w:color="0000FF"/>
            </w:tcBorders>
            <w:gridSpan w:val="9"/>
          </w:tcPr>
          <w:p>
            <w:pPr>
              <w:spacing w:after="0" w:line="149"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May 10, 2007 and incorporated herein by reference.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gridSpan w:val="3"/>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6"/>
          </w:tcPr>
          <w:p>
            <w:pPr>
              <w:spacing w:after="0"/>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Amended and Restated Bylaws of the Company, adopted as of November 18, 2014. Previously filed as Exhibit 3.3 to the Company’s Current Report</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top w:val="single" w:sz="8" w:color="0000FF"/>
            </w:tcBorders>
            <w:gridSpan w:val="12"/>
          </w:tcPr>
          <w:p>
            <w:pPr>
              <w:spacing w:after="0" w:line="169"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on Form 8-K (File No. 1-36756) filed on November 19, 2014 and incorporated herein by reference.</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gridSpan w:val="3"/>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6"/>
          </w:tcPr>
          <w:p>
            <w:pPr>
              <w:spacing w:after="0"/>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Amended and Restated Bylaws of Lamar Media. Previously filed as Exhibit 3.1 to Lamar Media’s Quarterly Report on Form 10-Q for the period</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ended September 30, 1999 (File No. 1-12407) filed on November 12, 1999 and incorporated herein by reference.</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gridSpan w:val="3"/>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of the Company and Lamar Media pursuant to Securities Exchange Act Rules 13a-14(a) and 15d-14(a) as</w:t>
            </w: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 2002. Filed herewith.</w:t>
            </w:r>
          </w:p>
        </w:tc>
        <w:tc>
          <w:tcPr>
            <w:tcW w:w="4420" w:type="dxa"/>
            <w:vAlign w:val="bottom"/>
            <w:tcBorders>
              <w:top w:val="single" w:sz="8" w:color="0000FF"/>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of the Company and Lamar Media pursuant to Securities Exchange Act Rules 13a-14(a) and 15d-14(a) as</w:t>
            </w: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 2002. Filed herewith.</w:t>
            </w:r>
          </w:p>
        </w:tc>
        <w:tc>
          <w:tcPr>
            <w:tcW w:w="4360" w:type="dxa"/>
            <w:vAlign w:val="bottom"/>
            <w:tcBorders>
              <w:top w:val="single" w:sz="8" w:color="0000FF"/>
            </w:tcBorders>
            <w:gridSpan w:val="8"/>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Certification pursuant to 18 U.S.C. Section 1350 as adopted pursuant to Section 906 of the Sarbanes-Oxley Act of 2002. Filed herewith.</w:t>
            </w: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left="1440" w:right="20" w:hanging="899"/>
        <w:spacing w:after="0" w:line="263" w:lineRule="auto"/>
        <w:tabs>
          <w:tab w:leader="none" w:pos="14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statements from the Company’s Quarterly Report on Form 10-Q for the quarter ended September 30, 2026, formatted in Inline XBRL: (i) Condensed Consolidated Balance Sheets, (ii) Condensed Consolidated Statements of Income and Comprehensive Income, (iii) Condensed Consolidated Statements of Stockholders' Equity, (iv) Condensed Consolidated Statements of Cash Flows, and (v) Notes to the Condensed Consolidated Financial Statements, tagged as blocks of text and including detailed tags.</w:t>
      </w:r>
    </w:p>
    <w:p>
      <w:pPr>
        <w:spacing w:after="0" w:line="139" w:lineRule="exact"/>
        <w:rPr>
          <w:sz w:val="20"/>
          <w:szCs w:val="20"/>
          <w:color w:val="auto"/>
        </w:rPr>
      </w:pPr>
    </w:p>
    <w:p>
      <w:pPr>
        <w:ind w:left="1440" w:hanging="899"/>
        <w:spacing w:after="0"/>
        <w:tabs>
          <w:tab w:leader="none" w:pos="14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61"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2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37" w:lineRule="exact"/>
        <w:rPr>
          <w:sz w:val="20"/>
          <w:szCs w:val="20"/>
          <w:color w:val="auto"/>
        </w:rPr>
      </w:pPr>
    </w:p>
    <w:p>
      <w:pPr>
        <w:ind w:left="20"/>
        <w:spacing w:after="0"/>
        <w:tabs>
          <w:tab w:leader="none" w:pos="4360" w:val="left"/>
          <w:tab w:leader="none" w:pos="5480" w:val="left"/>
        </w:tabs>
        <w:rPr>
          <w:sz w:val="20"/>
          <w:szCs w:val="20"/>
          <w:color w:val="auto"/>
        </w:rPr>
      </w:pPr>
      <w:r>
        <w:rPr>
          <w:rFonts w:ascii="Times New Roman" w:cs="Times New Roman" w:eastAsia="Times New Roman" w:hAnsi="Times New Roman"/>
          <w:sz w:val="18"/>
          <w:szCs w:val="18"/>
          <w:color w:val="auto"/>
        </w:rPr>
        <w:t>DATED: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3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37" w:lineRule="exact"/>
        <w:rPr>
          <w:sz w:val="20"/>
          <w:szCs w:val="20"/>
          <w:color w:val="auto"/>
        </w:rPr>
      </w:pPr>
    </w:p>
    <w:p>
      <w:pPr>
        <w:ind w:left="20"/>
        <w:spacing w:after="0"/>
        <w:tabs>
          <w:tab w:leader="none" w:pos="4360" w:val="left"/>
          <w:tab w:leader="none" w:pos="5480" w:val="left"/>
        </w:tabs>
        <w:rPr>
          <w:sz w:val="20"/>
          <w:szCs w:val="20"/>
          <w:color w:val="auto"/>
        </w:rPr>
      </w:pPr>
      <w:r>
        <w:rPr>
          <w:rFonts w:ascii="Times New Roman" w:cs="Times New Roman" w:eastAsia="Times New Roman" w:hAnsi="Times New Roman"/>
          <w:sz w:val="18"/>
          <w:szCs w:val="18"/>
          <w:color w:val="auto"/>
        </w:rPr>
        <w:t>DATED: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121" w:right="3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E. Reilly, certify that:</w:t>
      </w:r>
    </w:p>
    <w:p>
      <w:pPr>
        <w:spacing w:after="0" w:line="117"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Sean E. Reilly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Media Corp.</w:t>
      </w:r>
    </w:p>
    <w:p>
      <w:pPr>
        <w:sectPr>
          <w:pgSz w:w="11900" w:h="16838" w:orient="portrait"/>
          <w:cols w:equalWidth="0" w:num="1">
            <w:col w:w="11240"/>
          </w:cols>
          <w:pgMar w:left="320" w:top="121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L. Johnson, certify that:</w:t>
      </w:r>
    </w:p>
    <w:p>
      <w:pPr>
        <w:spacing w:after="0" w:line="117"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Jay L. Johnson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Media Corp.</w:t>
      </w:r>
    </w:p>
    <w:p>
      <w:pPr>
        <w:sectPr>
          <w:pgSz w:w="11900" w:h="16838" w:orient="portrait"/>
          <w:cols w:equalWidth="0" w:num="1">
            <w:col w:w="11240"/>
          </w:cols>
          <w:pgMar w:left="320" w:top="121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September 30, 2026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Media Corp.</w:t>
            </w:r>
          </w:p>
        </w:tc>
      </w:tr>
      <w:tr>
        <w:trPr>
          <w:trHeight w:val="40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5120" w:type="dxa"/>
            <w:vAlign w:val="bottom"/>
          </w:tcPr>
          <w:p>
            <w:pPr>
              <w:spacing w:after="0"/>
              <w:rPr>
                <w:sz w:val="24"/>
                <w:szCs w:val="24"/>
                <w:color w:val="auto"/>
              </w:rPr>
            </w:pPr>
          </w:p>
        </w:tc>
      </w:tr>
      <w:tr>
        <w:trPr>
          <w:trHeight w:val="459"/>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3"/>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1"/>
      <w:numFmt w:val="decimal"/>
      <w:start w:val="101"/>
    </w:lvl>
  </w:abstractNum>
  <w:abstractNum w:abstractNumId="17">
    <w:nsid w:val="7C83E458"/>
    <w:multiLevelType w:val="hybridMultilevel"/>
    <w:lvl w:ilvl="0">
      <w:lvlJc w:val="left"/>
      <w:lvlText w:val="%1"/>
      <w:numFmt w:val="decimal"/>
      <w:start w:val="104"/>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76" Type="http://schemas.openxmlformats.org/officeDocument/2006/relationships/hyperlink" Target="https://www.sec.gov/Archives/edgar/data/1090425/000119312514417756/d823054dex31.htm" TargetMode="External"/><Relationship Id="rId77" Type="http://schemas.openxmlformats.org/officeDocument/2006/relationships/hyperlink" Target="https://www.sec.gov/Archives/edgar/data/1090425/000119312514417756/d823054dex32.htm" TargetMode="External"/><Relationship Id="rId78" Type="http://schemas.openxmlformats.org/officeDocument/2006/relationships/hyperlink" Target="https://www.sec.gov/Archives/edgar/data/899045/000095013407011105/d46520exv3w2.htm" TargetMode="External"/><Relationship Id="rId79" Type="http://schemas.openxmlformats.org/officeDocument/2006/relationships/hyperlink" Target="https://www.sec.gov/Archives/edgar/data/1090425/000119312514417756/d823054dex33.htm" TargetMode="External"/><Relationship Id="rId80" Type="http://schemas.openxmlformats.org/officeDocument/2006/relationships/hyperlink" Target="https://www.sec.gov/Archives/edgar/data/899045/000095013499009877/0000950134-99-009877.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2026-11-05T10:03:08Z</dcterms:created>
  <dcterms:modified xsi:type="dcterms:W3CDTF">2026-11-05T10:03:08Z</dcterms:modified>
</cp:coreProperties>
</file>