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30176d8k.htm"/>
      <w:bookmarkStart w:id="1" w:name="ksd43017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October 25,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LAMAR ADVERTISING COMPANY </w:t>
      </w:r>
    </w:p>
    <w:p>
      <w:pPr>
        <w:pStyle w:val="TextBody"/>
        <w:spacing w:before="180" w:after="0"/>
        <w:jc w:val="center"/>
        <w:rPr>
          <w:rFonts w:ascii="Times New Roman" w:hAnsi="Times New Roman"/>
          <w:b/>
          <w:sz w:val="48"/>
        </w:rPr>
      </w:pPr>
      <w:r>
        <w:rPr>
          <w:rFonts w:ascii="Times New Roman" w:hAnsi="Times New Roman"/>
          <w:b/>
          <w:sz w:val="48"/>
        </w:rPr>
        <w:t xml:space="preserve">LAMAR MEDIA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registrants as specified in their charters)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b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0-30242</w:t>
              <w:br/>
              <w:t>1-12407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72-1449411</w:t>
              <w:br/>
              <w:t>72-1205791</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(States or other jurisdictions</w:t>
              <w:b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w:t>
              <w:br/>
              <w:t>Numbers)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w:t>
              <w:br/>
              <w:t>Identification Nos.)</w:t>
            </w:r>
          </w:p>
        </w:tc>
      </w:tr>
    </w:tbl>
    <w:p>
      <w:pPr>
        <w:pStyle w:val="TextBody"/>
        <w:spacing w:before="180" w:after="0"/>
        <w:jc w:val="center"/>
        <w:rPr>
          <w:rFonts w:ascii="Times New Roman" w:hAnsi="Times New Roman"/>
          <w:b/>
          <w:sz w:val="20"/>
        </w:rPr>
      </w:pPr>
      <w:r>
        <w:rPr>
          <w:rFonts w:ascii="Times New Roman" w:hAnsi="Times New Roman"/>
          <w:b/>
          <w:sz w:val="20"/>
        </w:rPr>
        <w:t xml:space="preserve">5321 Corporate Boulevard, Baton Rouge, Louisiana 70808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and zip code) </w:t>
      </w:r>
    </w:p>
    <w:p>
      <w:pPr>
        <w:pStyle w:val="TextBody"/>
        <w:spacing w:before="180" w:after="0"/>
        <w:jc w:val="center"/>
        <w:rPr>
          <w:rFonts w:ascii="Times New Roman" w:hAnsi="Times New Roman"/>
          <w:b/>
          <w:sz w:val="20"/>
        </w:rPr>
      </w:pPr>
      <w:r>
        <w:rPr>
          <w:rFonts w:ascii="Times New Roman" w:hAnsi="Times New Roman"/>
          <w:b/>
          <w:sz w:val="20"/>
        </w:rPr>
        <w:t xml:space="preserve">(225) 926-1000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On October 25, 2012, Lamar Advertising Company (Lamar Advertising) announced a proposed institutional private placement of senior subordinated notes of Lamar Media Corp., its wholly owned subsidiary (Lamar Media). In connection with the proposed private placement, Lamar Media is disclosing the following information: </w:t>
      </w:r>
    </w:p>
    <w:p>
      <w:pPr>
        <w:pStyle w:val="TextBody"/>
        <w:spacing w:before="270" w:after="0"/>
        <w:rPr>
          <w:rFonts w:ascii="Times New Roman" w:hAnsi="Times New Roman"/>
          <w:i/>
          <w:sz w:val="20"/>
        </w:rPr>
      </w:pPr>
      <w:r>
        <w:rPr>
          <w:rFonts w:ascii="Times New Roman" w:hAnsi="Times New Roman"/>
          <w:i/>
          <w:sz w:val="20"/>
        </w:rPr>
        <w:t xml:space="preserve">Acquisition of NextMedia Outdoor, Inc. </w:t>
      </w:r>
    </w:p>
    <w:p>
      <w:pPr>
        <w:pStyle w:val="TextBody"/>
        <w:spacing w:before="90" w:after="0"/>
        <w:rPr>
          <w:rFonts w:ascii="Times New Roman" w:hAnsi="Times New Roman"/>
          <w:sz w:val="20"/>
        </w:rPr>
      </w:pPr>
      <w:r>
        <w:rPr>
          <w:rFonts w:ascii="Times New Roman" w:hAnsi="Times New Roman"/>
          <w:sz w:val="20"/>
        </w:rPr>
        <w:t xml:space="preserve">On October 24, 2012, Lamar Media entered into a stock purchase agreement with NextMedia Operating, Inc. to acquire all of the outstanding capital stock of NextMedia Outdoor, Inc. (the Acquired Company) for $145 million in cash (the Acquisition). The closing of the Acquisition, which is subject to customary closing conditions, is expected on or about October 31, 2012. Lamar Media expects to use a portion of the proceeds of the private placement to finance the Acquisition. Although Lamar Media has entered into a definitive stock purchase agreement, there can be no guarantee that it will be able to successfully complete the Acquisition. Additionally, if Lamar Media does complete the Acquisition, there can be no assurance that it will be able to integrate the Acquired Company without encountering difficulties or that any such difficulties will not have an adverse effect on Lamar Media. </w:t>
      </w:r>
    </w:p>
    <w:p>
      <w:pPr>
        <w:pStyle w:val="TextBody"/>
        <w:spacing w:before="270" w:after="0"/>
        <w:rPr>
          <w:rFonts w:ascii="Times New Roman" w:hAnsi="Times New Roman"/>
          <w:b/>
          <w:sz w:val="20"/>
        </w:rPr>
      </w:pPr>
      <w:r>
        <w:rPr>
          <w:rFonts w:ascii="Times New Roman" w:hAnsi="Times New Roman"/>
          <w:b/>
          <w:sz w:val="20"/>
        </w:rPr>
        <w:t xml:space="preserve">Item 8.01. Other Events. </w:t>
      </w:r>
    </w:p>
    <w:p>
      <w:pPr>
        <w:pStyle w:val="TextBody"/>
        <w:spacing w:before="90" w:after="0"/>
        <w:rPr>
          <w:rFonts w:ascii="Times New Roman" w:hAnsi="Times New Roman"/>
          <w:i/>
          <w:sz w:val="20"/>
        </w:rPr>
      </w:pPr>
      <w:r>
        <w:rPr>
          <w:rFonts w:ascii="Times New Roman" w:hAnsi="Times New Roman"/>
          <w:i/>
          <w:sz w:val="20"/>
        </w:rPr>
        <w:t xml:space="preserve">Proposed Private Offering </w:t>
      </w:r>
    </w:p>
    <w:p>
      <w:pPr>
        <w:pStyle w:val="TextBody"/>
        <w:spacing w:before="90" w:after="0"/>
        <w:rPr>
          <w:rFonts w:ascii="Times New Roman" w:hAnsi="Times New Roman"/>
          <w:sz w:val="20"/>
        </w:rPr>
      </w:pPr>
      <w:r>
        <w:rPr>
          <w:rFonts w:ascii="Times New Roman" w:hAnsi="Times New Roman"/>
          <w:sz w:val="20"/>
        </w:rPr>
        <w:t xml:space="preserve">On October 25, 2012, Lamar Advertising issued a press release announcing a proposed institutional private placement of senior subordinated notes by Lamar Media. The press release is attached hereto as Exhibit 99.1 and incorporated by reference herein in accordance with Rule 135c of the Securities Act of 1933, as amended. </w:t>
      </w:r>
    </w:p>
    <w:p>
      <w:pPr>
        <w:pStyle w:val="TextBody"/>
        <w:spacing w:before="270" w:after="0"/>
        <w:jc w:val="center"/>
        <w:rPr>
          <w:rFonts w:ascii="Times New Roman" w:hAnsi="Times New Roman"/>
          <w:sz w:val="20"/>
        </w:rPr>
      </w:pPr>
      <w:r>
        <w:rPr>
          <w:rFonts w:ascii="Times New Roman" w:hAnsi="Times New Roman"/>
          <w:sz w:val="20"/>
        </w:rPr>
        <w:t xml:space="preserve">****** </w:t>
      </w:r>
    </w:p>
    <w:p>
      <w:pPr>
        <w:pStyle w:val="TextBody"/>
        <w:spacing w:before="180" w:after="0"/>
        <w:rPr>
          <w:rFonts w:ascii="Times New Roman" w:hAnsi="Times New Roman"/>
          <w:i/>
          <w:sz w:val="20"/>
        </w:rPr>
      </w:pPr>
      <w:r>
        <w:rPr>
          <w:rFonts w:ascii="Times New Roman" w:hAnsi="Times New Roman"/>
          <w:i/>
          <w:sz w:val="20"/>
        </w:rPr>
        <w:t xml:space="preserve">This Current Report on Form 8-K contains forward-looking statements regarding the proposed private placement and the Acquisition. These forward-looking statements involve a number of risks and uncertainties. Among the important factors that could cause actual results to differ materially from those results indicated in the forward-looking statements include uncertainties relating to market conditions for corporate debt securities generally and for the securities of advertising companies and for Lamar Media in particular, as well as Lamar Medias ability to complete the Acquisition, which is subject to customary closing conditions. This Current Report on Form 8-K is neither an offer to sell nor a solicitation of an offer to buy the senior subordinated notes.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9"/>
        <w:gridCol w:w="526"/>
        <w:gridCol w:w="9210"/>
      </w:tblGrid>
      <w:tr>
        <w:trPr/>
        <w:tc>
          <w:tcPr>
            <w:tcW w:w="46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9210" w:type="dxa"/>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b/>
                <w:sz w:val="14"/>
              </w:rPr>
              <w:t>Exhibit</w:t>
              <w:br/>
              <w:t>No.</w:t>
            </w:r>
            <w:r>
              <w:rPr>
                <w:rFonts w:ascii="Times New Roman" w:hAnsi="Times New Roman"/>
                <w:sz w:val="14"/>
              </w:rPr>
              <w:t> </w:t>
            </w:r>
          </w:p>
        </w:tc>
        <w:tc>
          <w:tcPr>
            <w:tcW w:w="526" w:type="dxa"/>
            <w:tcBorders/>
            <w:shd w:fill="auto" w:val="clear"/>
            <w:vAlign w:val="bottom"/>
          </w:tcPr>
          <w:p>
            <w:pPr>
              <w:pStyle w:val="TableContents"/>
              <w:spacing w:before="0" w:after="283"/>
              <w:rPr/>
            </w:pPr>
            <w:r>
              <w:rPr/>
              <w:t>  </w:t>
            </w:r>
          </w:p>
        </w:tc>
        <w:tc>
          <w:tcPr>
            <w:tcW w:w="921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6" w:type="dxa"/>
            <w:tcBorders/>
            <w:shd w:fill="auto" w:val="clear"/>
            <w:vAlign w:val="bottom"/>
          </w:tcPr>
          <w:p>
            <w:pPr>
              <w:pStyle w:val="TableContents"/>
              <w:spacing w:before="0" w:after="283"/>
              <w:rPr/>
            </w:pPr>
            <w:r>
              <w:rPr/>
              <w:t>  </w:t>
            </w:r>
          </w:p>
        </w:tc>
        <w:tc>
          <w:tcPr>
            <w:tcW w:w="9210"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Lamar Advertising Company dated October 25, 2012.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93"/>
        <w:gridCol w:w="120"/>
        <w:gridCol w:w="332"/>
        <w:gridCol w:w="120"/>
        <w:gridCol w:w="4940"/>
      </w:tblGrid>
      <w:tr>
        <w:trPr/>
        <w:tc>
          <w:tcPr>
            <w:tcW w:w="46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rPr>
                <w:sz w:val="4"/>
                <w:szCs w:val="4"/>
              </w:rPr>
            </w:pPr>
            <w:r>
              <w:rPr>
                <w:sz w:val="4"/>
                <w:szCs w:val="4"/>
              </w:rPr>
            </w:r>
          </w:p>
        </w:tc>
      </w:tr>
      <w:tr>
        <w:trPr/>
        <w:tc>
          <w:tcPr>
            <w:tcW w:w="4693" w:type="dxa"/>
            <w:tcBorders/>
            <w:shd w:fill="auto" w:val="clear"/>
          </w:tcPr>
          <w:p>
            <w:pPr>
              <w:pStyle w:val="TableContents"/>
              <w:spacing w:before="0" w:after="283"/>
              <w:rPr>
                <w:rFonts w:ascii="Times New Roman" w:hAnsi="Times New Roman"/>
                <w:sz w:val="20"/>
              </w:rPr>
            </w:pPr>
            <w:r>
              <w:rPr>
                <w:rFonts w:ascii="Times New Roman" w:hAnsi="Times New Roman"/>
                <w:sz w:val="20"/>
              </w:rPr>
              <w:t>Date: October 25, 2012</w:t>
            </w:r>
          </w:p>
        </w:tc>
        <w:tc>
          <w:tcPr>
            <w:tcW w:w="120" w:type="dxa"/>
            <w:tcBorders/>
            <w:shd w:fill="auto" w:val="clear"/>
            <w:vAlign w:val="bottom"/>
          </w:tcPr>
          <w:p>
            <w:pPr>
              <w:pStyle w:val="TableContents"/>
              <w:spacing w:before="0" w:after="283"/>
              <w:rPr/>
            </w:pPr>
            <w:r>
              <w:rPr/>
              <w:t> </w:t>
            </w:r>
          </w:p>
        </w:tc>
        <w:tc>
          <w:tcPr>
            <w:tcW w:w="539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LAMAR ADVERTISING COMPANY</w:t>
            </w:r>
          </w:p>
        </w:tc>
      </w:tr>
      <w:tr>
        <w:trPr>
          <w:trHeight w:val="240" w:hRule="atLeast"/>
        </w:trPr>
        <w:tc>
          <w:tcPr>
            <w:tcW w:w="4693" w:type="dxa"/>
            <w:tcBorders/>
            <w:shd w:fill="auto" w:val="clear"/>
            <w:vAlign w:val="center"/>
          </w:tcPr>
          <w:p>
            <w:pPr>
              <w:pStyle w:val="TableContents"/>
              <w:spacing w:before="0" w:after="283"/>
              <w:rPr>
                <w:sz w:val="4"/>
                <w:szCs w:val="4"/>
              </w:rPr>
            </w:pPr>
            <w:r>
              <w:rPr>
                <w:sz w:val="4"/>
                <w:szCs w:val="4"/>
              </w:rPr>
            </w:r>
          </w:p>
        </w:tc>
        <w:tc>
          <w:tcPr>
            <w:tcW w:w="452" w:type="dxa"/>
            <w:gridSpan w:val="2"/>
            <w:tcBorders/>
            <w:shd w:fill="auto" w:val="clear"/>
            <w:vAlign w:val="center"/>
          </w:tcPr>
          <w:p>
            <w:pPr>
              <w:pStyle w:val="TableContents"/>
              <w:spacing w:before="0" w:after="283"/>
              <w:rPr>
                <w:sz w:val="4"/>
                <w:szCs w:val="4"/>
              </w:rPr>
            </w:pPr>
            <w:r>
              <w:rPr>
                <w:sz w:val="4"/>
                <w:szCs w:val="4"/>
              </w:rPr>
            </w:r>
          </w:p>
        </w:tc>
        <w:tc>
          <w:tcPr>
            <w:tcW w:w="5060" w:type="dxa"/>
            <w:gridSpan w:val="2"/>
            <w:tcBorders/>
            <w:shd w:fill="auto" w:val="clear"/>
            <w:vAlign w:val="center"/>
          </w:tcPr>
          <w:p>
            <w:pPr>
              <w:pStyle w:val="TableContents"/>
              <w:spacing w:before="0" w:after="283"/>
              <w:rPr>
                <w:sz w:val="4"/>
                <w:szCs w:val="4"/>
              </w:rPr>
            </w:pPr>
            <w:r>
              <w:rPr>
                <w:sz w:val="4"/>
                <w:szCs w:val="4"/>
              </w:rPr>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Keith A. Istre</w:t>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spacing w:before="0" w:after="283"/>
              <w:rPr>
                <w:rFonts w:ascii="Times New Roman" w:hAnsi="Times New Roman"/>
                <w:sz w:val="20"/>
              </w:rPr>
            </w:pPr>
            <w:r>
              <w:rPr>
                <w:rFonts w:ascii="Times New Roman" w:hAnsi="Times New Roman"/>
                <w:sz w:val="20"/>
              </w:rPr>
              <w:t>Keith A. Istre</w:t>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 and Chief Financial Officer</w:t>
            </w:r>
          </w:p>
        </w:tc>
      </w:tr>
      <w:tr>
        <w:trPr>
          <w:trHeight w:val="240" w:hRule="atLeast"/>
        </w:trPr>
        <w:tc>
          <w:tcPr>
            <w:tcW w:w="4693" w:type="dxa"/>
            <w:tcBorders/>
            <w:shd w:fill="auto" w:val="clear"/>
            <w:vAlign w:val="center"/>
          </w:tcPr>
          <w:p>
            <w:pPr>
              <w:pStyle w:val="TableContents"/>
              <w:spacing w:before="0" w:after="283"/>
              <w:rPr>
                <w:sz w:val="4"/>
                <w:szCs w:val="4"/>
              </w:rPr>
            </w:pPr>
            <w:r>
              <w:rPr>
                <w:sz w:val="4"/>
                <w:szCs w:val="4"/>
              </w:rPr>
            </w:r>
          </w:p>
        </w:tc>
        <w:tc>
          <w:tcPr>
            <w:tcW w:w="5512" w:type="dxa"/>
            <w:gridSpan w:val="4"/>
            <w:tcBorders/>
            <w:shd w:fill="auto" w:val="clear"/>
            <w:vAlign w:val="center"/>
          </w:tcPr>
          <w:p>
            <w:pPr>
              <w:pStyle w:val="TableContents"/>
              <w:spacing w:before="0" w:after="283"/>
              <w:rPr>
                <w:sz w:val="4"/>
                <w:szCs w:val="4"/>
              </w:rPr>
            </w:pPr>
            <w:r>
              <w:rPr>
                <w:sz w:val="4"/>
                <w:szCs w:val="4"/>
              </w:rPr>
            </w:r>
          </w:p>
        </w:tc>
      </w:tr>
      <w:tr>
        <w:trPr/>
        <w:tc>
          <w:tcPr>
            <w:tcW w:w="4693" w:type="dxa"/>
            <w:tcBorders/>
            <w:shd w:fill="auto" w:val="clear"/>
          </w:tcPr>
          <w:p>
            <w:pPr>
              <w:pStyle w:val="TableContents"/>
              <w:spacing w:before="0" w:after="283"/>
              <w:rPr>
                <w:rFonts w:ascii="Times New Roman" w:hAnsi="Times New Roman"/>
                <w:sz w:val="20"/>
              </w:rPr>
            </w:pPr>
            <w:r>
              <w:rPr>
                <w:rFonts w:ascii="Times New Roman" w:hAnsi="Times New Roman"/>
                <w:sz w:val="20"/>
              </w:rPr>
              <w:t>Date: October 25, 2012</w:t>
            </w:r>
          </w:p>
        </w:tc>
        <w:tc>
          <w:tcPr>
            <w:tcW w:w="120" w:type="dxa"/>
            <w:tcBorders/>
            <w:shd w:fill="auto" w:val="clear"/>
            <w:vAlign w:val="bottom"/>
          </w:tcPr>
          <w:p>
            <w:pPr>
              <w:pStyle w:val="TableContents"/>
              <w:spacing w:before="0" w:after="283"/>
              <w:rPr/>
            </w:pPr>
            <w:r>
              <w:rPr/>
              <w:t> </w:t>
            </w:r>
          </w:p>
        </w:tc>
        <w:tc>
          <w:tcPr>
            <w:tcW w:w="539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LAMAR MEDIA CORP.</w:t>
            </w:r>
          </w:p>
        </w:tc>
      </w:tr>
      <w:tr>
        <w:trPr>
          <w:trHeight w:val="240" w:hRule="atLeast"/>
        </w:trPr>
        <w:tc>
          <w:tcPr>
            <w:tcW w:w="4693" w:type="dxa"/>
            <w:tcBorders/>
            <w:shd w:fill="auto" w:val="clear"/>
            <w:vAlign w:val="center"/>
          </w:tcPr>
          <w:p>
            <w:pPr>
              <w:pStyle w:val="TableContents"/>
              <w:spacing w:before="0" w:after="283"/>
              <w:rPr>
                <w:sz w:val="4"/>
                <w:szCs w:val="4"/>
              </w:rPr>
            </w:pPr>
            <w:r>
              <w:rPr>
                <w:sz w:val="4"/>
                <w:szCs w:val="4"/>
              </w:rPr>
            </w:r>
          </w:p>
        </w:tc>
        <w:tc>
          <w:tcPr>
            <w:tcW w:w="452" w:type="dxa"/>
            <w:gridSpan w:val="2"/>
            <w:tcBorders/>
            <w:shd w:fill="auto" w:val="clear"/>
            <w:vAlign w:val="center"/>
          </w:tcPr>
          <w:p>
            <w:pPr>
              <w:pStyle w:val="TableContents"/>
              <w:spacing w:before="0" w:after="283"/>
              <w:rPr>
                <w:sz w:val="4"/>
                <w:szCs w:val="4"/>
              </w:rPr>
            </w:pPr>
            <w:r>
              <w:rPr>
                <w:sz w:val="4"/>
                <w:szCs w:val="4"/>
              </w:rPr>
            </w:r>
          </w:p>
        </w:tc>
        <w:tc>
          <w:tcPr>
            <w:tcW w:w="5060" w:type="dxa"/>
            <w:gridSpan w:val="2"/>
            <w:tcBorders/>
            <w:shd w:fill="auto" w:val="clear"/>
            <w:vAlign w:val="center"/>
          </w:tcPr>
          <w:p>
            <w:pPr>
              <w:pStyle w:val="TableContents"/>
              <w:spacing w:before="0" w:after="283"/>
              <w:rPr>
                <w:sz w:val="4"/>
                <w:szCs w:val="4"/>
              </w:rPr>
            </w:pPr>
            <w:r>
              <w:rPr>
                <w:sz w:val="4"/>
                <w:szCs w:val="4"/>
              </w:rPr>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Keith A. Istre</w:t>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spacing w:before="0" w:after="283"/>
              <w:rPr>
                <w:rFonts w:ascii="Times New Roman" w:hAnsi="Times New Roman"/>
                <w:sz w:val="20"/>
              </w:rPr>
            </w:pPr>
            <w:r>
              <w:rPr>
                <w:rFonts w:ascii="Times New Roman" w:hAnsi="Times New Roman"/>
                <w:sz w:val="20"/>
              </w:rPr>
              <w:t>Keith A. Istre</w:t>
            </w:r>
          </w:p>
        </w:tc>
      </w:tr>
      <w:tr>
        <w:trPr/>
        <w:tc>
          <w:tcPr>
            <w:tcW w:w="4693"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940" w:type="dxa"/>
            <w:tcBorders/>
            <w:shd w:fill="auto" w:val="clear"/>
          </w:tcPr>
          <w:p>
            <w:pPr>
              <w:pStyle w:val="TableContents"/>
              <w:spacing w:before="0" w:after="283"/>
              <w:rPr>
                <w:rFonts w:ascii="Times New Roman" w:hAnsi="Times New Roman"/>
                <w:sz w:val="20"/>
              </w:rPr>
            </w:pPr>
            <w:r>
              <w:rPr>
                <w:rFonts w:ascii="Times New Roman" w:hAnsi="Times New Roman"/>
                <w:sz w:val="20"/>
              </w:rPr>
              <w:t>Treasurer and Chief Financial Officer</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9"/>
        <w:gridCol w:w="526"/>
        <w:gridCol w:w="9210"/>
      </w:tblGrid>
      <w:tr>
        <w:trPr/>
        <w:tc>
          <w:tcPr>
            <w:tcW w:w="46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9210" w:type="dxa"/>
            <w:tcBorders/>
            <w:shd w:fill="auto" w:val="clear"/>
            <w:vAlign w:val="center"/>
          </w:tcPr>
          <w:p>
            <w:pPr>
              <w:pStyle w:val="TableContents"/>
              <w:spacing w:before="0" w:after="283"/>
              <w:rPr>
                <w:sz w:val="4"/>
                <w:szCs w:val="4"/>
              </w:rPr>
            </w:pPr>
            <w:r>
              <w:rPr>
                <w:sz w:val="4"/>
                <w:szCs w:val="4"/>
              </w:rPr>
            </w:r>
          </w:p>
        </w:tc>
      </w:tr>
      <w:tr>
        <w:trPr/>
        <w:tc>
          <w:tcPr>
            <w:tcW w:w="46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b/>
                <w:sz w:val="14"/>
              </w:rPr>
              <w:t>Exhibit</w:t>
              <w:br/>
              <w:t>No.</w:t>
            </w:r>
            <w:r>
              <w:rPr>
                <w:rFonts w:ascii="Times New Roman" w:hAnsi="Times New Roman"/>
                <w:sz w:val="14"/>
              </w:rPr>
              <w:t> </w:t>
            </w:r>
          </w:p>
        </w:tc>
        <w:tc>
          <w:tcPr>
            <w:tcW w:w="526" w:type="dxa"/>
            <w:tcBorders/>
            <w:shd w:fill="auto" w:val="clear"/>
            <w:vAlign w:val="bottom"/>
          </w:tcPr>
          <w:p>
            <w:pPr>
              <w:pStyle w:val="TableContents"/>
              <w:spacing w:before="0" w:after="283"/>
              <w:rPr/>
            </w:pPr>
            <w:r>
              <w:rPr/>
              <w:t>  </w:t>
            </w:r>
          </w:p>
        </w:tc>
        <w:tc>
          <w:tcPr>
            <w:tcW w:w="921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c>
          <w:tcPr>
            <w:tcW w:w="469"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6" w:type="dxa"/>
            <w:tcBorders/>
            <w:shd w:fill="auto" w:val="clear"/>
            <w:vAlign w:val="bottom"/>
          </w:tcPr>
          <w:p>
            <w:pPr>
              <w:pStyle w:val="TableContents"/>
              <w:spacing w:before="0" w:after="283"/>
              <w:rPr/>
            </w:pPr>
            <w:r>
              <w:rPr/>
              <w:t>  </w:t>
            </w:r>
          </w:p>
        </w:tc>
        <w:tc>
          <w:tcPr>
            <w:tcW w:w="9210"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Lamar Advertising Company dated October 25, 2012.</w:t>
            </w:r>
          </w:p>
        </w:tc>
      </w:tr>
    </w:tbl>
    <w:p>
      <w:pPr>
        <w:pStyle w:val="TextBody"/>
        <w:spacing w:before="0" w:after="0"/>
        <w:jc w:val="right"/>
        <w:rPr>
          <w:rFonts w:ascii="Times New Roman" w:hAnsi="Times New Roman"/>
          <w:b/>
          <w:sz w:val="20"/>
        </w:rPr>
      </w:pPr>
      <w:r>
        <w:br w:type="page"/>
      </w:r>
      <w:bookmarkStart w:id="2" w:name="d430176dex991.htm"/>
      <w:bookmarkStart w:id="3" w:name="ksd430176dex991"/>
      <w:bookmarkEnd w:id="2"/>
      <w:bookmarkEnd w:id="3"/>
      <w:r>
        <w:rPr>
          <w:rFonts w:ascii="Times New Roman" w:hAnsi="Times New Roman"/>
          <w:b/>
          <w:sz w:val="20"/>
        </w:rPr>
        <w:t xml:space="preserve">Exhibit 99.1 </w:t>
      </w:r>
    </w:p>
    <w:p>
      <w:pPr>
        <w:pStyle w:val="TextBody"/>
        <w:spacing w:before="0" w:after="0"/>
        <w:rPr/>
      </w:pPr>
      <w:r>
        <w:rPr/>
        <w:t> </w:t>
      </w:r>
    </w:p>
    <w:p>
      <w:pPr>
        <w:pStyle w:val="TextBody"/>
        <w:spacing w:before="180" w:after="0"/>
        <w:jc w:val="center"/>
        <w:rPr/>
      </w:pPr>
      <w:r>
        <w:rPr/>
        <w:drawing>
          <wp:inline distT="0" distB="0" distL="0" distR="0">
            <wp:extent cx="816610" cy="140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6610" cy="140335"/>
                    </a:xfrm>
                    <a:prstGeom prst="rect">
                      <a:avLst/>
                    </a:prstGeom>
                  </pic:spPr>
                </pic:pic>
              </a:graphicData>
            </a:graphic>
          </wp:inline>
        </w:drawing>
      </w:r>
      <w:r>
        <w:rPr/>
        <w:t xml:space="preserve"> </w:t>
      </w:r>
    </w:p>
    <w:p>
      <w:pPr>
        <w:pStyle w:val="TextBody"/>
        <w:spacing w:before="0" w:after="0"/>
        <w:jc w:val="center"/>
        <w:rPr>
          <w:rFonts w:ascii="Times New Roman" w:hAnsi="Times New Roman"/>
          <w:b/>
          <w:sz w:val="20"/>
        </w:rPr>
      </w:pPr>
      <w:r>
        <w:rPr>
          <w:rFonts w:ascii="Times New Roman" w:hAnsi="Times New Roman"/>
          <w:b/>
          <w:sz w:val="20"/>
        </w:rPr>
        <w:t xml:space="preserve">5321 Corporate Boulevard </w:t>
      </w:r>
    </w:p>
    <w:p>
      <w:pPr>
        <w:pStyle w:val="TextBody"/>
        <w:spacing w:before="0" w:after="0"/>
        <w:jc w:val="center"/>
        <w:rPr>
          <w:rFonts w:ascii="Times New Roman" w:hAnsi="Times New Roman"/>
          <w:b/>
          <w:sz w:val="20"/>
        </w:rPr>
      </w:pPr>
      <w:r>
        <w:rPr>
          <w:rFonts w:ascii="Times New Roman" w:hAnsi="Times New Roman"/>
          <w:b/>
          <w:sz w:val="20"/>
        </w:rPr>
        <w:t xml:space="preserve">Baton Rouge, LA 70808 </w:t>
      </w:r>
    </w:p>
    <w:p>
      <w:pPr>
        <w:pStyle w:val="TextBody"/>
        <w:spacing w:before="180" w:after="0"/>
        <w:jc w:val="center"/>
        <w:rPr>
          <w:rFonts w:ascii="Times New Roman" w:hAnsi="Times New Roman"/>
          <w:b/>
          <w:sz w:val="20"/>
        </w:rPr>
      </w:pPr>
      <w:r>
        <w:rPr>
          <w:rFonts w:ascii="Times New Roman" w:hAnsi="Times New Roman"/>
          <w:b/>
          <w:sz w:val="20"/>
        </w:rPr>
        <w:t xml:space="preserve">Lamar Advertising Company Announces </w:t>
      </w:r>
    </w:p>
    <w:p>
      <w:pPr>
        <w:pStyle w:val="TextBody"/>
        <w:spacing w:before="0" w:after="0"/>
        <w:jc w:val="center"/>
        <w:rPr>
          <w:rFonts w:ascii="Times New Roman" w:hAnsi="Times New Roman"/>
          <w:b/>
          <w:sz w:val="20"/>
        </w:rPr>
      </w:pPr>
      <w:r>
        <w:rPr>
          <w:rFonts w:ascii="Times New Roman" w:hAnsi="Times New Roman"/>
          <w:b/>
          <w:sz w:val="20"/>
        </w:rPr>
        <w:t xml:space="preserve">Proposed Private Offering of Senior Subordinated Notes </w:t>
      </w:r>
    </w:p>
    <w:p>
      <w:pPr>
        <w:pStyle w:val="TextBody"/>
        <w:spacing w:before="180" w:after="0"/>
        <w:rPr>
          <w:rFonts w:ascii="Times New Roman" w:hAnsi="Times New Roman"/>
          <w:sz w:val="20"/>
        </w:rPr>
      </w:pPr>
      <w:r>
        <w:rPr>
          <w:rFonts w:ascii="Times New Roman" w:hAnsi="Times New Roman"/>
          <w:sz w:val="20"/>
        </w:rPr>
        <w:t xml:space="preserve">Baton Rouge, LA  October 25, 2012  Lamar Advertising Company (Nasdaq: LAMR) announced today that it is seeking to raise approximately $535 million through an institutional private placement of senior subordinated notes due 2023 (the Notes) by its wholly owned subsidiary, Lamar Media Corp. </w:t>
      </w:r>
    </w:p>
    <w:p>
      <w:pPr>
        <w:pStyle w:val="TextBody"/>
        <w:spacing w:before="180" w:after="0"/>
        <w:rPr>
          <w:rFonts w:ascii="Times New Roman" w:hAnsi="Times New Roman"/>
          <w:sz w:val="20"/>
        </w:rPr>
      </w:pPr>
      <w:r>
        <w:rPr>
          <w:rFonts w:ascii="Times New Roman" w:hAnsi="Times New Roman"/>
          <w:sz w:val="20"/>
        </w:rPr>
        <w:t xml:space="preserve">Lamar Media intends to use the proceeds of this offering, after the payment of fees and expenses, (i) to redeem $137.2 million in aggregate principal amount outstanding of Lamar Medias 6 5/8% Senior Subordinated Notes due 2015Series B and Lamar Medias 6 5/8% Senior Subordinated Notes due 2015Series C, (ii) to fund the acquisition of NextMedia Outdoor, Inc. and potential acquisitions that are currently being evaluated by Lamar or that it may pursue in the future or, to the extent not used to fund potential future acquisitions, to repay a portion of the indebtedness outstanding under Lamar Medias senior credit facility and (iii) for general corporate purposes. </w:t>
      </w:r>
    </w:p>
    <w:p>
      <w:pPr>
        <w:pStyle w:val="TextBody"/>
        <w:spacing w:before="180" w:after="0"/>
        <w:rPr>
          <w:rFonts w:ascii="Times New Roman" w:hAnsi="Times New Roman"/>
          <w:sz w:val="20"/>
        </w:rPr>
      </w:pPr>
      <w:r>
        <w:rPr>
          <w:rFonts w:ascii="Times New Roman" w:hAnsi="Times New Roman"/>
          <w:sz w:val="20"/>
        </w:rPr>
        <w:t xml:space="preserve">This announcement is neither an offer to sell nor a solicitation of an offer to buy the Notes. </w:t>
      </w:r>
    </w:p>
    <w:p>
      <w:pPr>
        <w:pStyle w:val="TextBody"/>
        <w:spacing w:before="180" w:after="0"/>
        <w:rPr>
          <w:rFonts w:ascii="Times New Roman" w:hAnsi="Times New Roman"/>
          <w:sz w:val="20"/>
        </w:rPr>
      </w:pPr>
      <w:r>
        <w:rPr>
          <w:rFonts w:ascii="Times New Roman" w:hAnsi="Times New Roman"/>
          <w:sz w:val="20"/>
        </w:rPr>
        <w:t xml:space="preserve">The Notes subject to the private placement have not been registered under the Securities Act of 1933, as amended, or any state securities laws, and are being offered only to qualified institutional buyers in reliance on Rule 144A under the Securities Act and to non-U.S. persons in offshore transactions in reliance on Regulation S. Unless so registered, the Notes may not be offered or sold in the United States or to U.S. persons except pursuant to an exemption from the registration requirements of the Securities Act and applicable state securities laws. </w:t>
      </w:r>
    </w:p>
    <w:p>
      <w:pPr>
        <w:pStyle w:val="TextBody"/>
        <w:spacing w:before="270" w:after="0"/>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This press release contains forward-looking statements regarding Lamar Medias ability to complete this private placement and its application of net proceeds, including the proposed acquisition of NextMedia Outdoor, Inc. and the redemption of Lamar Medias 6 5/8% Notes due 2015. These forward-looking statements involve a number of risks and uncertainties. Among the important factors that could cause actual results to differ materially from those results indicated in the forward-looking statements include uncertainties relating to market conditions for corporate debt securities generally and for the securities of advertising companies and for Lamar Media in particular, as well as Lamar Medias ability to complete the proposed acquisition of NextMedia Outdoor, Inc., which is subject to customary closing conditions. </w:t>
      </w:r>
    </w:p>
    <w:p>
      <w:pPr>
        <w:pStyle w:val="TextBody"/>
        <w:spacing w:before="18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i/>
          <w:sz w:val="20"/>
        </w:rPr>
      </w:pPr>
      <w:r>
        <w:rPr>
          <w:rFonts w:ascii="Times New Roman" w:hAnsi="Times New Roman"/>
          <w:i/>
          <w:sz w:val="20"/>
        </w:rPr>
        <w:t xml:space="preserve">This news release is for informational purposes only and is not an offer to buy, or the solicitation of an offer to sell, securities. </w:t>
      </w:r>
    </w:p>
    <w:p>
      <w:pPr>
        <w:pStyle w:val="TextBody"/>
        <w:spacing w:before="90" w:after="0"/>
        <w:rPr>
          <w:rFonts w:ascii="Times New Roman" w:hAnsi="Times New Roman"/>
          <w:sz w:val="20"/>
        </w:rPr>
      </w:pPr>
      <w:r>
        <w:rPr>
          <w:rFonts w:ascii="Times New Roman" w:hAnsi="Times New Roman"/>
          <w:sz w:val="20"/>
        </w:rPr>
        <w:t xml:space="preserve">Contact: </w:t>
      </w:r>
    </w:p>
    <w:p>
      <w:pPr>
        <w:pStyle w:val="TextBody"/>
        <w:spacing w:before="90" w:after="0"/>
        <w:rPr>
          <w:rFonts w:ascii="Times New Roman" w:hAnsi="Times New Roman"/>
          <w:sz w:val="20"/>
        </w:rPr>
      </w:pPr>
      <w:r>
        <w:rPr>
          <w:rFonts w:ascii="Times New Roman" w:hAnsi="Times New Roman"/>
          <w:sz w:val="20"/>
        </w:rPr>
        <w:t xml:space="preserve">Lamar Media Corp. </w:t>
      </w:r>
    </w:p>
    <w:p>
      <w:pPr>
        <w:pStyle w:val="TextBody"/>
        <w:spacing w:before="0" w:after="0"/>
        <w:rPr>
          <w:rFonts w:ascii="Times New Roman" w:hAnsi="Times New Roman"/>
          <w:sz w:val="20"/>
        </w:rPr>
      </w:pPr>
      <w:r>
        <w:rPr>
          <w:rFonts w:ascii="Times New Roman" w:hAnsi="Times New Roman"/>
          <w:sz w:val="20"/>
        </w:rPr>
        <w:t xml:space="preserve">Keith Istre </w:t>
      </w:r>
    </w:p>
    <w:p>
      <w:pPr>
        <w:pStyle w:val="TextBody"/>
        <w:spacing w:before="0" w:after="0"/>
        <w:rPr>
          <w:rFonts w:ascii="Times New Roman" w:hAnsi="Times New Roman"/>
          <w:sz w:val="20"/>
        </w:rPr>
      </w:pPr>
      <w:r>
        <w:rPr>
          <w:rFonts w:ascii="Times New Roman" w:hAnsi="Times New Roman"/>
          <w:sz w:val="20"/>
        </w:rPr>
        <w:t xml:space="preserve">Chief Financial Officer </w:t>
      </w:r>
    </w:p>
    <w:p>
      <w:pPr>
        <w:pStyle w:val="TextBody"/>
        <w:spacing w:before="0" w:after="0"/>
        <w:rPr>
          <w:rFonts w:ascii="Times New Roman" w:hAnsi="Times New Roman"/>
          <w:sz w:val="20"/>
        </w:rPr>
      </w:pPr>
      <w:r>
        <w:rPr>
          <w:rFonts w:ascii="Times New Roman" w:hAnsi="Times New Roman"/>
          <w:sz w:val="20"/>
        </w:rPr>
        <w:t xml:space="preserve">(225) 926-1000 </w:t>
      </w:r>
    </w:p>
    <w:p>
      <w:pPr>
        <w:pStyle w:val="TextBody"/>
        <w:spacing w:before="0" w:after="0"/>
        <w:rPr>
          <w:rFonts w:ascii="Times New Roman" w:hAnsi="Times New Roman"/>
          <w:sz w:val="20"/>
        </w:rPr>
      </w:pPr>
      <w:r>
        <w:rPr>
          <w:rFonts w:ascii="Times New Roman" w:hAnsi="Times New Roman"/>
          <w:sz w:val="20"/>
        </w:rPr>
        <w:t xml:space="preserve">KI@lamar.com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1123</Words>
  <CharactersWithSpaces>7268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of Lamar Advertising Company dated October 25, 2012</dc:title>
</cp:coreProperties>
</file>