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020" w:right="2180" w:hanging="4012"/>
        <w:spacing w:after="0" w:line="359" w:lineRule="auto"/>
        <w:tabs>
          <w:tab w:leader="none" w:pos="4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2014</w:t>
      </w:r>
    </w:p>
    <w:p>
      <w:pPr>
        <w:spacing w:after="0" w:line="2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1-36756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Lamar Advertising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Lamar Media Corp.</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names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49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3"/>
              </w:rPr>
              <w:t>Delaware</w:t>
            </w:r>
          </w:p>
        </w:tc>
        <w:tc>
          <w:tcPr>
            <w:tcW w:w="2960" w:type="dxa"/>
            <w:vAlign w:val="bottom"/>
          </w:tcPr>
          <w:p>
            <w:pPr>
              <w:jc w:val="center"/>
              <w:ind w:left="1739"/>
              <w:spacing w:after="0"/>
              <w:rPr>
                <w:sz w:val="20"/>
                <w:szCs w:val="20"/>
                <w:color w:val="auto"/>
              </w:rPr>
            </w:pPr>
            <w:r>
              <w:rPr>
                <w:rFonts w:ascii="Arial" w:cs="Arial" w:eastAsia="Arial" w:hAnsi="Arial"/>
                <w:sz w:val="18"/>
                <w:szCs w:val="18"/>
                <w:b w:val="1"/>
                <w:bCs w:val="1"/>
                <w:color w:val="auto"/>
                <w:w w:val="89"/>
              </w:rPr>
              <w:t>72-1449411</w:t>
            </w:r>
          </w:p>
        </w:tc>
      </w:tr>
      <w:tr>
        <w:trPr>
          <w:trHeight w:val="225"/>
        </w:trPr>
        <w:tc>
          <w:tcPr>
            <w:tcW w:w="49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3"/>
              </w:rPr>
              <w:t>Delaware</w:t>
            </w:r>
          </w:p>
        </w:tc>
        <w:tc>
          <w:tcPr>
            <w:tcW w:w="2960" w:type="dxa"/>
            <w:vAlign w:val="bottom"/>
          </w:tcPr>
          <w:p>
            <w:pPr>
              <w:jc w:val="center"/>
              <w:ind w:left="1739"/>
              <w:spacing w:after="0"/>
              <w:rPr>
                <w:sz w:val="20"/>
                <w:szCs w:val="20"/>
                <w:color w:val="auto"/>
              </w:rPr>
            </w:pPr>
            <w:r>
              <w:rPr>
                <w:rFonts w:ascii="Arial" w:cs="Arial" w:eastAsia="Arial" w:hAnsi="Arial"/>
                <w:sz w:val="18"/>
                <w:szCs w:val="18"/>
                <w:b w:val="1"/>
                <w:bCs w:val="1"/>
                <w:color w:val="auto"/>
                <w:w w:val="89"/>
              </w:rPr>
              <w:t>72-1205791</w:t>
            </w:r>
          </w:p>
        </w:tc>
      </w:tr>
      <w:tr>
        <w:trPr>
          <w:trHeight w:val="149"/>
        </w:trPr>
        <w:tc>
          <w:tcPr>
            <w:tcW w:w="4900" w:type="dxa"/>
            <w:vAlign w:val="bottom"/>
          </w:tcPr>
          <w:p>
            <w:pPr>
              <w:jc w:val="center"/>
              <w:ind w:right="17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900" w:type="dxa"/>
            <w:vAlign w:val="bottom"/>
          </w:tcPr>
          <w:p>
            <w:pPr>
              <w:jc w:val="center"/>
              <w:ind w:right="173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39"/>
              <w:spacing w:after="0"/>
              <w:rPr>
                <w:sz w:val="20"/>
                <w:szCs w:val="20"/>
                <w:color w:val="auto"/>
              </w:rPr>
            </w:pPr>
            <w:r>
              <w:rPr>
                <w:rFonts w:ascii="Arial" w:cs="Arial" w:eastAsia="Arial" w:hAnsi="Arial"/>
                <w:sz w:val="14"/>
                <w:szCs w:val="14"/>
                <w:b w:val="1"/>
                <w:bCs w:val="1"/>
                <w:color w:val="auto"/>
                <w:w w:val="96"/>
              </w:rPr>
              <w:t>Identification No.)</w:t>
            </w:r>
          </w:p>
        </w:tc>
      </w:tr>
      <w:tr>
        <w:trPr>
          <w:trHeight w:val="300"/>
        </w:trPr>
        <w:tc>
          <w:tcPr>
            <w:tcW w:w="490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5321 Corporate Blvd., Baton Rouge, LA</w:t>
            </w:r>
          </w:p>
        </w:tc>
        <w:tc>
          <w:tcPr>
            <w:tcW w:w="296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70808</w:t>
            </w:r>
          </w:p>
        </w:tc>
      </w:tr>
      <w:tr>
        <w:trPr>
          <w:trHeight w:val="186"/>
        </w:trPr>
        <w:tc>
          <w:tcPr>
            <w:tcW w:w="4900" w:type="dxa"/>
            <w:vAlign w:val="bottom"/>
          </w:tcPr>
          <w:p>
            <w:pPr>
              <w:jc w:val="center"/>
              <w:ind w:right="1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39"/>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(225) 926-1000</w:t>
      </w:r>
    </w:p>
    <w:p>
      <w:pPr>
        <w:spacing w:after="0" w:line="117"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OF LAMAR ADVERTISING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12(b) OF THE ACT: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$0.001 par value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OF LAMAR ADVERTISING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12(g) OF THE ACT: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OF LAMAR MEDIA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12(b) OF THE ACT: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OF LAMAR MEDIA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12(g) OF THE ACT: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8" w:lineRule="exact"/>
        <w:rPr>
          <w:sz w:val="24"/>
          <w:szCs w:val="24"/>
          <w:color w:val="auto"/>
        </w:rPr>
      </w:pPr>
    </w:p>
    <w:tbl>
      <w:tblPr>
        <w:tblLayout w:type="fixed"/>
        <w:tblInd w:w="360" w:type="dxa"/>
        <w:tblCellMar>
          <w:top w:w="0" w:type="dxa"/>
          <w:left w:w="0" w:type="dxa"/>
          <w:bottom w:w="0" w:type="dxa"/>
          <w:right w:w="0" w:type="dxa"/>
        </w:tblCellMar>
      </w:tblPr>
      <w:tr>
        <w:trPr>
          <w:trHeight w:val="226"/>
        </w:trPr>
        <w:tc>
          <w:tcPr>
            <w:tcW w:w="7740" w:type="dxa"/>
            <w:vAlign w:val="bottom"/>
          </w:tcPr>
          <w:p>
            <w:pPr>
              <w:spacing w:after="0"/>
              <w:rPr>
                <w:sz w:val="20"/>
                <w:szCs w:val="20"/>
                <w:color w:val="auto"/>
              </w:rPr>
            </w:pPr>
            <w:r>
              <w:rPr>
                <w:rFonts w:ascii="Arial" w:cs="Arial" w:eastAsia="Arial" w:hAnsi="Arial"/>
                <w:sz w:val="14"/>
                <w:szCs w:val="14"/>
                <w:color w:val="auto"/>
                <w:w w:val="94"/>
              </w:rPr>
              <w:t>Indicate by check mark if Lamar Advertising Company is a well-known seasoned issuer, as defined in Rule 405 of the Securities Act.</w:t>
            </w:r>
          </w:p>
        </w:tc>
        <w:tc>
          <w:tcPr>
            <w:tcW w:w="520" w:type="dxa"/>
            <w:vAlign w:val="bottom"/>
          </w:tcPr>
          <w:p>
            <w:pPr>
              <w:ind w:left="8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520" w:type="dxa"/>
            <w:vAlign w:val="bottom"/>
            <w:gridSpan w:val="2"/>
          </w:tcPr>
          <w:p>
            <w:pPr>
              <w:jc w:val="right"/>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700" w:type="dxa"/>
            <w:vAlign w:val="bottom"/>
          </w:tcPr>
          <w:p>
            <w:pPr>
              <w:spacing w:after="0"/>
              <w:rPr>
                <w:sz w:val="19"/>
                <w:szCs w:val="19"/>
                <w:color w:val="auto"/>
              </w:rPr>
            </w:pPr>
          </w:p>
        </w:tc>
      </w:tr>
      <w:tr>
        <w:trPr>
          <w:trHeight w:val="284"/>
        </w:trPr>
        <w:tc>
          <w:tcPr>
            <w:tcW w:w="8480" w:type="dxa"/>
            <w:vAlign w:val="bottom"/>
            <w:gridSpan w:val="3"/>
          </w:tcPr>
          <w:p>
            <w:pPr>
              <w:spacing w:after="0"/>
              <w:rPr>
                <w:sz w:val="20"/>
                <w:szCs w:val="20"/>
                <w:color w:val="auto"/>
              </w:rPr>
            </w:pPr>
            <w:r>
              <w:rPr>
                <w:rFonts w:ascii="Arial" w:cs="Arial" w:eastAsia="Arial" w:hAnsi="Arial"/>
                <w:sz w:val="14"/>
                <w:szCs w:val="14"/>
                <w:color w:val="auto"/>
                <w:w w:val="94"/>
              </w:rPr>
              <w:t>Indicate by check mark if Lamar Advertising Company is not required to file reports pursuant to Section 13 or Section 15(d) of the Exchange Act.</w:t>
            </w:r>
          </w:p>
        </w:tc>
        <w:tc>
          <w:tcPr>
            <w:tcW w:w="300" w:type="dxa"/>
            <w:vAlign w:val="bottom"/>
          </w:tcPr>
          <w:p>
            <w:pPr>
              <w:jc w:val="right"/>
              <w:spacing w:after="0"/>
              <w:rPr>
                <w:sz w:val="20"/>
                <w:szCs w:val="20"/>
                <w:color w:val="auto"/>
              </w:rPr>
            </w:pPr>
            <w:r>
              <w:rPr>
                <w:rFonts w:ascii="Arial" w:cs="Arial" w:eastAsia="Arial" w:hAnsi="Arial"/>
                <w:sz w:val="14"/>
                <w:szCs w:val="14"/>
                <w:color w:val="auto"/>
              </w:rPr>
              <w:t>Yes</w:t>
            </w:r>
          </w:p>
        </w:tc>
        <w:tc>
          <w:tcPr>
            <w:tcW w:w="700" w:type="dxa"/>
            <w:vAlign w:val="bottom"/>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84"/>
        </w:trPr>
        <w:tc>
          <w:tcPr>
            <w:tcW w:w="7740" w:type="dxa"/>
            <w:vAlign w:val="bottom"/>
          </w:tcPr>
          <w:p>
            <w:pPr>
              <w:spacing w:after="0" w:line="161" w:lineRule="exact"/>
              <w:rPr>
                <w:sz w:val="20"/>
                <w:szCs w:val="20"/>
                <w:color w:val="auto"/>
              </w:rPr>
            </w:pPr>
            <w:r>
              <w:rPr>
                <w:rFonts w:ascii="Arial" w:cs="Arial" w:eastAsia="Arial" w:hAnsi="Arial"/>
                <w:sz w:val="14"/>
                <w:szCs w:val="14"/>
                <w:color w:val="auto"/>
                <w:w w:val="95"/>
              </w:rPr>
              <w:t xml:space="preserve">Indicate by check mark if Lamar Media Corp. is a well-known seasoned issuer, as defined in Rule 405 of the Securities Act.  Yes </w:t>
            </w:r>
            <w:r>
              <w:rPr>
                <w:rFonts w:ascii="MS PGothic" w:cs="MS PGothic" w:eastAsia="MS PGothic" w:hAnsi="MS PGothic"/>
                <w:sz w:val="14"/>
                <w:szCs w:val="14"/>
                <w:color w:val="auto"/>
                <w:w w:val="95"/>
              </w:rPr>
              <w:t>☐</w:t>
            </w:r>
          </w:p>
        </w:tc>
        <w:tc>
          <w:tcPr>
            <w:tcW w:w="5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4"/>
        </w:trPr>
        <w:tc>
          <w:tcPr>
            <w:tcW w:w="8260" w:type="dxa"/>
            <w:vAlign w:val="bottom"/>
            <w:gridSpan w:val="2"/>
          </w:tcPr>
          <w:p>
            <w:pPr>
              <w:spacing w:after="0"/>
              <w:rPr>
                <w:sz w:val="20"/>
                <w:szCs w:val="20"/>
                <w:color w:val="auto"/>
              </w:rPr>
            </w:pPr>
            <w:r>
              <w:rPr>
                <w:rFonts w:ascii="Arial" w:cs="Arial" w:eastAsia="Arial" w:hAnsi="Arial"/>
                <w:sz w:val="14"/>
                <w:szCs w:val="14"/>
                <w:color w:val="auto"/>
                <w:w w:val="94"/>
              </w:rPr>
              <w:t>Indicate by check mark if Lamar Media Corp. is not required to file reports pursuant to Section 13 or Section 15(d) of the Exchange Act.  Yes</w:t>
            </w:r>
          </w:p>
        </w:tc>
        <w:tc>
          <w:tcPr>
            <w:tcW w:w="22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No</w:t>
            </w:r>
          </w:p>
        </w:tc>
        <w:tc>
          <w:tcPr>
            <w:tcW w:w="70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72" w:lineRule="exact"/>
        <w:rPr>
          <w:sz w:val="24"/>
          <w:szCs w:val="24"/>
          <w:color w:val="auto"/>
        </w:rPr>
      </w:pPr>
    </w:p>
    <w:p>
      <w:pPr>
        <w:ind w:right="160" w:firstLine="342"/>
        <w:spacing w:after="0" w:line="180" w:lineRule="exact"/>
        <w:rPr>
          <w:sz w:val="20"/>
          <w:szCs w:val="20"/>
          <w:color w:val="auto"/>
        </w:rPr>
      </w:pPr>
      <w:r>
        <w:rPr>
          <w:rFonts w:ascii="Arial" w:cs="Arial" w:eastAsia="Arial" w:hAnsi="Arial"/>
          <w:sz w:val="14"/>
          <w:szCs w:val="14"/>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500" w:firstLine="342"/>
        <w:spacing w:after="0" w:line="254" w:lineRule="auto"/>
        <w:rPr>
          <w:sz w:val="20"/>
          <w:szCs w:val="20"/>
          <w:color w:val="auto"/>
        </w:rPr>
      </w:pPr>
      <w:r>
        <w:rPr>
          <w:rFonts w:ascii="Arial" w:cs="Arial" w:eastAsia="Arial" w:hAnsi="Arial"/>
          <w:sz w:val="13"/>
          <w:szCs w:val="13"/>
          <w:color w:val="auto"/>
        </w:rPr>
        <w:t>Indicate by check mark whether each registrant has submitted electronically and posted on its corporate web site, if any, every Interactive Date File required to be submitted and posted pursuant to Rule 405 of Regulation S-T (Section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ind w:right="20" w:firstLine="34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Lamar Advertising Company’s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right="520" w:firstLine="342"/>
        <w:spacing w:after="0" w:line="253" w:lineRule="auto"/>
        <w:rPr>
          <w:sz w:val="20"/>
          <w:szCs w:val="20"/>
          <w:color w:val="auto"/>
        </w:rPr>
      </w:pPr>
      <w:r>
        <w:rPr>
          <w:rFonts w:ascii="Arial" w:cs="Arial" w:eastAsia="Arial" w:hAnsi="Arial"/>
          <w:sz w:val="14"/>
          <w:szCs w:val="14"/>
          <w:color w:val="auto"/>
        </w:rPr>
        <w:t>Indicate by check mark whether Lamar Advertising Company is a large accelerated filer, an accelerated filer, a non-accelerated filer, or a smaller reporting company. See definitions of “accelerated filer”, “large accelerated filer” and “smaller reporting company” in Rule 12b-2 of the Exchange Act.</w:t>
      </w:r>
    </w:p>
    <w:p>
      <w:pPr>
        <w:sectPr>
          <w:pgSz w:w="11900" w:h="16853" w:orient="portrait"/>
          <w:cols w:equalWidth="0" w:num="1">
            <w:col w:w="11420"/>
          </w:cols>
          <w:pgMar w:left="240" w:top="230" w:right="239" w:bottom="0" w:gutter="0" w:footer="0" w:header="0"/>
        </w:sectPr>
      </w:pPr>
    </w:p>
    <w:p>
      <w:pPr>
        <w:spacing w:after="0" w:line="106"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53" w:orient="portrait"/>
          <w:cols w:equalWidth="0" w:num="4">
            <w:col w:w="1300" w:space="300"/>
            <w:col w:w="7040" w:space="720"/>
            <w:col w:w="1200" w:space="720"/>
            <w:col w:w="140"/>
          </w:cols>
          <w:pgMar w:left="240" w:top="230" w:right="239" w:bottom="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53" w:orient="portrait"/>
          <w:cols w:equalWidth="0" w:num="5">
            <w:col w:w="1220" w:space="380"/>
            <w:col w:w="140" w:space="60"/>
            <w:col w:w="6840" w:space="720"/>
            <w:col w:w="1560" w:space="360"/>
            <w:col w:w="140"/>
          </w:cols>
          <w:pgMar w:left="240" w:top="230" w:right="239" w:bottom="0" w:gutter="0" w:footer="0" w:header="0"/>
          <w:type w:val="continuous"/>
        </w:sectPr>
      </w:pPr>
    </w:p>
    <w:p>
      <w:pPr>
        <w:ind w:right="60" w:firstLine="342"/>
        <w:spacing w:after="0" w:line="253" w:lineRule="auto"/>
        <w:rPr>
          <w:sz w:val="20"/>
          <w:szCs w:val="20"/>
          <w:color w:val="auto"/>
        </w:rPr>
      </w:pPr>
      <w:r>
        <w:rPr>
          <w:rFonts w:ascii="Arial" w:cs="Arial" w:eastAsia="Arial" w:hAnsi="Arial"/>
          <w:sz w:val="14"/>
          <w:szCs w:val="14"/>
          <w:color w:val="auto"/>
        </w:rPr>
        <w:t>Indicate by check mark whether Lamar Media Corp. is a large accelerated filer, an accelerated filer, non-accelerated filer, or a smaller reporting company. See definitions of “accelerated filer”, “large accelerated filer” and “smaller reporting company” in Rule 12b-2 of the Exchange Act.</w:t>
      </w:r>
    </w:p>
    <w:p>
      <w:pPr>
        <w:sectPr>
          <w:pgSz w:w="11900" w:h="16853" w:orient="portrait"/>
          <w:cols w:equalWidth="0" w:num="1">
            <w:col w:w="11420"/>
          </w:cols>
          <w:pgMar w:left="240" w:top="230" w:right="239" w:bottom="0" w:gutter="0" w:footer="0" w:header="0"/>
          <w:type w:val="continuous"/>
        </w:sectPr>
      </w:pPr>
    </w:p>
    <w:p>
      <w:pPr>
        <w:spacing w:after="0" w:line="106"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53" w:orient="portrait"/>
          <w:cols w:equalWidth="0" w:num="4">
            <w:col w:w="1300" w:space="300"/>
            <w:col w:w="7040" w:space="720"/>
            <w:col w:w="1200" w:space="720"/>
            <w:col w:w="140"/>
          </w:cols>
          <w:pgMar w:left="240" w:top="230" w:right="239" w:bottom="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ectPr>
          <w:pgSz w:w="11900" w:h="16853" w:orient="portrait"/>
          <w:cols w:equalWidth="0" w:num="5">
            <w:col w:w="1220" w:space="380"/>
            <w:col w:w="140" w:space="60"/>
            <w:col w:w="6840" w:space="720"/>
            <w:col w:w="1560" w:space="360"/>
            <w:col w:w="140"/>
          </w:cols>
          <w:pgMar w:left="240" w:top="230" w:right="239" w:bottom="0" w:gutter="0" w:footer="0" w:header="0"/>
          <w:type w:val="continuous"/>
        </w:sectPr>
      </w:pPr>
    </w:p>
    <w:bookmarkStart w:id="1" w:name="page2"/>
    <w:bookmarkEnd w:id="1"/>
    <w:p>
      <w:pPr>
        <w:ind w:left="360"/>
        <w:spacing w:after="0" w:line="161" w:lineRule="exact"/>
        <w:tabs>
          <w:tab w:leader="none" w:pos="6780" w:val="left"/>
          <w:tab w:leader="none" w:pos="7340" w:val="left"/>
        </w:tabs>
        <w:rPr>
          <w:sz w:val="20"/>
          <w:szCs w:val="20"/>
          <w:color w:val="auto"/>
        </w:rPr>
      </w:pPr>
      <w:r>
        <w:rPr>
          <w:rFonts w:ascii="Arial" w:cs="Arial" w:eastAsia="Arial" w:hAnsi="Arial"/>
          <w:sz w:val="14"/>
          <w:szCs w:val="14"/>
          <w:color w:val="auto"/>
        </w:rPr>
        <w:t>Indicate by check mark if either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0"/>
          <w:szCs w:val="20"/>
          <w:color w:val="auto"/>
        </w:rPr>
      </w:pPr>
    </w:p>
    <w:p>
      <w:pPr>
        <w:ind w:firstLine="342"/>
        <w:spacing w:after="0" w:line="253" w:lineRule="auto"/>
        <w:rPr>
          <w:sz w:val="20"/>
          <w:szCs w:val="20"/>
          <w:color w:val="auto"/>
        </w:rPr>
      </w:pPr>
      <w:r>
        <w:rPr>
          <w:rFonts w:ascii="Arial" w:cs="Arial" w:eastAsia="Arial" w:hAnsi="Arial"/>
          <w:sz w:val="14"/>
          <w:szCs w:val="14"/>
          <w:color w:val="auto"/>
        </w:rPr>
        <w:t>The aggregate market value of the voting stock held by nonaffiliates of Lamar Advertising Company was $4,250,861,661.00 based on $53.00 per share as reported at the close of trading on the NASDAQ Global Select Market on June 30, 2014, the last business day of the registrant’s most recently completed second fiscal quarter.</w:t>
      </w:r>
    </w:p>
    <w:p>
      <w:pPr>
        <w:sectPr>
          <w:pgSz w:w="11900" w:h="16838" w:orient="portrait"/>
          <w:cols w:equalWidth="0" w:num="1">
            <w:col w:w="11420"/>
          </w:cols>
          <w:pgMar w:left="240" w:top="107" w:right="239" w:bottom="1440" w:gutter="0" w:footer="0" w:header="0"/>
        </w:sectPr>
      </w:pPr>
    </w:p>
    <w:p>
      <w:pPr>
        <w:spacing w:after="0" w:line="6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As of June 30, 2014, the aggregate market value of the voting stock held by nonaffiliates of Lamar Media Corp. was $0.</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practicable date.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Class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Lamar Advertising Company Class A common stock, $0.001 par value per share</w:t>
      </w:r>
    </w:p>
    <w:p>
      <w:pPr>
        <w:spacing w:after="0" w:line="223" w:lineRule="auto"/>
        <w:rPr>
          <w:sz w:val="20"/>
          <w:szCs w:val="20"/>
          <w:color w:val="auto"/>
        </w:rPr>
      </w:pPr>
      <w:r>
        <w:rPr>
          <w:rFonts w:ascii="Arial" w:cs="Arial" w:eastAsia="Arial" w:hAnsi="Arial"/>
          <w:sz w:val="14"/>
          <w:szCs w:val="14"/>
          <w:color w:val="auto"/>
        </w:rPr>
        <w:t>Lamar Advertising Company Class B common stock, $0.001 par value per share</w:t>
      </w:r>
    </w:p>
    <w:p>
      <w:pPr>
        <w:spacing w:after="0"/>
        <w:rPr>
          <w:sz w:val="20"/>
          <w:szCs w:val="20"/>
          <w:color w:val="auto"/>
        </w:rPr>
      </w:pPr>
      <w:r>
        <w:rPr>
          <w:rFonts w:ascii="Arial" w:cs="Arial" w:eastAsia="Arial" w:hAnsi="Arial"/>
          <w:sz w:val="14"/>
          <w:szCs w:val="14"/>
          <w:color w:val="auto"/>
        </w:rPr>
        <w:t>Lamar Media Corp. common stock, $0.001 par value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Outstanding at February 1, 2015</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80,933,071 shares</w:t>
      </w:r>
    </w:p>
    <w:p>
      <w:pPr>
        <w:jc w:val="center"/>
        <w:spacing w:after="0" w:line="221" w:lineRule="auto"/>
        <w:rPr>
          <w:sz w:val="20"/>
          <w:szCs w:val="20"/>
          <w:color w:val="auto"/>
        </w:rPr>
      </w:pPr>
      <w:r>
        <w:rPr>
          <w:rFonts w:ascii="Arial" w:cs="Arial" w:eastAsia="Arial" w:hAnsi="Arial"/>
          <w:sz w:val="14"/>
          <w:szCs w:val="14"/>
          <w:color w:val="auto"/>
        </w:rPr>
        <w:t>14,610,365 shares</w:t>
      </w:r>
    </w:p>
    <w:p>
      <w:pPr>
        <w:jc w:val="center"/>
        <w:spacing w:after="0"/>
        <w:rPr>
          <w:sz w:val="20"/>
          <w:szCs w:val="20"/>
          <w:color w:val="auto"/>
        </w:rPr>
      </w:pPr>
      <w:r>
        <w:rPr>
          <w:rFonts w:ascii="Arial" w:cs="Arial" w:eastAsia="Arial" w:hAnsi="Arial"/>
          <w:sz w:val="14"/>
          <w:szCs w:val="14"/>
          <w:color w:val="auto"/>
        </w:rPr>
        <w:t>100 shares</w:t>
      </w:r>
    </w:p>
    <w:p>
      <w:pPr>
        <w:spacing w:after="0" w:line="84" w:lineRule="exact"/>
        <w:rPr>
          <w:sz w:val="20"/>
          <w:szCs w:val="20"/>
          <w:color w:val="auto"/>
        </w:rPr>
      </w:pPr>
    </w:p>
    <w:p>
      <w:pPr>
        <w:sectPr>
          <w:pgSz w:w="11900" w:h="16838" w:orient="portrait"/>
          <w:cols w:equalWidth="0" w:num="2">
            <w:col w:w="8680" w:space="720"/>
            <w:col w:w="2020"/>
          </w:cols>
          <w:pgMar w:left="240" w:top="107" w:right="239" w:bottom="1440" w:gutter="0" w:footer="0" w:header="0"/>
          <w:type w:val="continuous"/>
        </w:sectPr>
      </w:pPr>
    </w:p>
    <w:p>
      <w:pPr>
        <w:jc w:val="center"/>
        <w:ind w:right="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Document</w:t>
            </w:r>
          </w:p>
        </w:tc>
        <w:tc>
          <w:tcPr>
            <w:tcW w:w="88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Parts into Which Incorporated</w:t>
            </w:r>
          </w:p>
        </w:tc>
      </w:tr>
      <w:tr>
        <w:trPr>
          <w:trHeight w:val="169"/>
        </w:trPr>
        <w:tc>
          <w:tcPr>
            <w:tcW w:w="9520" w:type="dxa"/>
            <w:vAlign w:val="bottom"/>
            <w:gridSpan w:val="2"/>
          </w:tcPr>
          <w:p>
            <w:pPr>
              <w:spacing w:after="0"/>
              <w:rPr>
                <w:sz w:val="20"/>
                <w:szCs w:val="20"/>
                <w:color w:val="auto"/>
              </w:rPr>
            </w:pPr>
            <w:r>
              <w:rPr>
                <w:rFonts w:ascii="Arial" w:cs="Arial" w:eastAsia="Arial" w:hAnsi="Arial"/>
                <w:sz w:val="14"/>
                <w:szCs w:val="14"/>
                <w:color w:val="auto"/>
              </w:rPr>
              <w:t>Proxy Statement for the Annual Meeting of Stockholders scheduled to be held on May 28, 2015 (Proxy Statement)</w:t>
            </w:r>
          </w:p>
        </w:tc>
        <w:tc>
          <w:tcPr>
            <w:tcW w:w="1900" w:type="dxa"/>
            <w:vAlign w:val="bottom"/>
          </w:tcPr>
          <w:p>
            <w:pPr>
              <w:jc w:val="center"/>
              <w:spacing w:after="0"/>
              <w:rPr>
                <w:sz w:val="20"/>
                <w:szCs w:val="20"/>
                <w:color w:val="auto"/>
              </w:rPr>
            </w:pPr>
            <w:r>
              <w:rPr>
                <w:rFonts w:ascii="Arial" w:cs="Arial" w:eastAsia="Arial" w:hAnsi="Arial"/>
                <w:sz w:val="14"/>
                <w:szCs w:val="14"/>
                <w:color w:val="auto"/>
              </w:rPr>
              <w:t>Part III</w:t>
            </w:r>
          </w:p>
        </w:tc>
      </w:tr>
    </w:tbl>
    <w:p>
      <w:pPr>
        <w:spacing w:after="0" w:line="52" w:lineRule="exact"/>
        <w:rPr>
          <w:sz w:val="20"/>
          <w:szCs w:val="20"/>
          <w:color w:val="auto"/>
        </w:rPr>
      </w:pPr>
    </w:p>
    <w:p>
      <w:pPr>
        <w:ind w:right="20" w:firstLine="342"/>
        <w:spacing w:after="0"/>
        <w:rPr>
          <w:sz w:val="20"/>
          <w:szCs w:val="20"/>
          <w:color w:val="auto"/>
        </w:rPr>
      </w:pPr>
      <w:r>
        <w:rPr>
          <w:rFonts w:ascii="Arial" w:cs="Arial" w:eastAsia="Arial" w:hAnsi="Arial"/>
          <w:sz w:val="14"/>
          <w:szCs w:val="14"/>
          <w:b w:val="1"/>
          <w:bCs w:val="1"/>
          <w:color w:val="auto"/>
        </w:rPr>
        <w:t>This combined Form 10-K is separately filed by (i) Lamar Advertising Company and (ii) Lamar Media Corp. (which is a wholly owned subsidiary of Lamar Advertising Company). Lamar Media Corp. meets the conditions set forth in general instruction I(1) (a) and (b) of Form 10-K and is, therefore, filing this form with the reduced disclosure format permitted by such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00" w:type="dxa"/>
            <w:vAlign w:val="bottom"/>
            <w:gridSpan w:val="5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40" w:type="dxa"/>
            <w:vAlign w:val="bottom"/>
          </w:tcPr>
          <w:p>
            <w:pPr>
              <w:spacing w:after="0"/>
              <w:rPr>
                <w:sz w:val="17"/>
                <w:szCs w:val="17"/>
                <w:color w:val="auto"/>
              </w:rPr>
            </w:pPr>
          </w:p>
        </w:tc>
      </w:tr>
      <w:tr>
        <w:trPr>
          <w:trHeight w:val="534"/>
        </w:trPr>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60" w:type="dxa"/>
            <w:vAlign w:val="bottom"/>
            <w:gridSpan w:val="16"/>
          </w:tcPr>
          <w:p>
            <w:pPr>
              <w:ind w:left="82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4"/>
                <w:szCs w:val="24"/>
                <w:color w:val="auto"/>
              </w:rPr>
            </w:pPr>
          </w:p>
        </w:tc>
      </w:tr>
      <w:tr>
        <w:trPr>
          <w:trHeight w:val="419"/>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tcPr>
          <w:p>
            <w:pPr>
              <w:jc w:val="cente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080" w:type="dxa"/>
            <w:vAlign w:val="bottom"/>
            <w:gridSpan w:val="9"/>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10000" w:type="dxa"/>
            <w:vAlign w:val="bottom"/>
            <w:gridSpan w:val="51"/>
          </w:tcPr>
          <w:p>
            <w:pPr>
              <w:spacing w:after="0" w:line="196" w:lineRule="exact"/>
              <w:rPr>
                <w:sz w:val="20"/>
                <w:szCs w:val="20"/>
                <w:color w:val="auto"/>
              </w:rPr>
            </w:pPr>
            <w:r>
              <w:rPr>
                <w:rFonts w:ascii="Arial" w:cs="Arial" w:eastAsia="Arial" w:hAnsi="Arial"/>
                <w:sz w:val="18"/>
                <w:szCs w:val="18"/>
                <w:color w:val="auto"/>
              </w:rPr>
              <w:t>Special Note Regarding Forward-Looking Statements</w:t>
            </w:r>
          </w:p>
        </w:tc>
        <w:tc>
          <w:tcPr>
            <w:tcW w:w="1240" w:type="dxa"/>
            <w:vAlign w:val="bottom"/>
          </w:tcPr>
          <w:p>
            <w:pPr>
              <w:spacing w:after="0"/>
              <w:rPr>
                <w:sz w:val="17"/>
                <w:szCs w:val="17"/>
                <w:color w:val="auto"/>
              </w:rPr>
            </w:pPr>
          </w:p>
        </w:tc>
      </w:tr>
      <w:tr>
        <w:trPr>
          <w:trHeight w:val="196"/>
        </w:trPr>
        <w:tc>
          <w:tcPr>
            <w:tcW w:w="8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ITEM 1.</w:t>
            </w:r>
          </w:p>
        </w:tc>
        <w:tc>
          <w:tcPr>
            <w:tcW w:w="3000" w:type="dxa"/>
            <w:vAlign w:val="bottom"/>
            <w:tcBorders>
              <w:top w:val="single" w:sz="8" w:color="auto"/>
            </w:tcBorders>
            <w:gridSpan w:val="3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120" w:type="dxa"/>
            <w:vAlign w:val="bottom"/>
            <w:gridSpan w:val="1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Borders>
              <w:bottom w:val="single" w:sz="8" w:color="0000EE"/>
            </w:tcBorders>
            <w:gridSpan w:val="6"/>
          </w:tcPr>
          <w:p>
            <w:pPr>
              <w:spacing w:after="0" w:line="196" w:lineRule="exact"/>
              <w:rPr>
                <w:rFonts w:ascii="Arial" w:cs="Arial" w:eastAsia="Arial" w:hAnsi="Arial"/>
                <w:sz w:val="18"/>
                <w:szCs w:val="18"/>
                <w:color w:val="0000EE"/>
                <w:w w:val="81"/>
              </w:rPr>
            </w:pPr>
            <w:hyperlink w:anchor="page5">
              <w:r>
                <w:rPr>
                  <w:rFonts w:ascii="Arial" w:cs="Arial" w:eastAsia="Arial" w:hAnsi="Arial"/>
                  <w:sz w:val="18"/>
                  <w:szCs w:val="18"/>
                  <w:color w:val="0000EE"/>
                  <w:w w:val="81"/>
                </w:rPr>
                <w:t>General</w:t>
              </w:r>
            </w:hyperlink>
          </w:p>
        </w:tc>
        <w:tc>
          <w:tcPr>
            <w:tcW w:w="8180" w:type="dxa"/>
            <w:vAlign w:val="bottom"/>
            <w:gridSpan w:val="4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Corporate History</w:t>
              </w:r>
            </w:hyperlink>
          </w:p>
        </w:tc>
        <w:tc>
          <w:tcPr>
            <w:tcW w:w="7440" w:type="dxa"/>
            <w:vAlign w:val="bottom"/>
            <w:gridSpan w:val="3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Operating Strategies</w:t>
              </w:r>
            </w:hyperlink>
          </w:p>
        </w:tc>
        <w:tc>
          <w:tcPr>
            <w:tcW w:w="7260" w:type="dxa"/>
            <w:vAlign w:val="bottom"/>
            <w:gridSpan w:val="2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Capital Allocation Strategy</w:t>
              </w:r>
            </w:hyperlink>
          </w:p>
        </w:tc>
        <w:tc>
          <w:tcPr>
            <w:tcW w:w="6760" w:type="dxa"/>
            <w:vAlign w:val="bottom"/>
            <w:gridSpan w:val="2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4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Company Operations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Competition</w:t>
              </w:r>
            </w:hyperlink>
          </w:p>
        </w:tc>
        <w:tc>
          <w:tcPr>
            <w:tcW w:w="7220" w:type="dxa"/>
            <w:vAlign w:val="bottom"/>
            <w:gridSpan w:val="27"/>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Geographic Diversification</w:t>
              </w:r>
            </w:hyperlink>
          </w:p>
        </w:tc>
        <w:tc>
          <w:tcPr>
            <w:tcW w:w="6780" w:type="dxa"/>
            <w:vAlign w:val="bottom"/>
            <w:gridSpan w:val="2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4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Taxable REIT Subsidiaries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Advertising Tenants</w:t>
              </w:r>
            </w:hyperlink>
          </w:p>
        </w:tc>
        <w:tc>
          <w:tcPr>
            <w:tcW w:w="460" w:type="dxa"/>
            <w:vAlign w:val="bottom"/>
            <w:tcBorders>
              <w:top w:val="single" w:sz="8" w:color="0000EE"/>
            </w:tcBorders>
            <w:gridSpan w:val="6"/>
          </w:tcPr>
          <w:p>
            <w:pPr>
              <w:spacing w:after="0"/>
              <w:rPr>
                <w:sz w:val="17"/>
                <w:szCs w:val="17"/>
                <w:color w:val="auto"/>
              </w:rPr>
            </w:pPr>
          </w:p>
        </w:tc>
        <w:tc>
          <w:tcPr>
            <w:tcW w:w="6820" w:type="dxa"/>
            <w:vAlign w:val="bottom"/>
            <w:gridSpan w:val="2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Regulation</w:t>
              </w:r>
            </w:hyperlink>
          </w:p>
        </w:tc>
        <w:tc>
          <w:tcPr>
            <w:tcW w:w="7960" w:type="dxa"/>
            <w:vAlign w:val="bottom"/>
            <w:gridSpan w:val="40"/>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4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Real Estate Portfolio</w:t>
              </w:r>
            </w:hyperlink>
          </w:p>
        </w:tc>
        <w:tc>
          <w:tcPr>
            <w:tcW w:w="7240" w:type="dxa"/>
            <w:vAlign w:val="bottom"/>
            <w:gridSpan w:val="2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4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Contract Expirations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Employees</w:t>
              </w:r>
            </w:hyperlink>
          </w:p>
        </w:tc>
        <w:tc>
          <w:tcPr>
            <w:tcW w:w="7260" w:type="dxa"/>
            <w:vAlign w:val="bottom"/>
            <w:gridSpan w:val="2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Inflation</w:t>
              </w:r>
            </w:hyperlink>
          </w:p>
        </w:tc>
        <w:tc>
          <w:tcPr>
            <w:tcW w:w="7960" w:type="dxa"/>
            <w:vAlign w:val="bottom"/>
            <w:gridSpan w:val="40"/>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Seasonality</w:t>
              </w:r>
            </w:hyperlink>
          </w:p>
        </w:tc>
        <w:tc>
          <w:tcPr>
            <w:tcW w:w="7860" w:type="dxa"/>
            <w:vAlign w:val="bottom"/>
            <w:gridSpan w:val="3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4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Available Information</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8200" w:type="dxa"/>
            <w:vAlign w:val="bottom"/>
            <w:gridSpan w:val="4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Unresolved Staff Comments</w:t>
              </w:r>
            </w:hyperlink>
          </w:p>
        </w:tc>
        <w:tc>
          <w:tcPr>
            <w:tcW w:w="7060" w:type="dxa"/>
            <w:vAlign w:val="bottom"/>
            <w:gridSpan w:val="2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Properties</w:t>
              </w:r>
            </w:hyperlink>
          </w:p>
        </w:tc>
        <w:tc>
          <w:tcPr>
            <w:tcW w:w="8380" w:type="dxa"/>
            <w:vAlign w:val="bottom"/>
            <w:gridSpan w:val="4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120" w:type="dxa"/>
            <w:vAlign w:val="bottom"/>
            <w:gridSpan w:val="4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0000" w:type="dxa"/>
            <w:vAlign w:val="bottom"/>
            <w:gridSpan w:val="5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2">
              <w:r>
                <w:rPr>
                  <w:rFonts w:ascii="Arial" w:cs="Arial" w:eastAsia="Arial" w:hAnsi="Arial"/>
                  <w:sz w:val="18"/>
                  <w:szCs w:val="18"/>
                  <w:color w:val="0000EE"/>
                </w:rPr>
                <w:t>Mine Safety Disclosures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11"/>
          </w:tcPr>
          <w:p>
            <w:pPr>
              <w:jc w:val="center"/>
              <w:ind w:right="4060"/>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PART II</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4"/>
        </w:trPr>
        <w:tc>
          <w:tcPr>
            <w:tcW w:w="10000" w:type="dxa"/>
            <w:vAlign w:val="bottom"/>
            <w:gridSpan w:val="51"/>
          </w:tcPr>
          <w:p>
            <w:pPr>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0000" w:type="dxa"/>
            <w:vAlign w:val="bottom"/>
            <w:gridSpan w:val="5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6.   </w:t>
            </w:r>
            <w:hyperlink w:anchor="page25">
              <w:r>
                <w:rPr>
                  <w:rFonts w:ascii="Arial" w:cs="Arial" w:eastAsia="Arial" w:hAnsi="Arial"/>
                  <w:sz w:val="18"/>
                  <w:szCs w:val="18"/>
                  <w:color w:val="0000EE"/>
                </w:rPr>
                <w:t>Selected Financial Data</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0000" w:type="dxa"/>
            <w:vAlign w:val="bottom"/>
            <w:gridSpan w:val="5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7.   </w:t>
            </w:r>
            <w:hyperlink w:anchor="page26">
              <w:r>
                <w:rPr>
                  <w:rFonts w:ascii="Arial" w:cs="Arial" w:eastAsia="Arial" w:hAnsi="Arial"/>
                  <w:sz w:val="18"/>
                  <w:szCs w:val="18"/>
                  <w:color w:val="0000EE"/>
                </w:rPr>
                <w:t>Management’s Discussion and Analysis of Financial Condition and Results of Operations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60" w:type="dxa"/>
            <w:vAlign w:val="bottom"/>
            <w:tcBorders>
              <w:top w:val="single" w:sz="8" w:color="0000EE"/>
            </w:tcBorders>
            <w:gridSpan w:val="4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Lamar Advertising Company</w:t>
              </w:r>
            </w:hyperlink>
          </w:p>
        </w:tc>
        <w:tc>
          <w:tcPr>
            <w:tcW w:w="266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Overview</w:t>
              </w:r>
            </w:hyperlink>
          </w:p>
        </w:tc>
        <w:tc>
          <w:tcPr>
            <w:tcW w:w="1040" w:type="dxa"/>
            <w:vAlign w:val="bottom"/>
            <w:tcBorders>
              <w:top w:val="single" w:sz="8" w:color="0000EE"/>
            </w:tcBorders>
            <w:gridSpan w:val="16"/>
          </w:tcPr>
          <w:p>
            <w:pPr>
              <w:spacing w:after="0"/>
              <w:rPr>
                <w:sz w:val="17"/>
                <w:szCs w:val="17"/>
                <w:color w:val="auto"/>
              </w:rPr>
            </w:pPr>
          </w:p>
        </w:tc>
        <w:tc>
          <w:tcPr>
            <w:tcW w:w="6640" w:type="dxa"/>
            <w:vAlign w:val="bottom"/>
            <w:gridSpan w:val="2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Non-GAAP Financial Measures</w:t>
              </w:r>
            </w:hyperlink>
          </w:p>
        </w:tc>
        <w:tc>
          <w:tcPr>
            <w:tcW w:w="6080" w:type="dxa"/>
            <w:vAlign w:val="bottom"/>
            <w:gridSpan w:val="17"/>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40" w:type="dxa"/>
            <w:vAlign w:val="bottom"/>
            <w:tcBorders>
              <w:bottom w:val="single" w:sz="8" w:color="0000EE"/>
            </w:tcBorders>
            <w:gridSpan w:val="40"/>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Results of Operations: Years Ended December 31, 2014 and 2013</w:t>
              </w:r>
            </w:hyperlink>
          </w:p>
        </w:tc>
        <w:tc>
          <w:tcPr>
            <w:tcW w:w="366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40" w:type="dxa"/>
            <w:vAlign w:val="bottom"/>
            <w:tcBorders>
              <w:bottom w:val="single" w:sz="8" w:color="0000EE"/>
            </w:tcBorders>
            <w:gridSpan w:val="40"/>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Results of Operations: Years Ended December 31, 2013 and 2012</w:t>
              </w:r>
            </w:hyperlink>
          </w:p>
        </w:tc>
        <w:tc>
          <w:tcPr>
            <w:tcW w:w="366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Liquidity and Capital Resources</w:t>
              </w:r>
            </w:hyperlink>
          </w:p>
        </w:tc>
        <w:tc>
          <w:tcPr>
            <w:tcW w:w="6060" w:type="dxa"/>
            <w:vAlign w:val="bottom"/>
            <w:gridSpan w:val="1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Critical Accounting Estimates</w:t>
              </w:r>
            </w:hyperlink>
          </w:p>
        </w:tc>
        <w:tc>
          <w:tcPr>
            <w:tcW w:w="6220" w:type="dxa"/>
            <w:vAlign w:val="bottom"/>
            <w:gridSpan w:val="1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4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Accounting Standards Update</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06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4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Lamar Media</w:t>
              </w:r>
            </w:hyperlink>
          </w:p>
        </w:tc>
        <w:tc>
          <w:tcPr>
            <w:tcW w:w="124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40" w:type="dxa"/>
            <w:vAlign w:val="bottom"/>
            <w:tcBorders>
              <w:bottom w:val="single" w:sz="8" w:color="0000EE"/>
            </w:tcBorders>
            <w:gridSpan w:val="40"/>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Results of Operations: Years Ended December 31, 2014 and 2013</w:t>
              </w:r>
            </w:hyperlink>
          </w:p>
        </w:tc>
        <w:tc>
          <w:tcPr>
            <w:tcW w:w="366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40" w:type="dxa"/>
            <w:vAlign w:val="bottom"/>
            <w:tcBorders>
              <w:bottom w:val="single" w:sz="8" w:color="0000EE"/>
            </w:tcBorders>
            <w:gridSpan w:val="40"/>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Results of Operations: Years Ended December 31, 2013 and 2012</w:t>
              </w:r>
            </w:hyperlink>
          </w:p>
        </w:tc>
        <w:tc>
          <w:tcPr>
            <w:tcW w:w="366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120" w:type="dxa"/>
            <w:vAlign w:val="bottom"/>
            <w:gridSpan w:val="4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15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Financial Statements</w:t>
              </w:r>
            </w:hyperlink>
          </w:p>
        </w:tc>
        <w:tc>
          <w:tcPr>
            <w:tcW w:w="2840" w:type="dxa"/>
            <w:vAlign w:val="bottom"/>
            <w:tcBorders>
              <w:top w:val="single" w:sz="8" w:color="0000EE"/>
            </w:tcBorders>
            <w:gridSpan w:val="22"/>
          </w:tcPr>
          <w:p>
            <w:pPr>
              <w:spacing w:after="0"/>
              <w:rPr>
                <w:sz w:val="17"/>
                <w:szCs w:val="17"/>
                <w:color w:val="auto"/>
              </w:rPr>
            </w:pPr>
          </w:p>
        </w:tc>
        <w:tc>
          <w:tcPr>
            <w:tcW w:w="4760" w:type="dxa"/>
            <w:vAlign w:val="bottom"/>
            <w:gridSpan w:val="1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120" w:type="dxa"/>
            <w:vAlign w:val="bottom"/>
            <w:gridSpan w:val="4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Changes in and Disagreements with Accountants on Accounting and Financial Disclosure</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29"/>
          </w:tcPr>
          <w:p>
            <w:pPr>
              <w:spacing w:after="0"/>
              <w:rPr>
                <w:sz w:val="17"/>
                <w:szCs w:val="17"/>
                <w:color w:val="auto"/>
              </w:rPr>
            </w:pPr>
          </w:p>
        </w:tc>
        <w:tc>
          <w:tcPr>
            <w:tcW w:w="264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120" w:type="dxa"/>
            <w:vAlign w:val="bottom"/>
            <w:gridSpan w:val="4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III</w:t>
              </w:r>
            </w:hyperlink>
          </w:p>
        </w:tc>
        <w:tc>
          <w:tcPr>
            <w:tcW w:w="4000" w:type="dxa"/>
            <w:vAlign w:val="bottom"/>
            <w:gridSpan w:val="6"/>
          </w:tcPr>
          <w:p>
            <w:pPr>
              <w:spacing w:after="0"/>
              <w:rPr>
                <w:sz w:val="24"/>
                <w:szCs w:val="24"/>
                <w:color w:val="auto"/>
              </w:rPr>
            </w:pPr>
          </w:p>
        </w:tc>
        <w:tc>
          <w:tcPr>
            <w:tcW w:w="1240" w:type="dxa"/>
            <w:vAlign w:val="bottom"/>
          </w:tcPr>
          <w:p>
            <w:pPr>
              <w:spacing w:after="0"/>
              <w:rPr>
                <w:sz w:val="24"/>
                <w:szCs w:val="24"/>
                <w:color w:val="auto"/>
              </w:rPr>
            </w:pPr>
          </w:p>
        </w:tc>
      </w:tr>
      <w:tr>
        <w:trPr>
          <w:trHeight w:val="304"/>
        </w:trPr>
        <w:tc>
          <w:tcPr>
            <w:tcW w:w="10000" w:type="dxa"/>
            <w:vAlign w:val="bottom"/>
            <w:gridSpan w:val="51"/>
          </w:tcPr>
          <w:p>
            <w:pPr>
              <w:spacing w:after="0"/>
              <w:rPr>
                <w:rFonts w:ascii="Arial" w:cs="Arial" w:eastAsia="Arial" w:hAnsi="Arial"/>
                <w:sz w:val="18"/>
                <w:szCs w:val="18"/>
                <w:color w:val="auto"/>
              </w:rPr>
            </w:pPr>
            <w:r>
              <w:rPr>
                <w:rFonts w:ascii="Arial" w:cs="Arial" w:eastAsia="Arial" w:hAnsi="Arial"/>
                <w:sz w:val="18"/>
                <w:szCs w:val="18"/>
                <w:color w:val="auto"/>
              </w:rPr>
              <w:t xml:space="preserve">ITEM 10.  </w:t>
            </w:r>
            <w:hyperlink w:anchor="page90">
              <w:r>
                <w:rPr>
                  <w:rFonts w:ascii="Arial" w:cs="Arial" w:eastAsia="Arial" w:hAnsi="Arial"/>
                  <w:sz w:val="18"/>
                  <w:szCs w:val="18"/>
                  <w:color w:val="0000EE"/>
                </w:rPr>
                <w:t>Directors, Executive Officers and Corporate Governance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16"/>
          </w:tcPr>
          <w:p>
            <w:pPr>
              <w:spacing w:after="0"/>
              <w:rPr>
                <w:sz w:val="17"/>
                <w:szCs w:val="17"/>
                <w:color w:val="auto"/>
              </w:rPr>
            </w:pPr>
          </w:p>
        </w:tc>
        <w:tc>
          <w:tcPr>
            <w:tcW w:w="5020" w:type="dxa"/>
            <w:vAlign w:val="bottom"/>
            <w:gridSpan w:val="1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120" w:type="dxa"/>
            <w:vAlign w:val="bottom"/>
            <w:gridSpan w:val="49"/>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Security Ownership of Certain Beneficial Owners and Management and Related Stockholder Matters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80" w:type="dxa"/>
            <w:vAlign w:val="bottom"/>
            <w:gridSpan w:val="2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0000" w:type="dxa"/>
            <w:vAlign w:val="bottom"/>
            <w:gridSpan w:val="5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13.  </w:t>
            </w:r>
            <w:hyperlink w:anchor="page90">
              <w:r>
                <w:rPr>
                  <w:rFonts w:ascii="Arial" w:cs="Arial" w:eastAsia="Arial" w:hAnsi="Arial"/>
                  <w:sz w:val="18"/>
                  <w:szCs w:val="18"/>
                  <w:color w:val="0000EE"/>
                </w:rPr>
                <w:t>Certain Relationships and Related Transactions, and Director Independence</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80" w:type="dxa"/>
            <w:vAlign w:val="bottom"/>
            <w:gridSpan w:val="2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0000" w:type="dxa"/>
            <w:vAlign w:val="bottom"/>
            <w:gridSpan w:val="5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14.  </w:t>
            </w:r>
            <w:hyperlink w:anchor="page90">
              <w:r>
                <w:rPr>
                  <w:rFonts w:ascii="Arial" w:cs="Arial" w:eastAsia="Arial" w:hAnsi="Arial"/>
                  <w:sz w:val="18"/>
                  <w:szCs w:val="18"/>
                  <w:color w:val="0000EE"/>
                </w:rPr>
                <w:t>Principal Accounting Fees and Services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90">
              <w:r>
                <w:rPr>
                  <w:rFonts w:ascii="Arial" w:cs="Arial" w:eastAsia="Arial" w:hAnsi="Arial"/>
                  <w:sz w:val="18"/>
                  <w:szCs w:val="18"/>
                  <w:b w:val="1"/>
                  <w:bCs w:val="1"/>
                  <w:color w:val="0000EE"/>
                  <w:w w:val="98"/>
                </w:rPr>
                <w:t>PART IV</w:t>
              </w:r>
            </w:hyperlink>
          </w:p>
        </w:tc>
        <w:tc>
          <w:tcPr>
            <w:tcW w:w="4020" w:type="dxa"/>
            <w:vAlign w:val="bottom"/>
            <w:gridSpan w:val="7"/>
          </w:tcPr>
          <w:p>
            <w:pPr>
              <w:spacing w:after="0"/>
              <w:rPr>
                <w:sz w:val="24"/>
                <w:szCs w:val="24"/>
                <w:color w:val="auto"/>
              </w:rPr>
            </w:pPr>
          </w:p>
        </w:tc>
        <w:tc>
          <w:tcPr>
            <w:tcW w:w="1240" w:type="dxa"/>
            <w:vAlign w:val="bottom"/>
          </w:tcPr>
          <w:p>
            <w:pPr>
              <w:spacing w:after="0"/>
              <w:rPr>
                <w:sz w:val="24"/>
                <w:szCs w:val="24"/>
                <w:color w:val="auto"/>
              </w:rPr>
            </w:pPr>
          </w:p>
        </w:tc>
      </w:tr>
      <w:tr>
        <w:trPr>
          <w:trHeight w:val="304"/>
        </w:trPr>
        <w:tc>
          <w:tcPr>
            <w:tcW w:w="10000" w:type="dxa"/>
            <w:vAlign w:val="bottom"/>
            <w:gridSpan w:val="51"/>
          </w:tcPr>
          <w:p>
            <w:pPr>
              <w:spacing w:after="0"/>
              <w:rPr>
                <w:rFonts w:ascii="Arial" w:cs="Arial" w:eastAsia="Arial" w:hAnsi="Arial"/>
                <w:sz w:val="18"/>
                <w:szCs w:val="18"/>
                <w:color w:val="auto"/>
              </w:rPr>
            </w:pPr>
            <w:r>
              <w:rPr>
                <w:rFonts w:ascii="Arial" w:cs="Arial" w:eastAsia="Arial" w:hAnsi="Arial"/>
                <w:sz w:val="18"/>
                <w:szCs w:val="18"/>
                <w:color w:val="auto"/>
              </w:rPr>
              <w:t xml:space="preserve">ITEM 15.  </w:t>
            </w:r>
            <w:hyperlink w:anchor="page90">
              <w:r>
                <w:rPr>
                  <w:rFonts w:ascii="Arial" w:cs="Arial" w:eastAsia="Arial" w:hAnsi="Arial"/>
                  <w:sz w:val="18"/>
                  <w:szCs w:val="18"/>
                  <w:color w:val="0000EE"/>
                </w:rPr>
                <w:t>Exhibits, Financial Statement Schedules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196"/>
        </w:trPr>
        <w:tc>
          <w:tcPr>
            <w:tcW w:w="880" w:type="dxa"/>
            <w:vAlign w:val="bottom"/>
            <w:gridSpan w:val="2"/>
          </w:tcPr>
          <w:p>
            <w:pPr>
              <w:spacing w:after="0" w:line="196" w:lineRule="exact"/>
              <w:rPr>
                <w:rFonts w:ascii="Arial" w:cs="Arial" w:eastAsia="Arial" w:hAnsi="Arial"/>
                <w:sz w:val="18"/>
                <w:szCs w:val="18"/>
                <w:color w:val="0000EE"/>
                <w:w w:val="99"/>
              </w:rPr>
            </w:pPr>
            <w:hyperlink w:anchor="page91">
              <w:r>
                <w:rPr>
                  <w:rFonts w:ascii="Arial" w:cs="Arial" w:eastAsia="Arial" w:hAnsi="Arial"/>
                  <w:sz w:val="18"/>
                  <w:szCs w:val="18"/>
                  <w:color w:val="0000EE"/>
                  <w:w w:val="99"/>
                </w:rPr>
                <w:t>Signatures</w:t>
              </w:r>
            </w:hyperlink>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720" w:type="dxa"/>
            <w:vAlign w:val="bottom"/>
            <w:gridSpan w:val="4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93">
              <w:r>
                <w:rPr>
                  <w:rFonts w:ascii="Arial" w:cs="Arial" w:eastAsia="Arial" w:hAnsi="Arial"/>
                  <w:sz w:val="18"/>
                  <w:szCs w:val="18"/>
                  <w:color w:val="0000EE"/>
                  <w:w w:val="93"/>
                </w:rPr>
                <w:t>Index to Exhibits</w:t>
              </w:r>
            </w:hyperlink>
          </w:p>
        </w:tc>
        <w:tc>
          <w:tcPr>
            <w:tcW w:w="8720" w:type="dxa"/>
            <w:vAlign w:val="bottom"/>
            <w:gridSpan w:val="4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bl>
    <w:p>
      <w:pPr>
        <w:jc w:val="right"/>
        <w:spacing w:after="0" w:line="196" w:lineRule="exact"/>
        <w:rPr>
          <w:sz w:val="20"/>
          <w:szCs w:val="20"/>
          <w:color w:val="auto"/>
        </w:rPr>
        <w:sectPr>
          <w:pgSz w:w="11900" w:h="16838" w:orient="portrait"/>
          <w:cols w:equalWidth="0" w:num="1">
            <w:col w:w="11240"/>
          </w:cols>
          <w:pgMar w:left="240" w:top="446"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446" w:right="41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21E of the Securities Exchange Act of 1934. This report uses terminology such as “anticipates,” “believes,” “plans,” “expects,” “future,” “intends,”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“will,” “should,” “estimates,” “predicts,” “potential,” “continue” and similar expressions to identify forward-looking statements. Examples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forward-looking statements in this report include statements about: (i) our future financial performance and condition; (ii) our business plans, objectives,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prospects, growth and operating strategies; (iii) our future capital expenditures and level of acquisition activity; (iv) market opportunities and competitive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positions; (v) our future cash flows and expected cash requirements; (vi) expected timing and amount of distributions to our stockholders; (vii) our intention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repurchase shares of our Class A common stock under our stock repurchase program; (viii) estimated risks; (ix) our ability to maintain compliance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applicable covenants and restrictions included in Lamar Media Corp’s (“Lamar Media”) senior credit facility and the indentures relating to its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 (x) stock price; and (xi) our ability to remain qualified as a real estate investment trust (“REIT”).</w:t>
      </w:r>
    </w:p>
    <w:p>
      <w:pPr>
        <w:spacing w:after="0" w:line="21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Forward-looking statements are subject to known and unknown risks, uncertainties and other important factors, including but not limited to the following, any of which may cause our actual results, performance or achievements to differ materially from those expressed or implied by the forward-looking statements: (i) the state of the economy and financial markets generally and their effects on the markets in which we operate and the broader demand for advertising; (ii) the levels of expenditures on advertising in general and outdoor advertising in particular; (iii) risks and uncertainties relating to our significant indebtedness; (iv) the demand for outdoor advertising and its continued popularity as an advertising medium; (v) our need for, and ability to obtain, additional funding for acquisitions, operations and debt refinancing; (vi) increased competition within the outdoor advertising industry; (vii) the regulation of the outdoor advertising industry by federal, state and local governments; (viii) our ability to renew expiring contracts at favorable rates; (ix) the integration of businesses that we acquire and our ability to recognize cost savings and operating efficiencies as a result of these acquisitions; (x) our ability to successfully implement our digital deployment strategy; (xi) the market for our Class A common stock; (xii) changes in accounting principles, policies or guidelines; (xiii) our ability to effectively mitigate the threat of and damages caused by hurricanes and other kinds of severe weather; (xiv) our ability to maintain our status as a REIT; and (xv) changes in tax laws applicable to REITs or in the interpretation of those laws.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The industry and market data presented throughout this report are based on the experience and estimates of our management and the data in reports issued by third-parties, including the Outdoor Advertising Association of America (OAAA). In each case, we believe this industry and market data is reasonable. We have not, however, independently verified the industry and market data derived from third-party sources, and no independent source has verified the industry and market data derived from management’s experience and estimates.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Lamar Advertising Company is one of the largest outdoor advertising companies in the United States based on number of displays and has operated under the Lamar name since 1902. We operate in a single operating and reporting segment, advertising. We lease space for advertising on billboards, buses, shelters, benches and logo plates. We offer our customers a fully integrated service, satisfying all aspects of their billboard display requirements from ad copy production to placement and maintenance.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operate three types of outdoor advertising displays: billboards, logo signs and transit advertising displays.</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i w:val="1"/>
          <w:iCs w:val="1"/>
          <w:color w:val="auto"/>
        </w:rPr>
        <w:t xml:space="preserve">Billboards. </w:t>
      </w:r>
      <w:r>
        <w:rPr>
          <w:rFonts w:ascii="Arial" w:cs="Arial" w:eastAsia="Arial" w:hAnsi="Arial"/>
          <w:sz w:val="18"/>
          <w:szCs w:val="18"/>
          <w:color w:val="auto"/>
        </w:rPr>
        <w:t>As of December 31, 2014, we owned and operated approximately 144,000 billboard advertising displays in 44 states, Canada and Puerto</w:t>
      </w:r>
      <w:r>
        <w:rPr>
          <w:rFonts w:ascii="Arial" w:cs="Arial" w:eastAsia="Arial" w:hAnsi="Arial"/>
          <w:sz w:val="18"/>
          <w:szCs w:val="18"/>
          <w:i w:val="1"/>
          <w:iCs w:val="1"/>
          <w:color w:val="auto"/>
        </w:rPr>
        <w:t xml:space="preserve"> </w:t>
      </w:r>
      <w:r>
        <w:rPr>
          <w:rFonts w:ascii="Arial" w:cs="Arial" w:eastAsia="Arial" w:hAnsi="Arial"/>
          <w:sz w:val="18"/>
          <w:szCs w:val="18"/>
          <w:color w:val="auto"/>
        </w:rPr>
        <w:t>Rico. We lease most of our advertising space on two types of billboards: bulletins and posters.</w:t>
      </w:r>
    </w:p>
    <w:p>
      <w:pPr>
        <w:spacing w:after="0" w:line="7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Bulletins </w:t>
      </w:r>
      <w:r>
        <w:rPr>
          <w:rFonts w:ascii="Arial" w:cs="Arial" w:eastAsia="Arial" w:hAnsi="Arial"/>
          <w:sz w:val="18"/>
          <w:szCs w:val="18"/>
          <w:color w:val="auto"/>
        </w:rPr>
        <w:t>are generally large, illuminated advertising structures that are located on major highways and target vehicular traffic.</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Posters </w:t>
      </w:r>
      <w:r>
        <w:rPr>
          <w:rFonts w:ascii="Arial" w:cs="Arial" w:eastAsia="Arial" w:hAnsi="Arial"/>
          <w:sz w:val="18"/>
          <w:szCs w:val="18"/>
          <w:color w:val="auto"/>
        </w:rPr>
        <w:t>are generally smaller advertising structures that are located on major traffic arteries and city streets and target vehicular and pedestrian</w:t>
      </w:r>
      <w:r>
        <w:rPr>
          <w:rFonts w:ascii="Arial" w:cs="Arial" w:eastAsia="Arial" w:hAnsi="Arial"/>
          <w:sz w:val="18"/>
          <w:szCs w:val="18"/>
          <w:i w:val="1"/>
          <w:iCs w:val="1"/>
          <w:color w:val="auto"/>
        </w:rPr>
        <w:t xml:space="preserve"> </w:t>
      </w:r>
      <w:r>
        <w:rPr>
          <w:rFonts w:ascii="Arial" w:cs="Arial" w:eastAsia="Arial" w:hAnsi="Arial"/>
          <w:sz w:val="18"/>
          <w:szCs w:val="18"/>
          <w:color w:val="auto"/>
        </w:rPr>
        <w:t>traffic.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these traditional billboards, we also lease space on digital billboards, which are generally located on major traffic arteries and city streets.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we owned and operated over 2,100 digital billboard advertising displays in 41 states, Canada and Puerto Rico.</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Logo signs. </w:t>
      </w:r>
      <w:r>
        <w:rPr>
          <w:rFonts w:ascii="Arial" w:cs="Arial" w:eastAsia="Arial" w:hAnsi="Arial"/>
          <w:sz w:val="18"/>
          <w:szCs w:val="18"/>
          <w:color w:val="auto"/>
        </w:rPr>
        <w:t>We lease advertising space on logo signs located near highway exits.</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Logo signs </w:t>
      </w:r>
      <w:r>
        <w:rPr>
          <w:rFonts w:ascii="Arial" w:cs="Arial" w:eastAsia="Arial" w:hAnsi="Arial"/>
          <w:sz w:val="18"/>
          <w:szCs w:val="18"/>
          <w:color w:val="auto"/>
        </w:rPr>
        <w:t>generally advertise nearby gas, food, camping, lodging and other attractions.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are the largest provider of logo signs in the United States, operating 23 of the 26 privatized state logo sign contracts. As of December 31, 2014, we operated approximately 132,000 logo sign advertising displays in 23 states and Canada.</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i w:val="1"/>
          <w:iCs w:val="1"/>
          <w:color w:val="auto"/>
        </w:rPr>
        <w:t xml:space="preserve">Transit advertising displays. </w:t>
      </w:r>
      <w:r>
        <w:rPr>
          <w:rFonts w:ascii="Arial" w:cs="Arial" w:eastAsia="Arial" w:hAnsi="Arial"/>
          <w:sz w:val="17"/>
          <w:szCs w:val="17"/>
          <w:color w:val="auto"/>
        </w:rPr>
        <w:t>We also lease advertising space on the exterior and interior of public transportation vehicles, transit shelters and benches in</w:t>
      </w:r>
      <w:r>
        <w:rPr>
          <w:rFonts w:ascii="Arial" w:cs="Arial" w:eastAsia="Arial" w:hAnsi="Arial"/>
          <w:sz w:val="17"/>
          <w:szCs w:val="17"/>
          <w:i w:val="1"/>
          <w:iCs w:val="1"/>
          <w:color w:val="auto"/>
        </w:rPr>
        <w:t xml:space="preserve"> </w:t>
      </w:r>
      <w:r>
        <w:rPr>
          <w:rFonts w:ascii="Arial" w:cs="Arial" w:eastAsia="Arial" w:hAnsi="Arial"/>
          <w:sz w:val="17"/>
          <w:szCs w:val="17"/>
          <w:color w:val="auto"/>
        </w:rPr>
        <w:t>over 60 markets. As of December 31, 2014, we operated over 41,000 transit advertising displays in 17 states, Canada and Puerto Rico.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have operated under the Lamar name since our founding in 1902 and have been publicly traded on NASDAQ under the symbol “LAMR” since 1996. We completed a reorganization on July 20, 1999 that created a holding company structure. At that time, the operating company (then called Lamar Advertising Company) was renamed Lamar Media Corp., and all of the operating company’s stockholders became stockholders of a new holding company. The new holding company then took the Lamar Advertising Company name, and Lamar Media Corp. became a wholly owned subsidiary of Lamar Advertising Company.</w:t>
      </w:r>
    </w:p>
    <w:p>
      <w:pPr>
        <w:spacing w:after="0" w:line="18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During 2014, we completed a reorganization in order to qualify as a REIT for federal income tax purposes. As part of the plan to reorganize our business operations so that we could elect to qualify as a REIT for the taxable year commencing January 1, 2014, we completed a merger with our predecessor that was approved by our stockholders on November 17, 2014. At the time of the merger each outstanding share of our predecessor’s Class A common stock, Class B common stock and Series AA preferred stock was converted into the right to receive an equal number of shares of Class A common stock, Class B common and Series AA preferred stock of the surviving corporation, respectively. Accordingly, references herein to our Class A common stock, Class B common and Series AA preferred stock refer to our capital stock and the capital stock of our predecessor, as applicable. We hold and operate certain assets through one or more taxable REIT subsidiaries (“TRSs”). The non-REIT qualified businesses that we hold through TRSs include most of our transit and foreign operations.</w:t>
      </w:r>
    </w:p>
    <w:p>
      <w:pPr>
        <w:spacing w:after="0" w:line="192"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may, from time to time, change the election of previously designated TRSs to be treated as qualified REIT subsidiaries or other disregarded entities (“QRSs”), and may reorganize and transfer certain assets or operations from our TRSs to other subsidiaries, including QRSs.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this Annual Report, unless the context otherwise requires, we refer to Lamar Advertising Company and its consolidated subsidiaries (and its predecessor and its consolidated subsidiaries), as applicable, as the “Company”, “Lamar Advertising” or “we”, we refer to Lamar Advertising’s wholly owned subsidiary Lamar Media Corp. as “Lamar Media.”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strive to be a leading provider of outdoor advertising services in each of the markets that we serve, and our operating strategies for achieving that goal include:</w:t>
      </w:r>
    </w:p>
    <w:p>
      <w:pPr>
        <w:spacing w:after="0" w:line="62" w:lineRule="exact"/>
        <w:rPr>
          <w:sz w:val="20"/>
          <w:szCs w:val="20"/>
          <w:color w:val="auto"/>
        </w:rPr>
      </w:pPr>
    </w:p>
    <w:p>
      <w:pPr>
        <w:ind w:left="460" w:right="40" w:firstLine="438"/>
        <w:spacing w:after="0" w:line="291" w:lineRule="auto"/>
        <w:rPr>
          <w:sz w:val="20"/>
          <w:szCs w:val="20"/>
          <w:color w:val="auto"/>
        </w:rPr>
      </w:pPr>
      <w:r>
        <w:rPr>
          <w:rFonts w:ascii="Arial" w:cs="Arial" w:eastAsia="Arial" w:hAnsi="Arial"/>
          <w:sz w:val="16"/>
          <w:szCs w:val="16"/>
          <w:b w:val="1"/>
          <w:bCs w:val="1"/>
          <w:i w:val="1"/>
          <w:iCs w:val="1"/>
          <w:color w:val="auto"/>
        </w:rPr>
        <w:t>Continuing to provide high quality local sales and service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seek to identify and closely monitor the needs of our tenants and to provide them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full complement of high quality advertising services. Local advertising constituted approximately 79% of our net revenues for the year ended December 31, 2014, which management believes is higher than the industry average. We believe that the experience of our regional, territory and local managers has contributed greatly to our success. For example, our regional managers have been with us for an average of 31 years. In an effort to provide high quality sales and service at the local level, we employed approximately 890 local account executives as of December 31, 2014. Local account executives are typically supported by additional local staff and have the ability to draw upon the resources of our central office, as well as our offices in other markets, in the event business opportunities or customers’ needs support such an allocation of resources.</w:t>
      </w:r>
    </w:p>
    <w:p>
      <w:pPr>
        <w:spacing w:after="0" w:line="59" w:lineRule="exact"/>
        <w:rPr>
          <w:sz w:val="20"/>
          <w:szCs w:val="20"/>
          <w:color w:val="auto"/>
        </w:rPr>
      </w:pPr>
    </w:p>
    <w:p>
      <w:pPr>
        <w:ind w:left="460" w:firstLine="438"/>
        <w:spacing w:after="0" w:line="279" w:lineRule="auto"/>
        <w:rPr>
          <w:sz w:val="20"/>
          <w:szCs w:val="20"/>
          <w:color w:val="auto"/>
        </w:rPr>
      </w:pPr>
      <w:r>
        <w:rPr>
          <w:rFonts w:ascii="Arial" w:cs="Arial" w:eastAsia="Arial" w:hAnsi="Arial"/>
          <w:sz w:val="17"/>
          <w:szCs w:val="17"/>
          <w:b w:val="1"/>
          <w:bCs w:val="1"/>
          <w:i w:val="1"/>
          <w:iCs w:val="1"/>
          <w:color w:val="auto"/>
        </w:rPr>
        <w:t xml:space="preserve">Continuing a centralized control and decentralized management structure. </w:t>
      </w:r>
      <w:r>
        <w:rPr>
          <w:rFonts w:ascii="Arial" w:cs="Arial" w:eastAsia="Arial" w:hAnsi="Arial"/>
          <w:sz w:val="17"/>
          <w:szCs w:val="17"/>
          <w:color w:val="auto"/>
        </w:rPr>
        <w:t>Our management believes that, for our particular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centralized control and a decentralized organization provide for greater economies of scale and are more responsive to local market demands. Therefore, we maintain centralized accounting and financial control over our local operations, but our local managers are responsible for the day-to-day operations in each local market and are compensated according to that market’s financial performance.</w:t>
      </w:r>
    </w:p>
    <w:p>
      <w:pPr>
        <w:spacing w:after="0" w:line="63"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b w:val="1"/>
          <w:bCs w:val="1"/>
          <w:i w:val="1"/>
          <w:iCs w:val="1"/>
          <w:color w:val="auto"/>
        </w:rPr>
        <w:t xml:space="preserve">Continuing to focus on internal growth. </w:t>
      </w:r>
      <w:r>
        <w:rPr>
          <w:rFonts w:ascii="Arial" w:cs="Arial" w:eastAsia="Arial" w:hAnsi="Arial"/>
          <w:sz w:val="18"/>
          <w:szCs w:val="18"/>
          <w:color w:val="auto"/>
        </w:rPr>
        <w:t>Within our existing markets, we seek to increase our revenue and improve cash flow by employing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highly-targeted local marketing efforts to improve our display occupancy rates and by increasing advertising rates where and when demand can absorb rate increases. Our local offices spearhead this effort and respond to local customer demands quickly.</w:t>
      </w:r>
    </w:p>
    <w:p>
      <w:pPr>
        <w:spacing w:after="0" w:line="73"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In addition, we routinely invest in upgrading our existing displays and constructing new displays. During the last ten years we invested approximately $1.3 billion in capitalized expenditures, which include improvements to our existing real estate portfolio and the construction of new locations. Our regular improvement and expansion of our advertising display inventory allows us to provide high quality service to our current tenants and to attract new tenants.</w:t>
      </w:r>
    </w:p>
    <w:p>
      <w:pPr>
        <w:spacing w:after="0" w:line="79" w:lineRule="exact"/>
        <w:rPr>
          <w:sz w:val="20"/>
          <w:szCs w:val="20"/>
          <w:color w:val="auto"/>
        </w:rPr>
      </w:pPr>
    </w:p>
    <w:p>
      <w:pPr>
        <w:ind w:left="460" w:right="20" w:firstLine="438"/>
        <w:spacing w:after="0" w:line="297" w:lineRule="auto"/>
        <w:rPr>
          <w:sz w:val="20"/>
          <w:szCs w:val="20"/>
          <w:color w:val="auto"/>
        </w:rPr>
      </w:pPr>
      <w:r>
        <w:rPr>
          <w:rFonts w:ascii="Arial" w:cs="Arial" w:eastAsia="Arial" w:hAnsi="Arial"/>
          <w:sz w:val="16"/>
          <w:szCs w:val="16"/>
          <w:b w:val="1"/>
          <w:bCs w:val="1"/>
          <w:i w:val="1"/>
          <w:iCs w:val="1"/>
          <w:color w:val="auto"/>
        </w:rPr>
        <w:t xml:space="preserve">Continuing to pursue other outdoor advertising opportunities. </w:t>
      </w:r>
      <w:r>
        <w:rPr>
          <w:rFonts w:ascii="Arial" w:cs="Arial" w:eastAsia="Arial" w:hAnsi="Arial"/>
          <w:sz w:val="16"/>
          <w:szCs w:val="16"/>
          <w:color w:val="auto"/>
        </w:rPr>
        <w:t>We plan to renew existing logo sign contracts and pursue additional logo 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contracts. Logo sign opportunities arise periodically, both from states initiating new logo sign programs and states converting from government-owned and operated programs to privately-owned and operated programs. Furthermore, we plan to pursue additional tourist oriented directional sign programs in both the United States and Canada and also other motorist information signing programs as opportunities present themselves. In addition, in an effort to maintain market share, we continue to pursue attractive transit advertising opportunities as they become available.</w:t>
      </w:r>
    </w:p>
    <w:p>
      <w:pPr>
        <w:spacing w:after="0" w:line="50" w:lineRule="exact"/>
        <w:rPr>
          <w:sz w:val="20"/>
          <w:szCs w:val="20"/>
          <w:color w:val="auto"/>
        </w:rPr>
      </w:pPr>
    </w:p>
    <w:p>
      <w:pPr>
        <w:ind w:left="460" w:right="200" w:firstLine="438"/>
        <w:spacing w:after="0" w:line="257" w:lineRule="auto"/>
        <w:rPr>
          <w:sz w:val="20"/>
          <w:szCs w:val="20"/>
          <w:color w:val="auto"/>
        </w:rPr>
      </w:pPr>
      <w:r>
        <w:rPr>
          <w:rFonts w:ascii="Arial" w:cs="Arial" w:eastAsia="Arial" w:hAnsi="Arial"/>
          <w:sz w:val="18"/>
          <w:szCs w:val="18"/>
          <w:b w:val="1"/>
          <w:bCs w:val="1"/>
          <w:i w:val="1"/>
          <w:iCs w:val="1"/>
          <w:color w:val="auto"/>
        </w:rPr>
        <w:t>Reinvesting in capital expenditures including digital technology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historically invested in capital expenditures, however, during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2010, we significantly reduced our capital expenditures to position the Company to manage through the economic recession. As a result of the economic recovery, the Company began to reinvest in capital expenditures beginning in 2011. We spent approximately $107.6 million in total capital expenditures in fiscal 2014, of which $53.5 million was spent on digital technology. We expect our 2015 capitalized expenditures to closely approximate our spending in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STRATEGY</w:t>
      </w:r>
    </w:p>
    <w:p>
      <w:pPr>
        <w:spacing w:after="0" w:line="121"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objective of our capital allocation strategy is to simultaneously increase adjusted funds from operations and our return on invested capital. To maintain our REIT status we are required to distribute to our stockholders annually an amount equal to at least 90% of our REIT taxable income. After complying with our REIT distribution requirements, we plan to continue to allocate our available capital among investment alternatives that meet our return on investment criteria. In addition, we intend to return capital to stockholders through our stock repurchase program. During 2014, we generated $452.5 million of cash from operating activities, which was used to fund $65.0 million of acquisitions and $107.6 million of capital expenditures. In addition, in 2014, we paid regular cash distributions in the aggregate of approximately $238.8 million to our stockholders.</w:t>
      </w:r>
    </w:p>
    <w:p>
      <w:pPr>
        <w:spacing w:after="0" w:line="84" w:lineRule="exact"/>
        <w:rPr>
          <w:sz w:val="20"/>
          <w:szCs w:val="20"/>
          <w:color w:val="auto"/>
        </w:rPr>
      </w:pPr>
    </w:p>
    <w:p>
      <w:pPr>
        <w:ind w:left="900" w:right="160" w:hanging="325"/>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Capital expenditures program</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will continue to reinvest in our existing assets and expand our outdoor advertising display portfolio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construction. This includes maintenance and growth capital expenditures associated with the construction of new billboard displays, the entrance into and renewal of logo sign and transit contracts, and the purchase of real estate and operating equipment.</w:t>
      </w:r>
    </w:p>
    <w:p>
      <w:pPr>
        <w:spacing w:after="0" w:line="70"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seek to pursue strategic acquisitions of outdoor advertising businesses and assets. This includes acquisitions in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in new markets where we can meet our return on investment criteria. When evaluating investments in new markets, our return on investment criteria reflects the additional risks inherent to the particular geographic area.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Billboard Advertising</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lease most of our advertising space on two types of billboard advertising displays: bulletins and posters. As of December 31, 2014, we owned and operated approximately 144,000 billboard advertising displays in 44 states, Canada and Puerto Rico. In 2014, we derived approximately 73% of our billboard advertising net revenues from bulletin rentals and 27% from poster rentals.</w:t>
      </w:r>
    </w:p>
    <w:p>
      <w:pPr>
        <w:spacing w:after="0" w:line="18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i w:val="1"/>
          <w:iCs w:val="1"/>
          <w:color w:val="auto"/>
        </w:rPr>
        <w:t xml:space="preserve">Bulletins </w:t>
      </w:r>
      <w:r>
        <w:rPr>
          <w:rFonts w:ascii="Arial" w:cs="Arial" w:eastAsia="Arial" w:hAnsi="Arial"/>
          <w:sz w:val="16"/>
          <w:szCs w:val="16"/>
          <w:color w:val="auto"/>
        </w:rPr>
        <w:t>are large, advertising structures (the most common size is fourteen feet high by forty-eight feet wide, or 672 square feet) consisting of panels</w:t>
      </w:r>
      <w:r>
        <w:rPr>
          <w:rFonts w:ascii="Arial" w:cs="Arial" w:eastAsia="Arial" w:hAnsi="Arial"/>
          <w:sz w:val="16"/>
          <w:szCs w:val="16"/>
          <w:i w:val="1"/>
          <w:iCs w:val="1"/>
          <w:color w:val="auto"/>
        </w:rPr>
        <w:t xml:space="preserve"> </w:t>
      </w:r>
      <w:r>
        <w:rPr>
          <w:rFonts w:ascii="Arial" w:cs="Arial" w:eastAsia="Arial" w:hAnsi="Arial"/>
          <w:sz w:val="16"/>
          <w:szCs w:val="16"/>
          <w:color w:val="auto"/>
        </w:rPr>
        <w:t>on which advertising copy is displayed. We wrap advertising copy printed with computer-generated graphics on a single sheet of vinyl around the structure. To attract more attention, some of the panels may extend beyond the linear edges of the display face and may include three-dimensional embellishments.</w:t>
      </w:r>
    </w:p>
    <w:p>
      <w:pPr>
        <w:ind w:right="500"/>
        <w:spacing w:after="0" w:line="261" w:lineRule="auto"/>
        <w:rPr>
          <w:sz w:val="20"/>
          <w:szCs w:val="20"/>
          <w:color w:val="auto"/>
        </w:rPr>
      </w:pPr>
      <w:r>
        <w:rPr>
          <w:rFonts w:ascii="Arial" w:cs="Arial" w:eastAsia="Arial" w:hAnsi="Arial"/>
          <w:sz w:val="18"/>
          <w:szCs w:val="18"/>
          <w:color w:val="auto"/>
        </w:rPr>
        <w:t>Because of their greater impact and higher cost, bulletins are usually located on major highways and target vehicular traffic. At December 31, 2014, we operated approximately 67,000 bulletin displays.</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generally lease individually-selected bulletin space to advertisers for the duration of the contract (usually one to twelve months). We also lease bulletins as part of a rotary plan under which we rotate the advertising copy from one bulletin location to another within a particular market at stated intervals (usually every sixty to ninety days) to achieve greater reach within that market.</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 xml:space="preserve">Posters </w:t>
      </w:r>
      <w:r>
        <w:rPr>
          <w:rFonts w:ascii="Arial" w:cs="Arial" w:eastAsia="Arial" w:hAnsi="Arial"/>
          <w:sz w:val="16"/>
          <w:szCs w:val="16"/>
          <w:color w:val="auto"/>
        </w:rPr>
        <w:t>are smaller advertising structures (the most common size is eleven feet high by twenty-three feet wide, or 250 square feet; we also operate</w:t>
      </w:r>
      <w:r>
        <w:rPr>
          <w:rFonts w:ascii="Arial" w:cs="Arial" w:eastAsia="Arial" w:hAnsi="Arial"/>
          <w:sz w:val="16"/>
          <w:szCs w:val="16"/>
          <w:i w:val="1"/>
          <w:iCs w:val="1"/>
          <w:color w:val="auto"/>
        </w:rPr>
        <w:t xml:space="preserve"> </w:t>
      </w:r>
      <w:r>
        <w:rPr>
          <w:rFonts w:ascii="Arial" w:cs="Arial" w:eastAsia="Arial" w:hAnsi="Arial"/>
          <w:sz w:val="16"/>
          <w:szCs w:val="16"/>
          <w:color w:val="auto"/>
        </w:rPr>
        <w:t>junior posters, which are five feet high by eleven feet wide, or 55 square feet). Poster panels utilize a single flexible sheet of polyethylene material that inserts into the face of the panel. Posters are concentrated on major traffic arteries and target vehicular traffic, and junior posters are concentrated on city streets and target hard-to-reach pedestrian traffic and nearby residents. At December 31, 2014, we operated approximately 75,000 poster displays.</w:t>
      </w:r>
    </w:p>
    <w:p>
      <w:pPr>
        <w:spacing w:after="0" w:line="154"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generally lease poster space for thirty- and sixty-day periods in packages called “showings,” which comprise a given number of displays in a specified market area. We place and spread out the displays making up a showing in well-traveled areas to reach a wide audience in the particular market.</w:t>
      </w:r>
    </w:p>
    <w:p>
      <w:pPr>
        <w:spacing w:after="0" w:line="12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the traditional displays described above, we also rent digital billboards. Digital billboards are large electronic light emitting diode (“LED”) displays (the most common sizes are fourteen feet high by forty feet wide, or 560 square feet; ten and a half feet high by thirty six feet wide, or 378 square feet; and ten feet high by twenty-one feet wide, or 210 square feet) that are generally located on major traffic arteries and city streets. Digital billboards are capable of generating over one billion colors and vary in brightness based on ambient conditions. They display completely digital advertising copy from various advertisers in a slide show fashion, rotating each advertisement approximately every 6 to 8 seconds. At December 31, 2014, we operated over 2,100 digital billboards in various markets, which represents approximately 18% of billboard advertising net revenue.</w:t>
      </w:r>
    </w:p>
    <w:p>
      <w:pPr>
        <w:spacing w:after="0" w:line="178"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We own the physical structures on which the advertising copy is displayed. We build the structures on locations we either own or lease. In each local office, one employee typically performs site leasing activities for the markets served by that office. See Item 2. — “Properties.”</w:t>
      </w:r>
    </w:p>
    <w:p>
      <w:pPr>
        <w:spacing w:after="0" w:line="14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the majority of our markets, our local production staffs perform the full range of activities required to create and install billboard advertising displays. Production work includes creating the advertising copy design and layout, coordinating its printing and installing the designs on the displays. Our talented design staff uses state-of-the-art technology to prepare creative, eye-catching displays for our tenants. We can also help with the strategic placement of advertisements throughout an advertiser’s market by using software that allows us to analyze the target audience and its demographics. Our artists also assist in developing marketing presentations, demonstrations and strategies to attract new tenant advertisers.</w:t>
      </w:r>
    </w:p>
    <w:p>
      <w:pPr>
        <w:spacing w:after="0" w:line="1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marketing billboard displays to advertisers, we compete with other forms of out-of-home advertising and other media. When selecting the media and provider through which to advertise, advertisers consider a number of factors and advertising providers, which are described in the section entitled — “Competition”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Logo Sign Advertising</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entered the logo sign advertising business in 1988 and have become the largest provider of logo sign services in the United States, operating 23 of the 26 privatized state logo contracts. We erect logo signs, which generally advertise nearby gas, food, camping, lodging and other attractions, and directional signs, which direct vehicle traffic to nearby services and tourist attractions, near highway exits. As of December 31, 2014, we operated over 42,500 logo sign structures containing approximately 132,000 logo advertising displays in the United States and Canada.</w:t>
      </w:r>
    </w:p>
    <w:p>
      <w:pPr>
        <w:sectPr>
          <w:pgSz w:w="11900" w:h="16838" w:orient="portrait"/>
          <w:cols w:equalWidth="0" w:num="1">
            <w:col w:w="11420"/>
          </w:cols>
          <w:pgMar w:left="240" w:top="459"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color w:val="auto"/>
        </w:rPr>
        <w:t>We operate the logo sign contracts in the province of Ontario, Canada and in the following states: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Colorado</w:t>
            </w:r>
          </w:p>
        </w:tc>
        <w:tc>
          <w:tcPr>
            <w:tcW w:w="1880" w:type="dxa"/>
            <w:vAlign w:val="bottom"/>
          </w:tcPr>
          <w:p>
            <w:pPr>
              <w:ind w:left="700"/>
              <w:spacing w:after="0"/>
              <w:rPr>
                <w:sz w:val="20"/>
                <w:szCs w:val="20"/>
                <w:color w:val="auto"/>
              </w:rPr>
            </w:pPr>
            <w:r>
              <w:rPr>
                <w:rFonts w:ascii="Arial" w:cs="Arial" w:eastAsia="Arial" w:hAnsi="Arial"/>
                <w:sz w:val="18"/>
                <w:szCs w:val="18"/>
                <w:color w:val="auto"/>
              </w:rPr>
              <w:t>Georgia</w:t>
            </w:r>
          </w:p>
        </w:tc>
        <w:tc>
          <w:tcPr>
            <w:tcW w:w="1580" w:type="dxa"/>
            <w:vAlign w:val="bottom"/>
          </w:tcPr>
          <w:p>
            <w:pPr>
              <w:ind w:left="420"/>
              <w:spacing w:after="0"/>
              <w:rPr>
                <w:sz w:val="20"/>
                <w:szCs w:val="20"/>
                <w:color w:val="auto"/>
              </w:rPr>
            </w:pPr>
            <w:r>
              <w:rPr>
                <w:rFonts w:ascii="Arial" w:cs="Arial" w:eastAsia="Arial" w:hAnsi="Arial"/>
                <w:sz w:val="18"/>
                <w:szCs w:val="18"/>
                <w:color w:val="auto"/>
              </w:rPr>
              <w:t>Louisiana</w:t>
            </w:r>
          </w:p>
        </w:tc>
        <w:tc>
          <w:tcPr>
            <w:tcW w:w="1660" w:type="dxa"/>
            <w:vAlign w:val="bottom"/>
          </w:tcPr>
          <w:p>
            <w:pPr>
              <w:ind w:left="440"/>
              <w:spacing w:after="0"/>
              <w:rPr>
                <w:sz w:val="20"/>
                <w:szCs w:val="20"/>
                <w:color w:val="auto"/>
              </w:rPr>
            </w:pPr>
            <w:r>
              <w:rPr>
                <w:rFonts w:ascii="Arial" w:cs="Arial" w:eastAsia="Arial" w:hAnsi="Arial"/>
                <w:sz w:val="18"/>
                <w:szCs w:val="18"/>
                <w:color w:val="auto"/>
              </w:rPr>
              <w:t>Minnesota</w:t>
            </w:r>
          </w:p>
        </w:tc>
        <w:tc>
          <w:tcPr>
            <w:tcW w:w="1520" w:type="dxa"/>
            <w:vAlign w:val="bottom"/>
          </w:tcPr>
          <w:p>
            <w:pPr>
              <w:ind w:left="400"/>
              <w:spacing w:after="0"/>
              <w:rPr>
                <w:sz w:val="20"/>
                <w:szCs w:val="20"/>
                <w:color w:val="auto"/>
              </w:rPr>
            </w:pPr>
            <w:r>
              <w:rPr>
                <w:rFonts w:ascii="Arial" w:cs="Arial" w:eastAsia="Arial" w:hAnsi="Arial"/>
                <w:sz w:val="18"/>
                <w:szCs w:val="18"/>
                <w:color w:val="auto"/>
              </w:rPr>
              <w:t>Montana</w:t>
            </w:r>
          </w:p>
        </w:tc>
        <w:tc>
          <w:tcPr>
            <w:tcW w:w="1720" w:type="dxa"/>
            <w:vAlign w:val="bottom"/>
          </w:tcPr>
          <w:p>
            <w:pPr>
              <w:ind w:left="460"/>
              <w:spacing w:after="0"/>
              <w:rPr>
                <w:sz w:val="20"/>
                <w:szCs w:val="20"/>
                <w:color w:val="auto"/>
              </w:rPr>
            </w:pPr>
            <w:r>
              <w:rPr>
                <w:rFonts w:ascii="Arial" w:cs="Arial" w:eastAsia="Arial" w:hAnsi="Arial"/>
                <w:sz w:val="18"/>
                <w:szCs w:val="18"/>
                <w:color w:val="auto"/>
              </w:rPr>
              <w:t>New Jersey</w:t>
            </w:r>
          </w:p>
        </w:tc>
        <w:tc>
          <w:tcPr>
            <w:tcW w:w="1400" w:type="dxa"/>
            <w:vAlign w:val="bottom"/>
          </w:tcPr>
          <w:p>
            <w:pPr>
              <w:ind w:left="320"/>
              <w:spacing w:after="0"/>
              <w:rPr>
                <w:sz w:val="20"/>
                <w:szCs w:val="20"/>
                <w:color w:val="auto"/>
              </w:rPr>
            </w:pPr>
            <w:r>
              <w:rPr>
                <w:rFonts w:ascii="Arial" w:cs="Arial" w:eastAsia="Arial" w:hAnsi="Arial"/>
                <w:sz w:val="18"/>
                <w:szCs w:val="18"/>
                <w:color w:val="auto"/>
              </w:rPr>
              <w:t>Oklahoma</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Delaware</w:t>
            </w:r>
          </w:p>
        </w:tc>
        <w:tc>
          <w:tcPr>
            <w:tcW w:w="1880" w:type="dxa"/>
            <w:vAlign w:val="bottom"/>
          </w:tcPr>
          <w:p>
            <w:pPr>
              <w:ind w:left="700"/>
              <w:spacing w:after="0"/>
              <w:rPr>
                <w:sz w:val="20"/>
                <w:szCs w:val="20"/>
                <w:color w:val="auto"/>
              </w:rPr>
            </w:pPr>
            <w:r>
              <w:rPr>
                <w:rFonts w:ascii="Arial" w:cs="Arial" w:eastAsia="Arial" w:hAnsi="Arial"/>
                <w:sz w:val="18"/>
                <w:szCs w:val="18"/>
                <w:color w:val="auto"/>
              </w:rPr>
              <w:t>Kansas</w:t>
            </w:r>
          </w:p>
        </w:tc>
        <w:tc>
          <w:tcPr>
            <w:tcW w:w="1580" w:type="dxa"/>
            <w:vAlign w:val="bottom"/>
          </w:tcPr>
          <w:p>
            <w:pPr>
              <w:ind w:left="420"/>
              <w:spacing w:after="0"/>
              <w:rPr>
                <w:sz w:val="20"/>
                <w:szCs w:val="20"/>
                <w:color w:val="auto"/>
              </w:rPr>
            </w:pPr>
            <w:r>
              <w:rPr>
                <w:rFonts w:ascii="Arial" w:cs="Arial" w:eastAsia="Arial" w:hAnsi="Arial"/>
                <w:sz w:val="18"/>
                <w:szCs w:val="18"/>
                <w:color w:val="auto"/>
              </w:rPr>
              <w:t>Maine</w:t>
            </w:r>
          </w:p>
        </w:tc>
        <w:tc>
          <w:tcPr>
            <w:tcW w:w="1660" w:type="dxa"/>
            <w:vAlign w:val="bottom"/>
          </w:tcPr>
          <w:p>
            <w:pPr>
              <w:ind w:left="440"/>
              <w:spacing w:after="0"/>
              <w:rPr>
                <w:sz w:val="20"/>
                <w:szCs w:val="20"/>
                <w:color w:val="auto"/>
              </w:rPr>
            </w:pPr>
            <w:r>
              <w:rPr>
                <w:rFonts w:ascii="Arial" w:cs="Arial" w:eastAsia="Arial" w:hAnsi="Arial"/>
                <w:sz w:val="18"/>
                <w:szCs w:val="18"/>
                <w:color w:val="auto"/>
              </w:rPr>
              <w:t>Mississippi</w:t>
            </w:r>
          </w:p>
        </w:tc>
        <w:tc>
          <w:tcPr>
            <w:tcW w:w="1520" w:type="dxa"/>
            <w:vAlign w:val="bottom"/>
          </w:tcPr>
          <w:p>
            <w:pPr>
              <w:ind w:left="400"/>
              <w:spacing w:after="0"/>
              <w:rPr>
                <w:sz w:val="20"/>
                <w:szCs w:val="20"/>
                <w:color w:val="auto"/>
              </w:rPr>
            </w:pPr>
            <w:r>
              <w:rPr>
                <w:rFonts w:ascii="Arial" w:cs="Arial" w:eastAsia="Arial" w:hAnsi="Arial"/>
                <w:sz w:val="18"/>
                <w:szCs w:val="18"/>
                <w:color w:val="auto"/>
              </w:rPr>
              <w:t>Nebraska</w:t>
            </w:r>
          </w:p>
        </w:tc>
        <w:tc>
          <w:tcPr>
            <w:tcW w:w="1720" w:type="dxa"/>
            <w:vAlign w:val="bottom"/>
          </w:tcPr>
          <w:p>
            <w:pPr>
              <w:ind w:left="460"/>
              <w:spacing w:after="0"/>
              <w:rPr>
                <w:sz w:val="20"/>
                <w:szCs w:val="20"/>
                <w:color w:val="auto"/>
              </w:rPr>
            </w:pPr>
            <w:r>
              <w:rPr>
                <w:rFonts w:ascii="Arial" w:cs="Arial" w:eastAsia="Arial" w:hAnsi="Arial"/>
                <w:sz w:val="18"/>
                <w:szCs w:val="18"/>
                <w:color w:val="auto"/>
              </w:rPr>
              <w:t>New Mexico</w:t>
            </w:r>
          </w:p>
        </w:tc>
        <w:tc>
          <w:tcPr>
            <w:tcW w:w="1400" w:type="dxa"/>
            <w:vAlign w:val="bottom"/>
          </w:tcPr>
          <w:p>
            <w:pPr>
              <w:ind w:left="320"/>
              <w:spacing w:after="0"/>
              <w:rPr>
                <w:sz w:val="20"/>
                <w:szCs w:val="20"/>
                <w:color w:val="auto"/>
              </w:rPr>
            </w:pPr>
            <w:r>
              <w:rPr>
                <w:rFonts w:ascii="Arial" w:cs="Arial" w:eastAsia="Arial" w:hAnsi="Arial"/>
                <w:sz w:val="18"/>
                <w:szCs w:val="18"/>
                <w:color w:val="auto"/>
                <w:w w:val="88"/>
              </w:rPr>
              <w:t>South Carolina</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Florida</w:t>
            </w:r>
          </w:p>
        </w:tc>
        <w:tc>
          <w:tcPr>
            <w:tcW w:w="1880" w:type="dxa"/>
            <w:vAlign w:val="bottom"/>
          </w:tcPr>
          <w:p>
            <w:pPr>
              <w:ind w:left="700"/>
              <w:spacing w:after="0"/>
              <w:rPr>
                <w:sz w:val="20"/>
                <w:szCs w:val="20"/>
                <w:color w:val="auto"/>
              </w:rPr>
            </w:pPr>
            <w:r>
              <w:rPr>
                <w:rFonts w:ascii="Arial" w:cs="Arial" w:eastAsia="Arial" w:hAnsi="Arial"/>
                <w:sz w:val="18"/>
                <w:szCs w:val="18"/>
                <w:color w:val="auto"/>
              </w:rPr>
              <w:t>Kentucky</w:t>
            </w:r>
          </w:p>
        </w:tc>
        <w:tc>
          <w:tcPr>
            <w:tcW w:w="1580" w:type="dxa"/>
            <w:vAlign w:val="bottom"/>
          </w:tcPr>
          <w:p>
            <w:pPr>
              <w:ind w:left="420"/>
              <w:spacing w:after="0"/>
              <w:rPr>
                <w:sz w:val="20"/>
                <w:szCs w:val="20"/>
                <w:color w:val="auto"/>
              </w:rPr>
            </w:pPr>
            <w:r>
              <w:rPr>
                <w:rFonts w:ascii="Arial" w:cs="Arial" w:eastAsia="Arial" w:hAnsi="Arial"/>
                <w:sz w:val="18"/>
                <w:szCs w:val="18"/>
                <w:color w:val="auto"/>
              </w:rPr>
              <w:t>Michigan</w:t>
            </w:r>
          </w:p>
        </w:tc>
        <w:tc>
          <w:tcPr>
            <w:tcW w:w="1660" w:type="dxa"/>
            <w:vAlign w:val="bottom"/>
          </w:tcPr>
          <w:p>
            <w:pPr>
              <w:ind w:left="440"/>
              <w:spacing w:after="0"/>
              <w:rPr>
                <w:sz w:val="20"/>
                <w:szCs w:val="20"/>
                <w:color w:val="auto"/>
              </w:rPr>
            </w:pPr>
            <w:r>
              <w:rPr>
                <w:rFonts w:ascii="Arial" w:cs="Arial" w:eastAsia="Arial" w:hAnsi="Arial"/>
                <w:sz w:val="18"/>
                <w:szCs w:val="18"/>
                <w:color w:val="auto"/>
              </w:rPr>
              <w:t>Missouri</w:t>
            </w:r>
            <w:r>
              <w:rPr>
                <w:rFonts w:ascii="Arial" w:cs="Arial" w:eastAsia="Arial" w:hAnsi="Arial"/>
                <w:sz w:val="15"/>
                <w:szCs w:val="15"/>
                <w:color w:val="auto"/>
              </w:rPr>
              <w:t>(1)</w:t>
            </w:r>
          </w:p>
        </w:tc>
        <w:tc>
          <w:tcPr>
            <w:tcW w:w="1520" w:type="dxa"/>
            <w:vAlign w:val="bottom"/>
          </w:tcPr>
          <w:p>
            <w:pPr>
              <w:ind w:left="400"/>
              <w:spacing w:after="0"/>
              <w:rPr>
                <w:sz w:val="20"/>
                <w:szCs w:val="20"/>
                <w:color w:val="auto"/>
              </w:rPr>
            </w:pPr>
            <w:r>
              <w:rPr>
                <w:rFonts w:ascii="Arial" w:cs="Arial" w:eastAsia="Arial" w:hAnsi="Arial"/>
                <w:sz w:val="18"/>
                <w:szCs w:val="18"/>
                <w:color w:val="auto"/>
              </w:rPr>
              <w:t>Nevada</w:t>
            </w:r>
          </w:p>
        </w:tc>
        <w:tc>
          <w:tcPr>
            <w:tcW w:w="1720" w:type="dxa"/>
            <w:vAlign w:val="bottom"/>
          </w:tcPr>
          <w:p>
            <w:pPr>
              <w:ind w:left="460"/>
              <w:spacing w:after="0"/>
              <w:rPr>
                <w:sz w:val="20"/>
                <w:szCs w:val="20"/>
                <w:color w:val="auto"/>
              </w:rPr>
            </w:pPr>
            <w:r>
              <w:rPr>
                <w:rFonts w:ascii="Arial" w:cs="Arial" w:eastAsia="Arial" w:hAnsi="Arial"/>
                <w:sz w:val="18"/>
                <w:szCs w:val="18"/>
                <w:color w:val="auto"/>
              </w:rPr>
              <w:t>Ohio</w:t>
            </w:r>
          </w:p>
        </w:tc>
        <w:tc>
          <w:tcPr>
            <w:tcW w:w="1400" w:type="dxa"/>
            <w:vAlign w:val="bottom"/>
          </w:tcPr>
          <w:p>
            <w:pPr>
              <w:ind w:left="320"/>
              <w:spacing w:after="0"/>
              <w:rPr>
                <w:sz w:val="20"/>
                <w:szCs w:val="20"/>
                <w:color w:val="auto"/>
              </w:rPr>
            </w:pPr>
            <w:r>
              <w:rPr>
                <w:rFonts w:ascii="Arial" w:cs="Arial" w:eastAsia="Arial" w:hAnsi="Arial"/>
                <w:sz w:val="18"/>
                <w:szCs w:val="18"/>
                <w:color w:val="auto"/>
              </w:rPr>
              <w:t>Utah</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Virginia</w:t>
            </w:r>
          </w:p>
        </w:tc>
        <w:tc>
          <w:tcPr>
            <w:tcW w:w="1880" w:type="dxa"/>
            <w:vAlign w:val="bottom"/>
          </w:tcPr>
          <w:p>
            <w:pPr>
              <w:ind w:left="700"/>
              <w:spacing w:after="0"/>
              <w:rPr>
                <w:sz w:val="20"/>
                <w:szCs w:val="20"/>
                <w:color w:val="auto"/>
              </w:rPr>
            </w:pPr>
            <w:r>
              <w:rPr>
                <w:rFonts w:ascii="Arial" w:cs="Arial" w:eastAsia="Arial" w:hAnsi="Arial"/>
                <w:sz w:val="18"/>
                <w:szCs w:val="18"/>
                <w:color w:val="auto"/>
              </w:rPr>
              <w:t>Wisconsin</w:t>
            </w: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60" w:right="4940" w:hanging="5652"/>
        <w:spacing w:after="0" w:line="388" w:lineRule="auto"/>
        <w:tabs>
          <w:tab w:leader="none" w:pos="445" w:val="left"/>
        </w:tabs>
        <w:numPr>
          <w:ilvl w:val="0"/>
          <w:numId w:val="6"/>
        </w:numPr>
        <w:rPr>
          <w:rFonts w:ascii="Arial" w:cs="Arial" w:eastAsia="Arial" w:hAnsi="Arial"/>
          <w:sz w:val="14"/>
          <w:szCs w:val="14"/>
          <w:color w:val="auto"/>
        </w:rPr>
      </w:pPr>
      <w:r>
        <w:rPr>
          <w:rFonts w:ascii="Arial" w:cs="Arial" w:eastAsia="Arial" w:hAnsi="Arial"/>
          <w:sz w:val="16"/>
          <w:szCs w:val="16"/>
          <w:color w:val="auto"/>
        </w:rPr>
        <w:t>The logo sign contract in Missouri is operated by a 66 2/3% owned partnership. 6</w:t>
      </w:r>
    </w:p>
    <w:p>
      <w:pPr>
        <w:sectPr>
          <w:pgSz w:w="11900" w:h="16838" w:orient="portrait"/>
          <w:cols w:equalWidth="0" w:num="1">
            <w:col w:w="11140"/>
          </w:cols>
          <w:pgMar w:left="240" w:top="125"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We also operate the tourist oriented directional signing (“TODS”) programs for the states of Colorado, Kansas, Kentucky, Louisiana, Michigan, Missouri, Montana, Nebraska, Nevada, New Jersey, Ohio, South Carolina, Virginia and the province of Ontario, Canada.</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logo and TODS operations are decentralized. Generally, each office is staffed with an experienced local general manager, local sales and office staff and a local signing sub-contractor. This decentralization allows the management staff of Interstate Logos, L.L.C. (the subsidiary that operates all of the logo and directional sign-related businesses) to travel extensively to the various operations and serve in a technical and management advisory capacity and monitor regulatory and contract compliance. We also run a silk screening operation in Baton Rouge, Louisiana and a display construction company in Atlanta, Georgia.</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State logo sign contracts represent the exclusive right to erect and operate logo signs within a state for a period of time. The terms of the contracts vary, but generally range from five to ten years, with additional renewal terms. Each logo sign contract generally allows the state to terminate the contract prior to its expiration and, in most cases, with compensation for the termination to be paid to the Company. When a logo sign contract expires, we transfer ownership of the advertising structures to the state. Depending on the contract, we may or may not be entitled to compensation at that time. Of our 24 logo sign contracts in place, in the United States and Canada, at December 31, 2014, five are subject to renewal in 2015</w:t>
      </w:r>
      <w:r>
        <w:rPr>
          <w:rFonts w:ascii="Arial" w:cs="Arial" w:eastAsia="Arial" w:hAnsi="Arial"/>
          <w:sz w:val="17"/>
          <w:szCs w:val="17"/>
          <w:i w:val="1"/>
          <w:iCs w:val="1"/>
          <w:color w:val="auto"/>
        </w:rPr>
        <w:t>.</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States usually award new logo sign contracts and renew expiring logo sign contracts through an open proposal process. In bidding for new and renewal contracts, we compete against other logo sign providers, as well as local companies based in the state soliciting proposals.</w:t>
      </w:r>
    </w:p>
    <w:p>
      <w:pPr>
        <w:spacing w:after="0" w:line="170" w:lineRule="exact"/>
        <w:rPr>
          <w:sz w:val="20"/>
          <w:szCs w:val="20"/>
          <w:color w:val="auto"/>
        </w:rPr>
      </w:pPr>
    </w:p>
    <w:p>
      <w:pPr>
        <w:jc w:val="both"/>
        <w:ind w:right="600" w:firstLine="456"/>
        <w:spacing w:after="0" w:line="264" w:lineRule="auto"/>
        <w:rPr>
          <w:sz w:val="20"/>
          <w:szCs w:val="20"/>
          <w:color w:val="auto"/>
        </w:rPr>
      </w:pPr>
      <w:r>
        <w:rPr>
          <w:rFonts w:ascii="Arial" w:cs="Arial" w:eastAsia="Arial" w:hAnsi="Arial"/>
          <w:sz w:val="18"/>
          <w:szCs w:val="18"/>
          <w:color w:val="auto"/>
        </w:rPr>
        <w:t>In marketing logo signs to advertisers, we compete with other forms of out-of-home advertising and other media. When selecting the media and provider through which to advertise, advertisers consider a number of factors and advertising providers which are described in the section entitled — “Competition”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 Advertising</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entered into the transit advertising business in 1993 as a way to complement our existing business and maintain market share in certain markets. Transit contracts are generally with the local municipalities and allow us the exclusive right to rent advertising space to customers on buses, benches or shelters. The terms of the contracts vary but generally range between 3-15 years, many with renewable options for contract extension. We rent transit advertising displays on bus shelters, benches and buses in over 60 transit markets, and our production staff provides a full range of creative and installation services to our transit advertising tenants. As of December 31, 2014, we operated over 41,000 transit advertising displays in 16 states, Canada and Puerto Rico.</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Municipalities usually award new transit advertising contracts and renew expiring transit advertising contracts through an open bidding process. In bidding for new and renewal contracts, we compete against national outdoor advertising providers and local, on-premise sign providers and sign construction companies. Transit advertising operators incur significant start-up costs to build and install the advertising structures (such as transit shelters) upon being awarded contracts.</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marketing transit advertising displays to advertisers, we compete with other forms of out-of-home advertising and other media. When selecting the media and provider through which to advertise, advertisers consider a number of factors and advertising providers which are described in the section entitled — “Competition”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Although the outdoor advertising industry has encountered a wave of consolidation, the industry remains fragmented. The industry is comprised of several large outdoor advertising and media companies with operations in multiple markets, as well as smaller, local companies operating a limited number of structures in one or a few local markets.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Although we primarily focus on small to mid-size markets where we can attain a strong market share, in each of our markets, we compete against other providers of outdoor advertising and other types of media, including:</w:t>
      </w:r>
    </w:p>
    <w:p>
      <w:pPr>
        <w:spacing w:after="0" w:line="76" w:lineRule="exact"/>
        <w:rPr>
          <w:sz w:val="20"/>
          <w:szCs w:val="20"/>
          <w:color w:val="auto"/>
        </w:rPr>
      </w:pPr>
    </w:p>
    <w:p>
      <w:pPr>
        <w:ind w:left="900" w:right="180" w:hanging="325"/>
        <w:spacing w:after="0" w:line="25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Larger outdoor advertising providers, such as (i) Clear Channel Outdoor Holdings, Inc., which operates billboards, street furniture displays, transit displays and other out-of-home advertising displays in North America and worldwide and (ii) Outfront Media, Inc. (formerly CBS Outdoor), which operates traditional outdoor, street furniture and transit advertising properties in North America and worldwide. Clear Channel Outdoor and Outfront Media each have corporate relationships with large media conglomerates and may have greater total resources, product offerings and opportunities for cross-selling than we do.</w:t>
      </w:r>
    </w:p>
    <w:p>
      <w:pPr>
        <w:spacing w:after="0" w:line="93"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Broadcast and cable television, radio, print media, direct mail marketing, the internet, social media and applications used in conjunction with wireless devices.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increasing variety of out-of-home advertising media, such as advertising displays in shopping centers, malls, airports, stadiums, movie theaters, supermarkets and advertising displays on taxis, trains and buses.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In selecting the form of media through which to advertise, advertisers evaluate their ability to target audiences having a specific demographic profile, lifestyle, brand or media consumption or purchasing behavior or audiences located in, or traveling through, a particular geography. Advertisers also compare the relative costs of available media, evaluating the number of impressions (potential viewings), exposure (the opportunity for advertising to be seen) and circulation (traffic volume in a market), as well as potential effectiveness, quality of related services (such as advertising copy design and layout) and customer service. In competing with other media, we believe that outdoor advertising is relatively more cost-efficient than other media, allowing advertisers to reach broader audiences and target specific geographic areas or demographic groups within markets.</w:t>
      </w:r>
    </w:p>
    <w:p>
      <w:pPr>
        <w:spacing w:after="0" w:line="178"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We believe that our strong emphasis on sales and customer service and our position as a major provider of advertising services in each of our primary markets enables us to compete effectively with the other outdoor advertising companies, as well as with other media, within those markets.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advertising displays are geographically diversified across the United States, Canada and Puerto Rico. The following table sets forth information regarding the geographic diversification of our advertising displays, which are listed in order of contributions to total revenue. Markets with less than 1% of total displays are grouped in the category “all other United States and Puerto Rico”.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500" w:type="dxa"/>
            <w:vAlign w:val="bottom"/>
            <w:gridSpan w:val="9"/>
          </w:tcPr>
          <w:p>
            <w:pPr>
              <w:jc w:val="center"/>
              <w:ind w:right="820"/>
              <w:spacing w:after="0"/>
              <w:rPr>
                <w:sz w:val="20"/>
                <w:szCs w:val="20"/>
                <w:color w:val="auto"/>
              </w:rPr>
            </w:pPr>
            <w:r>
              <w:rPr>
                <w:rFonts w:ascii="Arial" w:cs="Arial" w:eastAsia="Arial" w:hAnsi="Arial"/>
                <w:sz w:val="14"/>
                <w:szCs w:val="14"/>
                <w:b w:val="1"/>
                <w:bCs w:val="1"/>
                <w:color w:val="auto"/>
                <w:w w:val="90"/>
              </w:rPr>
              <w:t>Percentage of Revenues for the year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8"/>
          </w:tcPr>
          <w:p>
            <w:pPr>
              <w:ind w:left="240"/>
              <w:spacing w:after="0"/>
              <w:rPr>
                <w:sz w:val="20"/>
                <w:szCs w:val="20"/>
                <w:color w:val="auto"/>
              </w:rPr>
            </w:pPr>
            <w:r>
              <w:rPr>
                <w:rFonts w:ascii="Arial" w:cs="Arial" w:eastAsia="Arial" w:hAnsi="Arial"/>
                <w:sz w:val="14"/>
                <w:szCs w:val="14"/>
                <w:b w:val="1"/>
                <w:bCs w:val="1"/>
                <w:color w:val="auto"/>
              </w:rPr>
              <w:t>Number of Displays for the year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1"/>
              </w:rPr>
              <w:t>December 31, 2014</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2014</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48"/>
              <w:spacing w:after="0" w:line="119" w:lineRule="exact"/>
              <w:rPr>
                <w:sz w:val="20"/>
                <w:szCs w:val="20"/>
                <w:color w:val="auto"/>
              </w:rPr>
            </w:pPr>
            <w:r>
              <w:rPr>
                <w:rFonts w:ascii="Arial" w:cs="Arial" w:eastAsia="Arial" w:hAnsi="Arial"/>
                <w:sz w:val="13"/>
                <w:szCs w:val="13"/>
                <w:b w:val="1"/>
                <w:bCs w:val="1"/>
                <w:color w:val="auto"/>
                <w:w w:val="95"/>
              </w:rPr>
              <w:t>Static</w:t>
            </w:r>
          </w:p>
        </w:tc>
        <w:tc>
          <w:tcPr>
            <w:tcW w:w="8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Digital</w:t>
            </w: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Transit</w:t>
            </w: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Logo</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Static</w:t>
            </w:r>
          </w:p>
        </w:tc>
        <w:tc>
          <w:tcPr>
            <w:tcW w:w="7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Digital</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Transit</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Logo</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2"/>
                <w:szCs w:val="12"/>
                <w:color w:val="auto"/>
              </w:rPr>
            </w:pPr>
          </w:p>
        </w:tc>
        <w:tc>
          <w:tcPr>
            <w:tcW w:w="8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5"/>
              </w:rPr>
              <w:t>Billboard</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Billboard</w:t>
            </w: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Billboard</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Billboard</w:t>
            </w:r>
          </w:p>
        </w:tc>
        <w:tc>
          <w:tcPr>
            <w:tcW w:w="6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0"/>
              </w:rPr>
              <w:t>Displays</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Displays</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Displays</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Displays</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Displays</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Displays</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Displays</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Displays</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Displays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Displays</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Displays</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Pittsburgh, PA</w:t>
            </w:r>
          </w:p>
        </w:tc>
        <w:tc>
          <w:tcPr>
            <w:tcW w:w="80" w:type="dxa"/>
            <w:vAlign w:val="bottom"/>
            <w:vMerge w:val="continue"/>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823</w:t>
            </w:r>
          </w:p>
        </w:tc>
        <w:tc>
          <w:tcPr>
            <w:tcW w:w="1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New York, NY</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3.4%</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640" w:type="dxa"/>
            <w:vAlign w:val="bottom"/>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1,280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IN</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Oklahoma City, OK</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640" w:type="dxa"/>
            <w:vAlign w:val="bottom"/>
          </w:tcPr>
          <w:p>
            <w:pPr>
              <w:jc w:val="right"/>
              <w:spacing w:after="0"/>
              <w:rPr>
                <w:sz w:val="20"/>
                <w:szCs w:val="20"/>
                <w:color w:val="auto"/>
              </w:rPr>
            </w:pPr>
            <w:r>
              <w:rPr>
                <w:rFonts w:ascii="Arial" w:cs="Arial" w:eastAsia="Arial" w:hAnsi="Arial"/>
                <w:sz w:val="18"/>
                <w:szCs w:val="18"/>
                <w:color w:val="auto"/>
              </w:rPr>
              <w:t>2,613</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2,639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Bernardino, CA</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1,179</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Las Vegas, NV</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880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Cincinnati, OH</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Vancouver, Canada</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6,278</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6,278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Hartford, CT</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92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Richmond, VA</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640" w:type="dxa"/>
            <w:vAlign w:val="bottom"/>
          </w:tcPr>
          <w:p>
            <w:pPr>
              <w:jc w:val="right"/>
              <w:spacing w:after="0"/>
              <w:rPr>
                <w:sz w:val="20"/>
                <w:szCs w:val="20"/>
                <w:color w:val="auto"/>
              </w:rPr>
            </w:pPr>
            <w:r>
              <w:rPr>
                <w:rFonts w:ascii="Arial" w:cs="Arial" w:eastAsia="Arial" w:hAnsi="Arial"/>
                <w:sz w:val="18"/>
                <w:szCs w:val="18"/>
                <w:color w:val="auto"/>
              </w:rPr>
              <w:t>1,378</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1,411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Dallas, TX</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Knoxville, TN</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640" w:type="dxa"/>
            <w:vAlign w:val="bottom"/>
          </w:tcPr>
          <w:p>
            <w:pPr>
              <w:jc w:val="right"/>
              <w:spacing w:after="0"/>
              <w:rPr>
                <w:sz w:val="20"/>
                <w:szCs w:val="20"/>
                <w:color w:val="auto"/>
              </w:rPr>
            </w:pPr>
            <w:r>
              <w:rPr>
                <w:rFonts w:ascii="Arial" w:cs="Arial" w:eastAsia="Arial" w:hAnsi="Arial"/>
                <w:sz w:val="18"/>
                <w:szCs w:val="18"/>
                <w:color w:val="auto"/>
              </w:rPr>
              <w:t>2,136</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2,147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Birmingham, AL</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Baton Rouge, LA</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640" w:type="dxa"/>
            <w:vAlign w:val="bottom"/>
          </w:tcPr>
          <w:p>
            <w:pPr>
              <w:jc w:val="right"/>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1,606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Nashville, TN</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Atlanta, GA</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810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Buffalo, NY</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Austin, TX</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944</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949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Gulfport, MS</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Tulsa, OK</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1,811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1,834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Providence, RI</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All US Logo Programs</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91.1%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127,277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127,277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All Other United States and Puerto</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Rico</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67.5%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112,876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26,631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141,077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All Other Canada</w:t>
            </w: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4,513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4,502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9,169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142,043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41,661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131,779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317,597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Total Revenue (in millions)</w:t>
            </w:r>
          </w:p>
        </w:tc>
        <w:tc>
          <w:tcPr>
            <w:tcW w:w="920" w:type="dxa"/>
            <w:vAlign w:val="bottom"/>
            <w:gridSpan w:val="3"/>
          </w:tcPr>
          <w:p>
            <w:pPr>
              <w:jc w:val="right"/>
              <w:ind w:right="168"/>
              <w:spacing w:after="0"/>
              <w:rPr>
                <w:sz w:val="20"/>
                <w:szCs w:val="20"/>
                <w:color w:val="auto"/>
              </w:rPr>
            </w:pPr>
            <w:r>
              <w:rPr>
                <w:rFonts w:ascii="Arial" w:cs="Arial" w:eastAsia="Arial" w:hAnsi="Arial"/>
                <w:sz w:val="18"/>
                <w:szCs w:val="18"/>
                <w:color w:val="auto"/>
              </w:rPr>
              <w:t>$ 931.8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$ 207.4</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  76.6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  71.3</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$1,287.1</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 REIT SUBSIDIARIES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hold and operate certain of our assets that cannot be held and operated directly by a REIT through taxable REIT subsidiaries, or TRSs. A TRS is a subsidiary of a REIT that pays corporate taxes on its taxable income. The assets held in our TRSs primarily consist of our transit advertising business, advertising services business and our foreign operations in Canada and Puerto Rico. Our TRS assets and operations will continue to be subject, as applicable, to U.S. federal and state corporate income taxes. Furthermore, our assets and operations outside the United States will continue to be subject to foreign taxes in the jurisdictions in which those assets and operations are located. Net income from our TRSs will either be retained by our TRSs and used to fund their operations, or distributed to us, where it will be reinvested in our business or be available for distribution to Lamar Advertising’s stockholders. As of December 31, 2014, the annual revenue generated by our TRSs in the aggregate was approximately $168 million.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TENANTS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tenant base is diverse. The table below sets forth the ten industries from which we derived most of our billboard advertising revenues for the year ended December 31, 2014, as well as the percentage of billboard advertising revenues attributable to the advertisers in those industries. The individual advertisers in these industries accounted for approximately 76% of our billboard advertising net revenues in the year ended December 31, 2014. No individual tenant accounted for more than 1.0% of our billboard advertising net revenues in that period.</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 of Net</w:t>
            </w: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8"/>
              </w:rPr>
              <w:t>Categories</w:t>
            </w:r>
          </w:p>
        </w:tc>
        <w:tc>
          <w:tcPr>
            <w:tcW w:w="378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Billboard</w:t>
            </w: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vMerge w:val="continue"/>
          </w:tcPr>
          <w:p>
            <w:pPr>
              <w:spacing w:after="0"/>
              <w:rPr>
                <w:sz w:val="14"/>
                <w:szCs w:val="14"/>
                <w:color w:val="auto"/>
              </w:rPr>
            </w:pPr>
          </w:p>
        </w:tc>
        <w:tc>
          <w:tcPr>
            <w:tcW w:w="378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Advertising Revenues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20"/>
                <w:szCs w:val="20"/>
                <w:color w:val="auto"/>
              </w:rPr>
            </w:pPr>
            <w:r>
              <w:rPr>
                <w:rFonts w:ascii="Arial" w:cs="Arial" w:eastAsia="Arial" w:hAnsi="Arial"/>
                <w:sz w:val="16"/>
                <w:szCs w:val="16"/>
                <w:color w:val="auto"/>
                <w:w w:val="74"/>
              </w:rPr>
              <w:t>Restaurants</w:t>
            </w:r>
          </w:p>
        </w:tc>
        <w:tc>
          <w:tcPr>
            <w:tcW w:w="3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Retailers</w:t>
            </w:r>
          </w:p>
        </w:tc>
        <w:tc>
          <w:tcPr>
            <w:tcW w:w="332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Care</w:t>
            </w:r>
          </w:p>
        </w:tc>
        <w:tc>
          <w:tcPr>
            <w:tcW w:w="3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332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Amusement — Entertainment/Sports</w:t>
            </w:r>
          </w:p>
        </w:tc>
        <w:tc>
          <w:tcPr>
            <w:tcW w:w="3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3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Gaming</w:t>
            </w:r>
          </w:p>
        </w:tc>
        <w:tc>
          <w:tcPr>
            <w:tcW w:w="3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3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Banks, Credit Unions</w:t>
            </w:r>
          </w:p>
        </w:tc>
        <w:tc>
          <w:tcPr>
            <w:tcW w:w="3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3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and Motels</w:t>
            </w:r>
          </w:p>
        </w:tc>
        <w:tc>
          <w:tcPr>
            <w:tcW w:w="17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Federal law, principally the Highway Beautification Act of 1965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 HBA requires any state or political subdivision that compels the removal of a lawful billboard along a Federal — Aid Primary or Interstate highway to pay just compensation to the billboard owner.</w:t>
      </w:r>
    </w:p>
    <w:p>
      <w:pPr>
        <w:spacing w:after="0" w:line="18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All states have passed billboard control statutes and regulations at least as restrictive as the federal requirements, including laws requiring the removal of illegal signs at the owner’s expense (and without compensation from the state). Although we believe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with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have also introduced and intend to expand the deployment of digital billboards that display static digital advertising copy from various advertisers that change every 6 to 8 seconds. We have encountered some existing regulations that restrict or prohibit these types of digital displays but it has not yet materially impacted our digital deployment. Since digital billboards have only recently been developed and introduced into the market on a large scale, existing regulations that currently do not apply to them by their terms could be revised to impose greater restrictions. These regulations may impose greater restrictions on digital billboards due to alleged concerns over aesthetics or driver safety.</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January 2013, Scenic America, Inc., a nonprofit membership organization, filed a lawsuit against the U.S. Department of Transportation (USDOT) and the Federal Highway Administration (FHWA). The complaint alleged that (i) the FHWA exceeded its authority when the agency issued the 2007 Guidance to assist its division offices in evaluating state regulations that authorize the construction and operation of digital billboards that are in conformance with restrictions on “intermittent”, “flashing” or “moving” lights, which restrictions are contained in the individual Federal/State Agreements that implement the provisions of the HBA and in issuing the 2007 Guidance, the FHWA violated the Administrative Procedures Act (APA) by not first engaging in formal rulemaking, (ii) the 2007 Guidance violated the HBA because it adopted “a new lighting standard” without first amending the provisions of the Federal/State Agreements and (iii) the 2007 Guidance violates the HBA (the “2007 Guidance”) because digital billboards are themselves “inconsistent with customary use” of outdoor advertising, as that term is used in the HBA. As the principal remedy for these alleged violations, the complaint sought an injunction vacating the 2007 Guidance. On June 20, 2014, the U.S. District Court for the District of Columbia dismissed all challenges made by Scenic America to the 2007 Guidance finding that (i) the 2007 Guidance was an interpretive and not a substantive rule and, therefore, did not violate the APA, (ii) the 2007 Guidance did not infringe on the Federal/State Agreements and (iii) the 2007 Guidance is consistent with “customary use” and, therefore, did not violate the HBA. Scenic America filed a notice of appeal from the District Court’s judgment to the D.C. Circuit Court of Appeals on August 7, 2014. This appeal is pending as of February 23, 2015.</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December 30, 2013, USDOT and FHWA published a Notice encouraging states to work with the FHWA to review their Federal/State Agreements, most of which were put in place in the late 1960s and early 1970s, to determine if amendments are advisable. FHWA encouraged each state to work with their FHWA division offices to amend its Federal/State Agreement so that it is consistent with the state’s current outdoor advertising objectives and address the evolving technology being used or that could be used in the future by the outdoor industry. The Notice details a multi-step process to achieve this goal. The Notice does not make any reference to the 2007 Guidance, nor does it recommend or require any specific substantive amendments to a state’s Federal/State Agreement. It is uncertain whether the FHWA Notice will have any impact on current federal, state or local regulation of outdoor advertising signs or on the above referenced Scenic America law suit. To the extent that any Federal/State Agreements are amended in a manner that places new restrictions on outdoor advertising it could have a material adverse effect on our business, results of operations or financial condition.</w:t>
      </w:r>
    </w:p>
    <w:p>
      <w:pPr>
        <w:spacing w:after="0" w:line="16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Relatively few large scale studies have been conducted to date regarding driver safety issues, if any, related to digital billboards. On December 30, 2013, the results of a study conducted by USDOT and FHWA that looked at the effect of digital billboards and conventional billboards on driver visual behavior were issued. The conclusions of the report indicated that the presence of digital billboards did not appear to be related to a decrease in looking toward the road ahead and were generally within acceptable thresholds. The report cautioned, however, that it adds to the knowledge base but does not present definitive answers to the research questions investigated. Accordingly, the results of this or other studies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From time to time, we are involved in litigation in the ordinary course of business, including disputes involving advertising contracts, site leases, employment claims and construction matters. We are also involved in routine administrative and judicial proceedings regarding billboard permits, fees and compensation for condemnations. We are not a party to any lawsuit or proceeding which, in the opinion of management, is likely to have a material adverse effect on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PORTFOLIO</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Our management headquarters is located in Baton Rouge, Louisiana. We also own 120 local operating facilities with front office administration and sales office space connected to back-shop poster and bulletin production space. In addition, we lease an additional 118 operating facilities at an aggregate lease expense for 2014 of approximately $7.3 million.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own approximately 7,000 parcels of property beneath our advertising displays. As of December 31, 2014, we leased approximately 75,200 outdoor sites, accounting for an annualized lease expense of approximately $213.6 million. This amount represented approximately 19% of billboard advertising net revenues for that period. These leases are for varying terms ranging from month-to-month to a term of over ten years, and many provide us with renewal options. Our lease agreements generally permit us to use the land for the construction, repair and relocation of outdoor advertising displays, including all rights necessary to access and maintain the site. Approximately 64% of our leases will expire or be subject to renewal in the next 5 years, 13% will expire or be subject to renewal in 6 to 10 years and 23% thereafter.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16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following table illustrates the number of leased and owned sites by state as of December 31, 2014, which is sorted from greatest to least in number and percentage of leased sites. States in which we lease less than 2% of our portfolio are grouped in the category “All Other States”.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billboard leased sites</w:t>
            </w: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5"/>
              </w:rPr>
              <w:t>% of total</w:t>
            </w:r>
          </w:p>
        </w:tc>
        <w:tc>
          <w:tcPr>
            <w:tcW w:w="2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 of owned billboard sites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156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58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2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6,491</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1,172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Texas</w:t>
            </w:r>
          </w:p>
        </w:tc>
        <w:tc>
          <w:tcPr>
            <w:tcW w:w="2320" w:type="dxa"/>
            <w:vAlign w:val="bottom"/>
            <w:gridSpan w:val="2"/>
          </w:tcPr>
          <w:p>
            <w:pPr>
              <w:jc w:val="right"/>
              <w:ind w:right="760"/>
              <w:spacing w:after="0"/>
              <w:rPr>
                <w:sz w:val="20"/>
                <w:szCs w:val="20"/>
                <w:color w:val="auto"/>
              </w:rPr>
            </w:pPr>
            <w:r>
              <w:rPr>
                <w:rFonts w:ascii="Arial" w:cs="Arial" w:eastAsia="Arial" w:hAnsi="Arial"/>
                <w:sz w:val="18"/>
                <w:szCs w:val="18"/>
                <w:color w:val="auto"/>
              </w:rPr>
              <w:t>6,350</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8.4%</w:t>
            </w:r>
          </w:p>
        </w:tc>
        <w:tc>
          <w:tcPr>
            <w:tcW w:w="2360" w:type="dxa"/>
            <w:vAlign w:val="bottom"/>
            <w:gridSpan w:val="2"/>
          </w:tcPr>
          <w:p>
            <w:pPr>
              <w:jc w:val="right"/>
              <w:ind w:right="780"/>
              <w:spacing w:after="0"/>
              <w:rPr>
                <w:sz w:val="20"/>
                <w:szCs w:val="20"/>
                <w:color w:val="auto"/>
              </w:rPr>
            </w:pPr>
            <w:r>
              <w:rPr>
                <w:rFonts w:ascii="Arial" w:cs="Arial" w:eastAsia="Arial" w:hAnsi="Arial"/>
                <w:sz w:val="18"/>
                <w:szCs w:val="18"/>
                <w:color w:val="auto"/>
              </w:rPr>
              <w:t>632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2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5,123</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6.8%</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Ohio</w:t>
            </w:r>
          </w:p>
        </w:tc>
        <w:tc>
          <w:tcPr>
            <w:tcW w:w="2320" w:type="dxa"/>
            <w:vAlign w:val="bottom"/>
            <w:gridSpan w:val="2"/>
          </w:tcPr>
          <w:p>
            <w:pPr>
              <w:jc w:val="right"/>
              <w:ind w:right="760"/>
              <w:spacing w:after="0"/>
              <w:rPr>
                <w:sz w:val="20"/>
                <w:szCs w:val="20"/>
                <w:color w:val="auto"/>
              </w:rPr>
            </w:pPr>
            <w:r>
              <w:rPr>
                <w:rFonts w:ascii="Arial" w:cs="Arial" w:eastAsia="Arial" w:hAnsi="Arial"/>
                <w:sz w:val="18"/>
                <w:szCs w:val="18"/>
                <w:color w:val="auto"/>
              </w:rPr>
              <w:t>3,797</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2360" w:type="dxa"/>
            <w:vAlign w:val="bottom"/>
            <w:gridSpan w:val="2"/>
          </w:tcPr>
          <w:p>
            <w:pPr>
              <w:jc w:val="right"/>
              <w:ind w:right="780"/>
              <w:spacing w:after="0"/>
              <w:rPr>
                <w:sz w:val="20"/>
                <w:szCs w:val="20"/>
                <w:color w:val="auto"/>
              </w:rPr>
            </w:pPr>
            <w:r>
              <w:rPr>
                <w:rFonts w:ascii="Arial" w:cs="Arial" w:eastAsia="Arial" w:hAnsi="Arial"/>
                <w:sz w:val="18"/>
                <w:szCs w:val="18"/>
                <w:color w:val="auto"/>
              </w:rPr>
              <w:t>359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2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3,702</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450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2320" w:type="dxa"/>
            <w:vAlign w:val="bottom"/>
            <w:gridSpan w:val="2"/>
          </w:tcPr>
          <w:p>
            <w:pPr>
              <w:jc w:val="right"/>
              <w:ind w:right="760"/>
              <w:spacing w:after="0"/>
              <w:rPr>
                <w:sz w:val="20"/>
                <w:szCs w:val="20"/>
                <w:color w:val="auto"/>
              </w:rPr>
            </w:pPr>
            <w:r>
              <w:rPr>
                <w:rFonts w:ascii="Arial" w:cs="Arial" w:eastAsia="Arial" w:hAnsi="Arial"/>
                <w:sz w:val="18"/>
                <w:szCs w:val="18"/>
                <w:color w:val="auto"/>
              </w:rPr>
              <w:t>3,505</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4.7%</w:t>
            </w:r>
          </w:p>
        </w:tc>
        <w:tc>
          <w:tcPr>
            <w:tcW w:w="2360" w:type="dxa"/>
            <w:vAlign w:val="bottom"/>
            <w:gridSpan w:val="2"/>
          </w:tcPr>
          <w:p>
            <w:pPr>
              <w:jc w:val="right"/>
              <w:ind w:right="780"/>
              <w:spacing w:after="0"/>
              <w:rPr>
                <w:sz w:val="20"/>
                <w:szCs w:val="20"/>
                <w:color w:val="auto"/>
              </w:rPr>
            </w:pPr>
            <w:r>
              <w:rPr>
                <w:rFonts w:ascii="Arial" w:cs="Arial" w:eastAsia="Arial" w:hAnsi="Arial"/>
                <w:sz w:val="18"/>
                <w:szCs w:val="18"/>
                <w:color w:val="auto"/>
              </w:rPr>
              <w:t>449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2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3,176</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2320" w:type="dxa"/>
            <w:vAlign w:val="bottom"/>
            <w:gridSpan w:val="2"/>
          </w:tcPr>
          <w:p>
            <w:pPr>
              <w:jc w:val="right"/>
              <w:ind w:right="760"/>
              <w:spacing w:after="0"/>
              <w:rPr>
                <w:sz w:val="20"/>
                <w:szCs w:val="20"/>
                <w:color w:val="auto"/>
              </w:rPr>
            </w:pPr>
            <w:r>
              <w:rPr>
                <w:rFonts w:ascii="Arial" w:cs="Arial" w:eastAsia="Arial" w:hAnsi="Arial"/>
                <w:sz w:val="18"/>
                <w:szCs w:val="18"/>
                <w:color w:val="auto"/>
              </w:rPr>
              <w:t>3,101</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4.1%</w:t>
            </w:r>
          </w:p>
        </w:tc>
        <w:tc>
          <w:tcPr>
            <w:tcW w:w="2360" w:type="dxa"/>
            <w:vAlign w:val="bottom"/>
            <w:gridSpan w:val="2"/>
          </w:tcPr>
          <w:p>
            <w:pPr>
              <w:jc w:val="right"/>
              <w:ind w:right="780"/>
              <w:spacing w:after="0"/>
              <w:rPr>
                <w:sz w:val="20"/>
                <w:szCs w:val="20"/>
                <w:color w:val="auto"/>
              </w:rPr>
            </w:pPr>
            <w:r>
              <w:rPr>
                <w:rFonts w:ascii="Arial" w:cs="Arial" w:eastAsia="Arial" w:hAnsi="Arial"/>
                <w:sz w:val="18"/>
                <w:szCs w:val="18"/>
                <w:color w:val="auto"/>
              </w:rPr>
              <w:t>383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2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2,953</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ind w:right="760"/>
              <w:spacing w:after="0"/>
              <w:rPr>
                <w:sz w:val="20"/>
                <w:szCs w:val="20"/>
                <w:color w:val="auto"/>
              </w:rPr>
            </w:pPr>
            <w:r>
              <w:rPr>
                <w:rFonts w:ascii="Arial" w:cs="Arial" w:eastAsia="Arial" w:hAnsi="Arial"/>
                <w:sz w:val="18"/>
                <w:szCs w:val="18"/>
                <w:color w:val="auto"/>
              </w:rPr>
              <w:t>2,561</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3.4%</w:t>
            </w:r>
          </w:p>
        </w:tc>
        <w:tc>
          <w:tcPr>
            <w:tcW w:w="2360" w:type="dxa"/>
            <w:vAlign w:val="bottom"/>
            <w:gridSpan w:val="2"/>
          </w:tcPr>
          <w:p>
            <w:pPr>
              <w:jc w:val="right"/>
              <w:ind w:right="780"/>
              <w:spacing w:after="0"/>
              <w:rPr>
                <w:sz w:val="20"/>
                <w:szCs w:val="20"/>
                <w:color w:val="auto"/>
              </w:rPr>
            </w:pPr>
            <w:r>
              <w:rPr>
                <w:rFonts w:ascii="Arial" w:cs="Arial" w:eastAsia="Arial" w:hAnsi="Arial"/>
                <w:sz w:val="18"/>
                <w:szCs w:val="18"/>
                <w:color w:val="auto"/>
              </w:rPr>
              <w:t>187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2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2,496</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2320" w:type="dxa"/>
            <w:vAlign w:val="bottom"/>
            <w:gridSpan w:val="2"/>
          </w:tcPr>
          <w:p>
            <w:pPr>
              <w:jc w:val="right"/>
              <w:ind w:right="760"/>
              <w:spacing w:after="0"/>
              <w:rPr>
                <w:sz w:val="20"/>
                <w:szCs w:val="20"/>
                <w:color w:val="auto"/>
              </w:rPr>
            </w:pPr>
            <w:r>
              <w:rPr>
                <w:rFonts w:ascii="Arial" w:cs="Arial" w:eastAsia="Arial" w:hAnsi="Arial"/>
                <w:sz w:val="18"/>
                <w:szCs w:val="18"/>
                <w:color w:val="auto"/>
              </w:rPr>
              <w:t>2,406</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3.2%</w:t>
            </w:r>
          </w:p>
        </w:tc>
        <w:tc>
          <w:tcPr>
            <w:tcW w:w="2360" w:type="dxa"/>
            <w:vAlign w:val="bottom"/>
            <w:gridSpan w:val="2"/>
          </w:tcPr>
          <w:p>
            <w:pPr>
              <w:jc w:val="right"/>
              <w:ind w:right="780"/>
              <w:spacing w:after="0"/>
              <w:rPr>
                <w:sz w:val="20"/>
                <w:szCs w:val="20"/>
                <w:color w:val="auto"/>
              </w:rPr>
            </w:pPr>
            <w:r>
              <w:rPr>
                <w:rFonts w:ascii="Arial" w:cs="Arial" w:eastAsia="Arial" w:hAnsi="Arial"/>
                <w:sz w:val="18"/>
                <w:szCs w:val="18"/>
                <w:color w:val="auto"/>
              </w:rPr>
              <w:t>266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w:t>
            </w:r>
          </w:p>
        </w:tc>
        <w:tc>
          <w:tcPr>
            <w:tcW w:w="2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2,275</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301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2320" w:type="dxa"/>
            <w:vAlign w:val="bottom"/>
            <w:gridSpan w:val="2"/>
          </w:tcPr>
          <w:p>
            <w:pPr>
              <w:jc w:val="right"/>
              <w:ind w:right="760"/>
              <w:spacing w:after="0"/>
              <w:rPr>
                <w:sz w:val="20"/>
                <w:szCs w:val="20"/>
                <w:color w:val="auto"/>
              </w:rPr>
            </w:pPr>
            <w:r>
              <w:rPr>
                <w:rFonts w:ascii="Arial" w:cs="Arial" w:eastAsia="Arial" w:hAnsi="Arial"/>
                <w:sz w:val="18"/>
                <w:szCs w:val="18"/>
                <w:color w:val="auto"/>
              </w:rPr>
              <w:t>2,234</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3.0%</w:t>
            </w:r>
          </w:p>
        </w:tc>
        <w:tc>
          <w:tcPr>
            <w:tcW w:w="2360" w:type="dxa"/>
            <w:vAlign w:val="bottom"/>
            <w:gridSpan w:val="2"/>
          </w:tcPr>
          <w:p>
            <w:pPr>
              <w:jc w:val="right"/>
              <w:ind w:right="780"/>
              <w:spacing w:after="0"/>
              <w:rPr>
                <w:sz w:val="20"/>
                <w:szCs w:val="20"/>
                <w:color w:val="auto"/>
              </w:rPr>
            </w:pPr>
            <w:r>
              <w:rPr>
                <w:rFonts w:ascii="Arial" w:cs="Arial" w:eastAsia="Arial" w:hAnsi="Arial"/>
                <w:sz w:val="18"/>
                <w:szCs w:val="18"/>
                <w:color w:val="auto"/>
              </w:rPr>
              <w:t>180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2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2,185</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2320" w:type="dxa"/>
            <w:vAlign w:val="bottom"/>
            <w:gridSpan w:val="2"/>
          </w:tcPr>
          <w:p>
            <w:pPr>
              <w:jc w:val="right"/>
              <w:ind w:right="760"/>
              <w:spacing w:after="0"/>
              <w:rPr>
                <w:sz w:val="20"/>
                <w:szCs w:val="20"/>
                <w:color w:val="auto"/>
              </w:rPr>
            </w:pPr>
            <w:r>
              <w:rPr>
                <w:rFonts w:ascii="Arial" w:cs="Arial" w:eastAsia="Arial" w:hAnsi="Arial"/>
                <w:sz w:val="18"/>
                <w:szCs w:val="18"/>
                <w:color w:val="auto"/>
              </w:rPr>
              <w:t>2,034</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2.7%</w:t>
            </w:r>
          </w:p>
        </w:tc>
        <w:tc>
          <w:tcPr>
            <w:tcW w:w="2360" w:type="dxa"/>
            <w:vAlign w:val="bottom"/>
            <w:gridSpan w:val="2"/>
          </w:tcPr>
          <w:p>
            <w:pPr>
              <w:jc w:val="right"/>
              <w:ind w:right="780"/>
              <w:spacing w:after="0"/>
              <w:rPr>
                <w:sz w:val="20"/>
                <w:szCs w:val="20"/>
                <w:color w:val="auto"/>
              </w:rPr>
            </w:pPr>
            <w:r>
              <w:rPr>
                <w:rFonts w:ascii="Arial" w:cs="Arial" w:eastAsia="Arial" w:hAnsi="Arial"/>
                <w:sz w:val="18"/>
                <w:szCs w:val="18"/>
                <w:color w:val="auto"/>
              </w:rPr>
              <w:t>189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2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2,001</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2320" w:type="dxa"/>
            <w:vAlign w:val="bottom"/>
            <w:gridSpan w:val="2"/>
          </w:tcPr>
          <w:p>
            <w:pPr>
              <w:jc w:val="right"/>
              <w:ind w:right="760"/>
              <w:spacing w:after="0"/>
              <w:rPr>
                <w:sz w:val="20"/>
                <w:szCs w:val="20"/>
                <w:color w:val="auto"/>
              </w:rPr>
            </w:pPr>
            <w:r>
              <w:rPr>
                <w:rFonts w:ascii="Arial" w:cs="Arial" w:eastAsia="Arial" w:hAnsi="Arial"/>
                <w:sz w:val="18"/>
                <w:szCs w:val="18"/>
                <w:color w:val="auto"/>
              </w:rPr>
              <w:t>1,843</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2360" w:type="dxa"/>
            <w:vAlign w:val="bottom"/>
            <w:gridSpan w:val="2"/>
          </w:tcPr>
          <w:p>
            <w:pPr>
              <w:jc w:val="right"/>
              <w:ind w:right="780"/>
              <w:spacing w:after="0"/>
              <w:rPr>
                <w:sz w:val="20"/>
                <w:szCs w:val="20"/>
                <w:color w:val="auto"/>
              </w:rPr>
            </w:pPr>
            <w:r>
              <w:rPr>
                <w:rFonts w:ascii="Arial" w:cs="Arial" w:eastAsia="Arial" w:hAnsi="Arial"/>
                <w:sz w:val="18"/>
                <w:szCs w:val="18"/>
                <w:color w:val="auto"/>
              </w:rPr>
              <w:t>120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States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7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22.7%</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1,231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75,200</w:t>
            </w:r>
          </w:p>
        </w:tc>
        <w:tc>
          <w:tcPr>
            <w:tcW w:w="760" w:type="dxa"/>
            <w:vAlign w:val="bottom"/>
            <w:vMerge w:val="continue"/>
          </w:tcPr>
          <w:p>
            <w:pPr>
              <w:spacing w:after="0"/>
              <w:rPr>
                <w:sz w:val="19"/>
                <w:szCs w:val="19"/>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100%</w:t>
            </w:r>
          </w:p>
        </w:tc>
        <w:tc>
          <w:tcPr>
            <w:tcW w:w="1580" w:type="dxa"/>
            <w:vAlign w:val="bottom"/>
          </w:tcPr>
          <w:p>
            <w:pPr>
              <w:jc w:val="right"/>
              <w:spacing w:after="0"/>
              <w:rPr>
                <w:sz w:val="20"/>
                <w:szCs w:val="20"/>
                <w:color w:val="auto"/>
              </w:rPr>
            </w:pPr>
            <w:r>
              <w:rPr>
                <w:rFonts w:ascii="Arial" w:cs="Arial" w:eastAsia="Arial" w:hAnsi="Arial"/>
                <w:sz w:val="18"/>
                <w:szCs w:val="18"/>
                <w:color w:val="auto"/>
              </w:rPr>
              <w:t>7,021</w:t>
            </w:r>
          </w:p>
        </w:tc>
        <w:tc>
          <w:tcPr>
            <w:tcW w:w="780" w:type="dxa"/>
            <w:vAlign w:val="bottom"/>
            <w:vMerge w:val="continue"/>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EXPIRATIONS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derive revenues primarily from renting advertising space to customers on our advertising displays. Our contracts with customers generally cover periods ranging from one week to one year and are generally billed every four weeks. Since contract terms are short-term in nature, we do not consider revenues by year of contract expiration to be meaningful.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employed approximately 3,200 people as of December 31, 2014. Approximately 220 employees were engaged in overall management and general administration at our management headquarters in Baton Rouge, Louisiana, and the remainder, including approximately 890 local account executives were employed in our operating offices.</w:t>
      </w:r>
    </w:p>
    <w:p>
      <w:pPr>
        <w:spacing w:after="0" w:line="18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Fifteen of our local offices employ billposters and construction personnel who are covered by collective bargaining agreements. We believe that our relationship with our employees, including our 129 unionized employees, is good, and we have never experienced a strike or work stoppage.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last three years, inflation has not had a significant impact on us.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Our revenues and operating results are subject to seasonality. Typically, we experience our strongest financial performance in the summer and fall, and our weakest financial performance in the first quarter of the calendar year, partly because retailers cut back their advertising spending immediately following the holiday shopping season. We expect this trend to continue in the future. Because a significant portion of our expenses is fixed, a reduction in revenues in any quarter is likely to result in a period-to-period decline in operating performance and net earnings.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these reports available free of charge through our website, www.lamar.com, as soon as reasonably practicable after filing them with, or furnishing them to, the Securities and Exchange Commission. Information contained on the website is not part of this Annual Report.</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substantial debt may adversely affect its business, financial condition and financial results.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borrowed substantially in the past and will continue to borrow in the future. At December 31, 2014, Lamar Advertising Company’s wholly owned subsidiary, Lamar Media, had approximately $1.9 billion of total debt outstanding, consisting of approximately $353.8 million in bank debt outstanding under Lamar Media’s senior credit facility, $1.0 billion in various series of senior subordinated notes and $510 million in senior notes. Despite the level of debt presently outstanding, the terms of the indentures governing Lamar Media’s notes and the terms of the senior credit facility allow Lamar Media to incur substantially more debt, including approximately $328.2 million available for borrowing as of December 31, 2014 under the revolving senior credit facility.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substantial debt and its use of cash flow from operations to make principal and interest payments on its debt may, among other things:</w:t>
      </w:r>
    </w:p>
    <w:p>
      <w:pPr>
        <w:spacing w:after="0" w:line="154" w:lineRule="exact"/>
        <w:rPr>
          <w:sz w:val="20"/>
          <w:szCs w:val="20"/>
          <w:color w:val="auto"/>
        </w:rPr>
      </w:pPr>
    </w:p>
    <w:p>
      <w:pPr>
        <w:ind w:left="900" w:right="1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the Company to comply with the financial covenants in its senior credit facility, which could result in a default and an acceleration of all amounts outstanding under the facility;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 the cash flow available to fund the Company’s working capital, capital expenditures, acquisitions or other general corporate requirements;</w:t>
      </w:r>
    </w:p>
    <w:p>
      <w:pPr>
        <w:spacing w:after="0" w:line="153"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Company’s ability to obtain additional financing to fund future dividend distributions, working capital, capital expenditures or other general corporate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the Company at a competitive disadvantage relative to those of its competitors that have less debt;</w:t>
      </w:r>
    </w:p>
    <w:p>
      <w:pPr>
        <w:spacing w:after="0" w:line="130" w:lineRule="exact"/>
        <w:rPr>
          <w:rFonts w:ascii="Arial" w:cs="Arial" w:eastAsia="Arial" w:hAnsi="Arial"/>
          <w:sz w:val="18"/>
          <w:szCs w:val="18"/>
          <w:color w:val="auto"/>
        </w:rPr>
      </w:pPr>
    </w:p>
    <w:p>
      <w:pPr>
        <w:ind w:left="900" w:right="40" w:hanging="325"/>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force the Company to seek and obtain alternate or additional sources of funding, which may be unavailable, or may be on less favorable terms, or may require the Company to obtain the consent of lenders under its senior credit facility or the holders of its other debt;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Company’s flexibility in planning for, or reacting to, changes in its business and industry;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Company’s vulnerability to general adverse economic and industry conditions.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problems could adversely affect the Company’s business, financial condition and financial results.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Restrictions in the Company’s and Lamar Media’s debt agreements reduce operating flexibility and contain covenants and restrictions that create the potential for defaults, which could adversely affect the Company’s business, financial condition and financial results.</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terms of Lamar Media’s senior credit facility and the indentures relating to Lamar Media’s outstanding notes restrict the ability of the Company and Lamar Media to, among other things:</w:t>
      </w:r>
    </w:p>
    <w:p>
      <w:pPr>
        <w:spacing w:after="0" w:line="7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affiliate transactions;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and make inter-company distributions.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At December 31, 2014, the terms of Lamar Media’s senior credit facility also restrict the Company from exceeding a specified senior debt ratio. Lamar Media is also subject to certain other financial covenants relating to the incurrence of additional debt. Please see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 Liquidity and Capital Resources” </w:t>
      </w:r>
      <w:r>
        <w:rPr>
          <w:rFonts w:ascii="Arial" w:cs="Arial" w:eastAsia="Arial" w:hAnsi="Arial"/>
          <w:sz w:val="18"/>
          <w:szCs w:val="18"/>
          <w:color w:val="auto"/>
        </w:rPr>
        <w:t>for a description of the specific financial ratio requirements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credit facility.</w:t>
      </w:r>
    </w:p>
    <w:p>
      <w:pPr>
        <w:spacing w:after="0" w:line="187"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The Company’s ability to comply with the financial covenants in the senior credit facility and the indentures governing Lamar Media’s outstanding notes (and to comply with similar covenants in any future agreements) depends on its operating performance, which in turn depends significantly on prevailing economic, financial and business conditions and other factors that are beyond the Company’s control. Therefore, despite its best efforts and execution of its strategic plan, the Company may be unable to comply with these financial covenants in the future.</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Although we are currently in compliance with all financial covenants, the Company’s operating results were negatively impacted by the recent economic recession and there can be no assurance that the current economic environment will not further impact the Company’s results and, in turn, its ability to meet these requirements in the future. If Lamar Media fails to comply with its financial covenants, the lenders under the senior credit facility could accelerate all of the debt outstanding, which would create serious financial problems and could lead to a default under the indentures governing Lamar Media’s outstanding notes. Any of these events could adversely affect the Company’s business, financial condition and financial results.</w:t>
      </w:r>
    </w:p>
    <w:p>
      <w:pPr>
        <w:spacing w:after="0" w:line="1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these restrictions reduce the Company’s operating flexibility and could prevent the Company from exploiting investment, acquisition, marketing, or other time-sensitive business opportunities.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revenues are sensitive to general economic conditions and other external events beyond the Company’s control.</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rents advertising space on outdoor structures to generate revenues. Advertising spending is particularly sensitive to changes in economic conditions.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the occurrence of any of the following external events could further depress the Company’s revenues:</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widespread reallocation of advertising expenditures to other available media by significant renters of the Company’s displays;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amount spent on advertising in general or outdoor advertising in particular.</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The Company’s growth through acquisitions may be difficult, which could adversely affect our future financial performance. In addition, if we are unable to successfully integrate any completed acquisitions, our financial performance would also be adversely affected.</w:t>
      </w:r>
    </w:p>
    <w:p>
      <w:pPr>
        <w:spacing w:after="0" w:line="124"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The Company has historically grown through acquisitions. During the year ended December 31, 2014, we completed acquisitions for a total cash purchase price of approximately $65.0 million. We intend to continue to evaluate strategic acquisition opportunities as they arise.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future success of our acquisition strategy could be adversely affected by many factors, including the following:</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pool of suitable acquisition candidates is dwindling, and we may have a more difficult time negotiating acquisitions on favorable terms;</w:t>
      </w:r>
    </w:p>
    <w:p>
      <w:pPr>
        <w:spacing w:after="0" w:line="142" w:lineRule="exact"/>
        <w:rPr>
          <w:rFonts w:ascii="Arial" w:cs="Arial" w:eastAsia="Arial" w:hAnsi="Arial"/>
          <w:sz w:val="17"/>
          <w:szCs w:val="17"/>
          <w:color w:val="auto"/>
        </w:rPr>
      </w:pPr>
    </w:p>
    <w:p>
      <w:pPr>
        <w:ind w:left="900" w:right="24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face increased competition for acquisition candidates from other outdoor advertising companies, some of which have greater financial resources than we do, which may result in higher prices for those businesses and assets;</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have access to the capital needed to finance potential acquisitions and may be unable to obtain any required consents from our current lenders to obtain alternate financing;</w:t>
      </w:r>
    </w:p>
    <w:p>
      <w:pPr>
        <w:spacing w:after="0" w:line="75" w:lineRule="exact"/>
        <w:rPr>
          <w:rFonts w:ascii="Arial" w:cs="Arial" w:eastAsia="Arial" w:hAnsi="Arial"/>
          <w:sz w:val="18"/>
          <w:szCs w:val="18"/>
          <w:color w:val="auto"/>
        </w:rPr>
      </w:pPr>
    </w:p>
    <w:p>
      <w:pPr>
        <w:ind w:left="900" w:right="10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REIT requirements may hinder our ability to make certain investments and to that extent may limit our acquisition opportunities;</w:t>
      </w:r>
    </w:p>
    <w:p>
      <w:pPr>
        <w:spacing w:after="0" w:line="75" w:lineRule="exact"/>
        <w:rPr>
          <w:rFonts w:ascii="Arial" w:cs="Arial" w:eastAsia="Arial" w:hAnsi="Arial"/>
          <w:sz w:val="18"/>
          <w:szCs w:val="18"/>
          <w:color w:val="auto"/>
        </w:rPr>
      </w:pPr>
    </w:p>
    <w:p>
      <w:pPr>
        <w:jc w:val="both"/>
        <w:ind w:left="900" w:right="52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integrate acquired businesses and assets effectively with our existing operations and systems as a result of unforeseen difficulties that could divert significant time, attention and effort from management that could otherwise be directed at developing existing business;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retain key personnel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realize the benefits and cost savings anticipated in our acquisitions;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the industry consolidates further, larger mergers and acquisitions may face substantial scrutiny under antitrust laws.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obstacles to our opportunistic acquisition strategy may have an adverse effect on our future financial results.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could suffer losses due to asset impairment charges for goodwill and other intangible assets.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Company tested goodwill for impairment on December 31, 2014. Based on the Company’s review at December 31, 2014, no impairment charge was required. The Company continues to assess whether factors or indicators become apparent that would require an interim impairment test between our annual impairment test dates. For instance, if our market capitalization is below our equity book value for a period of time without recovery, we believe there is a strong presumption that would indicate a triggering event has occurred and it is more likely than not that the fair value of one or both of our reporting units are below their carrying amount. This would require us to test the reporting units for impairment of goodwill. If this presumption cannot be overcome a reporting unit could be impaired under ASC 350 “Goodwill and Other Intangible Assets” and a non-cash charge would be required. Any such charge could have a material adverse effect on the Company’s net earnings.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faces competition from larger and more diversified outdoor advertisers and other forms of advertising that could hurt its performance.</w:t>
      </w:r>
    </w:p>
    <w:p>
      <w:pPr>
        <w:spacing w:after="0" w:line="24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While the Company enjoys a significant market share in many of its small and medium-sized markets, the Company faces competition from other outdoor advertisers and other media in all of its markets. Although the Company is one of the largest companies focusing exclusively on outdoor advertising in a relatively fragmented industry, it competes against larger companies with diversified operations, such as television, radio and other broadcast media. These diversified competitors have the advantage of cross-selling complementary advertising products to advertisers.</w:t>
      </w:r>
    </w:p>
    <w:p>
      <w:pPr>
        <w:spacing w:after="0" w:line="17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Company also competes against an increasing variety of out-of-home advertising media, such as advertising displays in shopping centers, malls, airports, stadiums, movie theaters and supermarkets, and on taxis, trains and buses. To a lesser extent, the Company also faces competition from other forms of media, including radio, newspapers, direct mail advertising, telephone directories and the Internet. The industry competes for advertising revenue along the following dimensions: exposure (the number of “impressions” an advertisement makes), advertising rates (generally measured in cost-per-thousand impressions), ability to target specific demographic groups or geographies, effectiveness, quality of related services (such as advertising copy design and layout) and customer service. The Company may be unable to compete successfully along these dimensions in the future, and the competitive pressures that the Company faces could adversely affect its profitability or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local regulation impact the Company’s operations, financial condition and financial results.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Federal law, principally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 HBA requires any state or political subdivision that compels the removal of a lawful billboard along a Federal — Aid Primary or Interstate highway to pay just compensation to the billboard owner.</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All states have passed billboard control statutes and regulations at least as restrictive as the federal requirements, including laws requiring the removal of illegal signs at the owner’s expense (and without compensation from the state). Although the Company believes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7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to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have also introduced and intend to expand the deployment of digital billboards that display static digital advertising copy from various advertisers that change every 6 to 8 seconds. We have encountered some existing regulations that restrict or prohibit these types of digital displays but it has not yet materially impacted our digital deployment. Since digital billboards have only recently been developed and introduced into the market on a large scale, however, existing regulations that currently do not apply to them by their terms could be revised to impose greater restrictions. These regulations may impose greater restrictions on digital billboards due to alleged concerns over aesthetics or driver safety.</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January 2013, Scenic America, Inc., a nonprofit membership organization, filed a lawsuit against the U.S. Department of Transportation (USDOT) and the Federal Highway Administration. The complaint alleged that (i) the FHWA exceeded its authority when the agency issued the 2007 Guidance to assist its division offices in evaluating state regulations that authorize the construction and operation of digital billboards that are in conformance with restrictions on “intermittent”, “flashing” or “moving” lights, which restrictions are contained in the individual Federal/State Agreements that implement the provisions of the HBA (the “2007 Guidance”) and that in issuing the 2007 Guidance, the FHWA violated the Administrative Procedures Act by not first engaging in formal rulemaking, (ii) the 2007 Guidance violated the HBA because it adopted “a new lighting standard” without first amending the provisions of the Federal/State Agreements and (iii) the 2007 Guidance violated the HBA because digital billboards are themselves “inconsistent with customary use” of outdoor advertising, as that term is used in the HBA. As the principal remedy for these alleged violations, the complaint sought an injunction vacating the 2007 Guidance. On June 20, 2014, the U.S. District Court for the District of Columbia dismissed all challenges made by Scenic America to the 2007 Guidance finding that (i) the 2007 Guidance was an interpretive and not a substantive rule and, therefore, did not violate the APA, (ii) the 2007 Guidance did not infringe on the Federal/State Agreements and (iii) the 2007 Guidance is consistent with “customary use” and, therefore, did not violate the HBA. Scenic America filed a notice of appeal from the District Court’s judgment to the D.C. Circuit Court of Appeals on August 7, 2014. This appeal is pending as of February 23, 2015.</w:t>
      </w:r>
    </w:p>
    <w:p>
      <w:pPr>
        <w:spacing w:after="0" w:line="16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December 30, 2013, USDOT and FHWA published a Notice encouraging states to work with the FHWA to review their Federal/State Agreements, most of which were put in place in the late 1960s and early 1970s, to determine if amendments are advisable. FHWA encouraged each state to work with their FHWA division offices to amend its Federal/State Agreement so that it is consistent with the state’s current outdoor advertising objectives and address the evolving technology being used or that could be used in the future by the outdoor industry. The Notice details a multi-step process to achieve this goal. The Notice does not make any reference to the 2007 Guidance, nor does it recommend or require any specific substantive amendments to a state’s Federal/State Agreement. It is uncertain whether the FHWA Notice will have any impact on current federal, state or local regulation of outdoor advertising signs. To the extent that any Federal/State Agreements are amended in a manner that places new restrictions on outdoor advertising it could have a material adverse effect on our business, results of operations or financial condition.</w:t>
      </w:r>
    </w:p>
    <w:p>
      <w:pPr>
        <w:spacing w:after="0" w:line="17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Relatively few large scale studies have been conducted to date regarding driver safety issues, if any, related to digital billboards. On December 30, 2013, the results of a study conducted by USDOT and FHWA that looked at the effect of digital billboards and conventional billboards on driver visual behavior were issued. The conclusions of the report indicated that the presence of digital billboards did not appear to be related to a decrease in looking toward the road ahead and were generally within acceptable thresholds. The report cautioned, however, that it adds to the knowledge base but does not present definitive answers to the research questions investigated. Accordingly, the results of this or other studies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logo sign contracts are subject to state award and renewal.</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2014, the Company generated approximately 5% of its revenues from state-awarded logo sign contracts. In bidding for these contracts, the Company competes against other national and local logo sign providers. A logo sign provider incurs significant start-up costs upon being awarded a new contract. These contracts generally have a term of five to ten years, with additional renewal periods. Some states reserve the right to terminate a contract early, and most contracts require the state to pay compensation to the logo sign provider for early termination. At the end of the contract term, the logo sign provider transfers ownership of the logo sign structures to the state. Depending on the contract, the logo provider may or may not be entitled to compensation for the structures at the end of the contract term.</w:t>
      </w:r>
    </w:p>
    <w:p>
      <w:pPr>
        <w:spacing w:after="0" w:line="19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Of the Company’s 23 logo sign contracts in place at December 31, 2014, five are subject to renewal in 2015. The Company may be unable to renew its expiring contracts. The Company may also lose the bidding on new contracts.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Company is controlled by significant stockholders who have the power to determine the outcome of all matters submitted to the stockholders for approval and whose interest in the Company may be different than yours.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As of December 31, 2014, members of the Reilly family, including Kevin P. Reilly, Jr., the Company’s Chairman and President, and Sean Reilly, the Company’s Chief Executive Officer, and their affiliates, owned in the aggregate approximately 16% of the Company’s outstanding common stock, assuming the conversion of all Class B common stock to Class A common stock. As of that date, their combined holdings represented approximately 65% of the voting power of Lamar Advertising’s outstanding capital stock, which would give the Reilly family and their affiliates the power to:</w:t>
      </w:r>
    </w:p>
    <w:p>
      <w:pPr>
        <w:spacing w:after="0" w:line="7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elect the Company’s entire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 the Company’s management and policies; and</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 the outcome of any corporate transaction or other matter requiring stockholder approval, including charter amendments, mergers, consolidations and asset sales.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Reilly family may have interests that are different than yours in making these decisions.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Company’s contingency plans relating to hurricanes and other natural disasters fail, the resulting losses could hurt the Company’s business.</w:t>
      </w:r>
    </w:p>
    <w:p>
      <w:pPr>
        <w:spacing w:after="0" w:line="24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Company has determined that it is uneconomical to insure against losses resulting from hurricanes and other natural disasters. Although the Company has developed contingency plans designed to mitigate the threat posed by hurricanes and other forms of inclement weather to its real estate portfolio (e.g., removing advertising faces at the onset of a storm, when possible, which better permits the structures to withstand high winds during the storm), these plans could fail and significant losses could result.</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Lamar Advertising fails to remain qualified as a REIT, both Lamar Advertising and Lamar Media would be taxed as regular C corporations and would not be able to deduct distributions to the stockholders of Lamar Advertising when computing their taxable income.</w:t>
      </w:r>
    </w:p>
    <w:p>
      <w:pPr>
        <w:spacing w:after="0" w:line="14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REIT qualification involves the application of highly technical and complex provisions of the Internal Revenue Code of 1986, as amended, (the “Code”) to Lamar Advertising’s operations as well as various factual determinations concerning matters and circumstances not entirely within our control. There are limited judicial or administrative interpretations of these provisions. Although Lamar Advertising plans to operate in a manner consistent with the REIT qualification rules starting with its taxable year ending December 31, 2014, the Company cannot assure you that it will so qualify or remain so qualified.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in any taxable year, Lamar Advertising fails to qualify for taxation as a REIT, and is not entitled to relief under the Code:</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will not be allowed a deduction for distributions to its stockholders in computing its taxable income;</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and its subsidiaries, including Lamar Media, will be subject to applicable federal and state income tax, including any applicable alternative minimum tax, on its taxable income at regular corporate rates;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would be disqualified from REIT tax treatment for the four taxable years following the year during which it was so disqualified.</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Any such corporate tax liability could be substantial and would reduce the amount of cash available for distribution to Lamar Advertising’s stockholders, may require it to borrow funds (under Lamar Media’s senior credit facility or otherwise) or liquidate some investments to pay any such additional tax liability. This adverse impact could last for five or more years because, unless it is entitled to relief under certain statutory provisions, it will be taxable as a corporation, beginning in the year in which the failure occurs, and it will not be allowed to re-elect to be taxed as a REIT for the following four years.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Despite qualifying as a REIT, certain of Lamar Advertising’s business activities will be subject to U.S. and foreign taxes on its income and assets, which will continue to reduce its cash flows, and it will have potential deferred and contingent tax liabilities.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Despite qualifying as a REIT, Lamar Advertising may be subject to certain U.S. federal, state and local taxes and foreign taxes on its income and assets, including alternative minimum taxes, taxes on any undistributed income, and state, local or foreign income, franchise, property and transfer taxes. In addition, the Company could in certain circumstances be required to pay an excise or penalty tax, which could be significant in amount, in order to utilize one or more relief provisions under the Code to maintain qualification for taxation as a REIT.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order maintain its qualification as a REIT, the Company holds certain of its non-qualifying REIT assets and receives certain non-qualifying items of income through one or more TRSs. These non-qualifying REIT assets consist principally of the Company’s advertising services business and its transit advertising business. Those TRS assets and operations will continue to be subject, as applicable, to U.S. federal and state corporate income taxes. Furthermore, the Company’s assets and operations outside the United States are subject to foreign taxes in the jurisdictions in which those assets and operations are located. In addition, the Company may incur a 100% excise tax on transactions with a TRS if they are not conducted on an arm’s-length basis. Any of these taxes would decrease the Company’s earnings and its cash available for distributions to stockholders.</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will also be subject to a U.S. federal income tax at the highest regular corporate rate (currently 35%) on all or a portion of the gain recognized from a sale of assets occurring within a specified period (generally, ten years) after the 2014 effective date of our REIT conversion, to the extent of the built-in gain based on the fair market value of those assets held by the Company on the effective date of REIT conversion in excess of the Company’s then tax basis in those assets. Since the Company elected REIT status for the taxable year ending December 31, 2014, the tax on subsequently sold assets will be based on the fair market value and built-in gains of those assets as of January 1, 2014. The same rules apply to any assets we acquire from a “C” corporation in a carry-over basis transaction with built-in gain at the time of the acquisition by us. Gain from a sale of an asset occurring after the specified period ends will not be subject to this corporate level tax. The Company currently does not expect to sell any asset if the sale would result in the imposition of a material tax liability. It cannot, however, assure you that the Company will not change its plans in this regard.</w:t>
      </w:r>
    </w:p>
    <w:p>
      <w:pPr>
        <w:spacing w:after="0" w:line="17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addition, the IRS and any state or local tax authority may successfully assert liabilities against the Company for corporate income taxes for taxable years of Lamar Advertising prior to the effective time of the REIT election, in which case the Company will owe these taxes plus applicable interest and penalties, if any. Moreover, any increase in taxable income for these pre-REIT periods will likely result in an increase in non-REIT accumulated E&amp;P, which could cause the Company to pay taxable distributions to its stockholders after the relevant determination.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REIT, Lamar Advertising is required to distribute at least 90% of its taxable income to its stockholders.</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As a REIT, the Company is required to distribute to its stockholders with respect to each taxable year at least 90% of its taxable income (net of any available net operating loss carry forwards) in order to qualify as a REIT, and 100% of its taxable income (net of any available net operating loss carry forwards) in order to avoid U.S. federal income and excise taxes. For these purposes, most of Lamar Advertising’s subsidiaries, including Lamar Media, will be treated as part of the REIT and therefore Lamar Advertising also will be required to distribute out their taxable income.</w:t>
      </w:r>
    </w:p>
    <w:p>
      <w:pPr>
        <w:spacing w:after="0" w:line="17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To the extent that the Company satisfies the 90% distribution requirement, but distributes less than 100% of its REIT taxable income, it will be subject to federal corporate income tax on its undistributed taxable income. In addition, the Company will be subject to a 4% nondeductible excise tax if the actual amount that it distributes to its stockholders for a calendar year is less than the minimum amount specified under the Code.</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Generally, the Company expects to distribute all or substantially all of its REIT taxable income. However, the Company may determine to utilize its existing NOLs to reduce all or a portion of its taxable income in lieu of making corresponding distributions to its stockholders. If the Company’s cash available for distribution falls short of its estimates, it may be unable to maintain the proposed quarterly distributions that approximate its taxable income and, as a result, may be subject to U.S. federal income tax on the shortfall in distributions or may fail to qualify for taxation as a REIT. The Company’s cash flows from operations may be insufficient to fund required distributions as a result of differences in timing between the actual receipt of income and the recognition of income for federal income tax purposes, or the effect of nondeductible expenditures, such as capital expenditures, payments of compensation for which Section 162(m) of the Code denies a deduction, the creation of reserves or required debt service or amortization payments. Because the REIT distribution requirements will prevent the Company from retaining earnings, it may be required to refinance debt at maturity with additional debt or equity, which may not be available on acceptable terms, or at all.</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Covenants specified in our existing and future senior credit facility and debt instruments may limit Lamar Advertising’s ability to make required REIT distributions.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Lamar Media’s senior credit facility allows Lamar Media to conduct its affairs in a manner that allows Lamar Advertising to qualify and remain qualified as a REIT—including by allowing Lamar Media to make distributions to Lamar Advertising required for the Company to qualify and remain qualified for taxation as a REIT, subject to certain restrictions—the senior credit facility and the indentures relating to our outstanding notes contain certain covenants that could limit Lamar Advertising’s distributions to its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the senior credit facility, Lamar Media is not permitted to make distributions to the Company in order to satisfy the Company’s REIT distribution requirements, or make additional distributions up to 100% of the Company’s REIT taxable income, if Lamar Media is in default due to the failure to make a required payment (subject to a cure period in the case of payments of interest, reimbursement obligations in respect of letters of credit and fees) or in the event of a voluntary or involuntary bankruptcy proceeding. Under the indentures governing its outstanding senior subordinated notes and senior notes, Lamar Media may make distributions to the Company to satisfy the Company’s REIT distribution requirements and additional amounts intended to distribute up to 100% of the Company’s REIT taxable income, so long as Lamar Media is in compliance with certain restricted payment baskets and certain other conditions are met, including that no default or event of default exists or would result there from. As of December 31, 2014, Lamar Media is permitted to make up to approximately $2.3 billion in distributions pursuant to these baskets. In addition, under the indenture governing Lamar Media’s senior notes, Lamar Media is permitted to make distributions to the Company outside of such restricted payment baskets to the extent that the Company believes in good faith that it qualifies as a REIT and such distributions are necessary to maintain its status as a REIT, subject to the conditions that (i) no payment or bankruptcy event of default exists and the obligations in respect of the senior notes have not otherwise been accelerated and (ii) two consecutive distributions pursuant to this provision shall not be permitted during the continuance of any single event of default. If these limits prevent the Company from satisfying its REIT distribution requirements, the Company could fail to qualify for taxation as a REIT. If these limits do not jeopardize its qualification for taxation as a REIT but do nevertheless prevent it from distributing 100% of its REIT taxable income, it will be subject to federal corporate income tax, and potentially a nondeductible excise tax, on the retained amounts.</w:t>
      </w:r>
    </w:p>
    <w:p>
      <w:pPr>
        <w:spacing w:after="0" w:line="1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Lamar Advertising and its subsidiaries may be required to borrow funds, sell assets, or raise equity to satisfy its REIT distribution requirements or maintain the asset tests.</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order to meet the REIT distribution requirements and maintain its qualification and taxation as a REIT and avoid corporate income taxes, Lamar Advertising and/or its subsidiaries, including Lamar Media, may need to borrow funds, sell assets or raise equity, even if the then-prevailing market conditions are not favorable for these borrowings, sales or offerings. Any insufficiency of its cash flows to cover Lamar Advertising’s REIT distribution requirements could adversely impact its ability to raise short- and long-term debt, to sell assets, or to offer equity securities in order to fund distributions required to maintain its qualification and taxation as a REIT and avoid corporate income taxes. Furthermore, the REIT distribution requirements may increase the financing Lamar Advertising needs to fund capital expenditures, future growth and expansion initiatives. This would increase its total leverage.</w:t>
      </w:r>
    </w:p>
    <w:p>
      <w:pPr>
        <w:spacing w:after="0" w:line="165"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In addition, if Lamar Advertising fails to comply with certain asset tests at the end of any calendar quarter, it must correct the failure within 30 days after the end of the calendar quarter or qualify for certain statutory relief provisions to avoid losing its REIT qualification. As a result, it may be required to liquidate otherwise attractive investments. These actions may reduce its income and amounts available for distribution to its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distributions are not guaranteed and may fluctuate</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 REIT generally is required to distribute at least 90% of its REIT taxable income to its stockholders. The Company may have available NOLs that could reduce or substantially eliminate its REIT taxable income, and thus it may not be required to distribute material amounts of cash to qualify for taxation as a REIT. The Company expects that, for the foreseeable future, it may utilize available NOLs to reduce its REIT taxable income.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board of directors of the Company, in its sole discretion, will determine on a quarterly basis the amount of cash to be distributed to its stockholders based on a number of factors including, but not limited to, the Company’s results of operations, cash flow and capital requirements, economic conditions, tax considerations, borrowing capacity and other factors, including debt covenant restrictions that may impose limitations on cash payments, future acquisitions and divestitures, any stock repurchase program, and general market demand for its advertising space available for lease. Consequently, the Company’s distribution levels may fluctuate.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Complying with REIT requirements may cause Lamar Advertising, its subsidiaries (other than TRSs) to forego otherwise attractive opportunities.</w:t>
      </w:r>
    </w:p>
    <w:p>
      <w:pPr>
        <w:spacing w:after="0" w:line="24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qualify as a REIT for federal income tax purposes, Lamar Advertising must continually satisfy tests concerning, among other things, the sources of its income, the nature and diversification of its assets, the amounts it distributes to its stockholders and the ownership of Lamar Advertising common stock. For these purposes, Lamar Advertising is treated as owning the assets of and receiving or accruing the income of its subsidiaries (other than TRSs). Thus, compliance with these tests will require Lamar Advertising and its subsidiaries to refrain from certain activities and may hinder their ability to make certain attractive investments, including investments in the businesses to be conducted by TRSs, and to that extent limit their opportunities. Furthermore, acquisition opportunities in domestic and international markets may be adversely affected if Lamar Advertising needs or requires the target company to comply with some REIT requirements prior to closing.</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Ownership limitations contained in the Lamar Advertising charter may restrict stockholders from acquiring or transferring certain amounts of shares.</w:t>
      </w:r>
    </w:p>
    <w:p>
      <w:pPr>
        <w:spacing w:after="0" w:line="24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order for Lamar Advertising to remain qualified as a REIT, no more than 50% of the value of the outstanding shares of its stock may be owned, directly or indirectly or through application of certain attribution rules by five or fewer “individuals” (as defined in the Code) at any time during the last half of a taxable year (other than the first taxable year for which an election to be a REIT has been made). To preserve its REIT qualification, the Lamar Advertising charter generally prohibits any person or entity from owning actually and by virtue of the applicable constructive ownership provisions more than 5% of the outstanding shares of Lamar Advertising common stock. These ownership limitations could restrict stockholders from acquiring or transferring certain amounts of shares of its stock. The Lamar Advertising charter also provides a separate share ownership limitation for certain members of the Reilly family and their affiliates that allows them to own actually and by virtue of the applicable constructive ownership provisions no more than 19% of the outstanding shares of Lamar Advertising common stock and, during the second half of any taxable year other than its first taxable year as a REIT, no more than 33% in value of the aggregate of the outstanding shares of all classes and series of its stock, in each case excluding any shares of its stock that are not treated as outstanding for federal income tax purposes.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limit the Company’s ability to hedge effectively and increase the cost of its hedging, and may cause us to incur tax liabilities.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REIT provisions of the Code limit the Company’s ability to hedge liabilities. Generally, income from hedging transactions that the Company enters into to manage risk of interest rate changes with respect to borrowings made or to be made to acquire or carry real estate assets and income from certain currency hedging transactions related to its non-U.S. operations do not constitute “gross income” for purposes of the REIT gross income tests, provided certain requirements are satisfied. To the extent that the Company enters into other types of hedging transactions, the income from those transactions is likely to be treated as non-qualifying income for purposes of the REIT gross income tests. As a result of these rules, the Company may need to limit its use of advantageous hedging techniques or implement those hedges through a TRS. This could increase the cost of the Company’s hedging activities because its TRSs would be subject to tax on income or gains resulting from hedges entered into by them or expose the Company to greater risks associated with changes in interest rates than it would otherwise want to bear. In addition, losses in any of the Company’s TRSs generally will not provide any tax benefit, except for being carried forward for use against future taxable income in the applicable TRS.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Lamar Advertising has no experience operating as a REIT, which may adversely affect its financial condition, results of operations, cash flow, per share trading price of Lamar Class A common stock and ability to satisfy debt service obligations.</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Lamar Advertising has no operating history as a REIT. In addition, its senior management team has no experience operating a REIT. The Company cannot assure you that its management’s past experience will be sufficient to operate the Company successfully as a REIT. Failure to maintain REIT status could adversely affect Lamar Advertising’s and its subsidiaries’ financial condition, results of operations, cash flow, per share trading price of Lamar Advertising’s Class A common stock and ability to satisfy debt service obligations.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Lamar Advertising charter, the Lamar Advertising bylaws and Delaware law may inhibit a takeover that stockholders consider favorable and could also limit the market price of Lamar Advertising stock.</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Provisions of the Lamar Advertising charter, the Lamar Advertising bylaws and applicable provisions of Delaware law may make it more difficult for or prevent a third party from acquiring control of Lamar Advertising without the approval of the board of directors. These provisions:</w:t>
      </w:r>
    </w:p>
    <w:p>
      <w:pPr>
        <w:spacing w:after="0" w:line="52" w:lineRule="exact"/>
        <w:rPr>
          <w:sz w:val="20"/>
          <w:szCs w:val="20"/>
          <w:color w:val="auto"/>
        </w:rPr>
      </w:pPr>
    </w:p>
    <w:p>
      <w:pPr>
        <w:ind w:left="1460" w:right="72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restrictions on ownership and transfer of Lamar Advertising common stock that are intended to facilitate the Company’s compliance with certain REIT rules relating to share ownership;</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30"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advance notice and informational requirements and time limitations on any director nomination or proposal that a stockholder wishes to make at a meeting of stockholders;</w:t>
      </w:r>
    </w:p>
    <w:p>
      <w:pPr>
        <w:spacing w:after="0" w:line="75"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its directors, which would otherwise permit less than a majority of stockholders to elect directors; and</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the board of directors the ability to issue additional classes and shares of preferred stock and to set voting rights, preferences and other terms of the preferred stock without stockholder approval.</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Section 203 of the DGCL generally limits the Company’s ability to engage in any business combination with certain persons who own 15% or more of its outstanding voting stock or any of its associates or affiliates who at any time in the past three years have owned 15% or more of its outstanding voting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These provisions may have the effect of entrenching the Company’s management team and may deprive you of the opportunity to sell your shares to potential acquirers at a premium over prevailing prices. This potential inability to obtain a control premium could reduce the price of Lamar Advertising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Lamar Advertising and its subsidiaries.</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At any time, the federal income tax laws governing REITs or the administrative interpretations of those laws may be amended. Federal and state tax laws are constantly under review by persons involved in the legislative process, the IRS, the U.S. Department of the Treasury, and state taxing authorities. Changes to the tax laws, regulations and administrative interpretations, which may have retroactive application, could adversely affect Lamar Advertising and its subsidiaries. The Company cannot predict with certainty whether, when, in what forms, or with what effective dates, the tax laws, regulations and administrative interpretations applicable to Lamar Advertising may be changed. Accordingly, the Company cannot assure you that any such change will not significantly affect Lamar Advertising’s ability to qualify for taxation as a REIT or the federal income tax consequences to it of such qualification.</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ability of the board of directors of Lamar Advertising to revoke its REIT election, without stockholder approval, may cause adverse consequences to its stockholders.</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Lamar Advertising charter provides that the board of directors may revoke or otherwise terminate the REIT election, without the approval of its stockholders, if the board determines that it is no longer in the Company’s best interest to continue to qualify as a REIT. If the Company ceases to be a REIT, it will not be allowed a deduction for dividends paid to stockholders in computing its taxable income, and it will be subject to federal income tax at regular corporate rates and state and local taxes, which may have adverse consequences on its total return to its stockholders.</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right="600" w:firstLine="456"/>
        <w:spacing w:after="0" w:line="264" w:lineRule="auto"/>
        <w:rPr>
          <w:sz w:val="20"/>
          <w:szCs w:val="20"/>
          <w:color w:val="auto"/>
        </w:rPr>
      </w:pPr>
      <w:r>
        <w:rPr>
          <w:rFonts w:ascii="Arial" w:cs="Arial" w:eastAsia="Arial" w:hAnsi="Arial"/>
          <w:sz w:val="18"/>
          <w:szCs w:val="18"/>
          <w:color w:val="auto"/>
        </w:rPr>
        <w:t>Our management headquarters is located in Baton Rouge, Louisiana. We also own approximately 120 local operating facilities with front office administration and sales office space connected to back-shop poster and bulletin production space. In addition, the Company leases an additional 118 operating facilities at an aggregate lease expense for 2014 of approximately $7.3 million.</w:t>
      </w:r>
    </w:p>
    <w:p>
      <w:pPr>
        <w:spacing w:after="0" w:line="181" w:lineRule="exact"/>
        <w:rPr>
          <w:sz w:val="20"/>
          <w:szCs w:val="20"/>
          <w:color w:val="auto"/>
        </w:rPr>
      </w:pPr>
    </w:p>
    <w:p>
      <w:pPr>
        <w:ind w:right="360" w:firstLine="456"/>
        <w:spacing w:after="0" w:line="297" w:lineRule="auto"/>
        <w:rPr>
          <w:sz w:val="20"/>
          <w:szCs w:val="20"/>
          <w:color w:val="auto"/>
        </w:rPr>
      </w:pPr>
      <w:r>
        <w:rPr>
          <w:rFonts w:ascii="Arial" w:cs="Arial" w:eastAsia="Arial" w:hAnsi="Arial"/>
          <w:sz w:val="16"/>
          <w:szCs w:val="16"/>
          <w:color w:val="auto"/>
        </w:rPr>
        <w:t>We own approximately 7,000 parcels of property beneath our outdoor advertising structures. As of December 31, 2014, we leased approximately 75,200 active outdoor sites, accounting for a total annual lease expense of approximately $213.6 million. This amount represented approximately 19% of billboard advertising net revenues for that period. These leases are for varying terms ranging from month-to-month to a term of over ten years, and many provide the Company with renewal options.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from time to time is involved in litigation in the ordinary course of business, including disputes involving advertising contracts, site leases, employment claims and construction matters. The Company is also involved in routine administrative and judicial proceedings regarding billboard permits, fees and compensation for condemnations. The Company is not a party to any lawsuit or proceeding which, in the opinion of management, is likely to have a material adverse effect on the Company.</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left="1140" w:right="11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Company’s Class A common stock has been publicly traded since August 2, 1996 and is currently listed on the NASDAQ Global Select Market under the symbol “LAMR.” As of December 31, 2014, the Class A common stock was held by 167 shareholders of record. The Company believes, however, that the actual number of beneficial holders of the Class A common stock may be substantially greater than the stated number of holders of record because a substantial portion of the Class A common stock is held in street name.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the high and low sale prices for the Class A common stock:</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2014</w:t>
            </w:r>
          </w:p>
        </w:tc>
        <w:tc>
          <w:tcPr>
            <w:tcW w:w="2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$54.09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53.46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Year ended December 31, 2013</w:t>
            </w: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49.61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shd w:val="clear" w:color="auto" w:fill="CCEEFF"/>
          </w:tcPr>
          <w:p>
            <w:pPr>
              <w:spacing w:after="0"/>
              <w:rPr>
                <w:sz w:val="18"/>
                <w:szCs w:val="18"/>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52.33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Company’s Class B common stock is not publicly traded and is held of record by members of the Reilly family and the Reilly Family Limited Partnership (the “RFLP”). Kevin P. Reilly, Jr., our President and Chairman of the Board, is the managing general partner of the RFLP and Sean E. Reilly, our Chief Executive Officer, and Wendell Reilly and Anna Reilly, each of whom is a member of our board of directors are also general partners in the RFLP.</w:t>
      </w:r>
    </w:p>
    <w:p>
      <w:pPr>
        <w:spacing w:after="0" w:line="14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Company’s Series AA preferred stock is entitled to preferential dividends, in an annual aggregate amount of $364,904, before any dividends may be paid on the common stock. All dividends related to the Company’s preferred stock are paid on a quarterly basis. In addition, the Company’s senior credit facility and other indebtedness have terms restricting the payment of dividends.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REIT, we must annually distribute to our common stockholders an amount equal to at least 90% of our REIT taxable income (determined before the deduction for distributed earnings and excluding any net capital gain). Generally, we expect to distribute all or substantially all of our REIT taxable income so as to not be subject to income tax or excise tax on undistributed REIT taxable income. The amount, timing and frequency of future distributions will be at the sole discretion of our Board of Directors and will be declared based upon various factors, a number of which may be beyond our control, including our financial condition and operating cash flows, the amount required to maintain REIT status and reduce any income and excise taxes that we otherwise would be required to pay, limitations on distributions in our existing and future debt instruments, our ability to utilize net operating losses (“NOLs”) to offset our distribution requirements, limitations on our ability to fund distributions using cash generated through our TRSs and other factors that our Board of Directors may deem relevant.</w:t>
      </w:r>
    </w:p>
    <w:p>
      <w:pPr>
        <w:spacing w:after="0" w:line="19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During the year ended December 31, 2014, we declared and paid the following regular cash distributions to the holders of our Class A and Class B common stock:</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266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rPr>
              <w:t>Payment Date</w:t>
            </w:r>
          </w:p>
        </w:tc>
        <w:tc>
          <w:tcPr>
            <w:tcW w:w="2660" w:type="dxa"/>
            <w:vAlign w:val="bottom"/>
            <w:gridSpan w:val="2"/>
            <w:vMerge w:val="restart"/>
          </w:tcPr>
          <w:p>
            <w:pPr>
              <w:jc w:val="right"/>
              <w:ind w:right="1160"/>
              <w:spacing w:after="0"/>
              <w:rPr>
                <w:sz w:val="20"/>
                <w:szCs w:val="20"/>
                <w:color w:val="auto"/>
              </w:rPr>
            </w:pPr>
            <w:r>
              <w:rPr>
                <w:rFonts w:ascii="Arial" w:cs="Arial" w:eastAsia="Arial" w:hAnsi="Arial"/>
                <w:sz w:val="14"/>
                <w:szCs w:val="14"/>
                <w:b w:val="1"/>
                <w:bCs w:val="1"/>
                <w:color w:val="auto"/>
              </w:rPr>
              <w:t>Record Date</w:t>
            </w:r>
          </w:p>
        </w:tc>
        <w:tc>
          <w:tcPr>
            <w:tcW w:w="10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per share</w:t>
            </w:r>
          </w:p>
        </w:tc>
        <w:tc>
          <w:tcPr>
            <w:tcW w:w="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May 21, 2014</w:t>
            </w:r>
          </w:p>
        </w:tc>
        <w:tc>
          <w:tcPr>
            <w:tcW w:w="20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30, 2014</w:t>
            </w:r>
          </w:p>
        </w:tc>
        <w:tc>
          <w:tcPr>
            <w:tcW w:w="4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1, 2014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August 26, 2014</w:t>
            </w:r>
          </w:p>
        </w:tc>
        <w:tc>
          <w:tcPr>
            <w:tcW w:w="2660" w:type="dxa"/>
            <w:vAlign w:val="bottom"/>
            <w:gridSpan w:val="2"/>
          </w:tcPr>
          <w:p>
            <w:pPr>
              <w:jc w:val="right"/>
              <w:ind w:right="460"/>
              <w:spacing w:after="0"/>
              <w:rPr>
                <w:sz w:val="20"/>
                <w:szCs w:val="20"/>
                <w:color w:val="auto"/>
              </w:rPr>
            </w:pPr>
            <w:r>
              <w:rPr>
                <w:rFonts w:ascii="Arial" w:cs="Arial" w:eastAsia="Arial" w:hAnsi="Arial"/>
                <w:sz w:val="18"/>
                <w:szCs w:val="18"/>
                <w:color w:val="auto"/>
              </w:rPr>
              <w:t>September 30,2014</w:t>
            </w:r>
          </w:p>
        </w:tc>
        <w:tc>
          <w:tcPr>
            <w:tcW w:w="2660" w:type="dxa"/>
            <w:vAlign w:val="bottom"/>
            <w:gridSpan w:val="2"/>
          </w:tcPr>
          <w:p>
            <w:pPr>
              <w:jc w:val="right"/>
              <w:ind w:right="440"/>
              <w:spacing w:after="0"/>
              <w:rPr>
                <w:sz w:val="20"/>
                <w:szCs w:val="20"/>
                <w:color w:val="auto"/>
              </w:rPr>
            </w:pPr>
            <w:r>
              <w:rPr>
                <w:rFonts w:ascii="Arial" w:cs="Arial" w:eastAsia="Arial" w:hAnsi="Arial"/>
                <w:sz w:val="18"/>
                <w:szCs w:val="18"/>
                <w:color w:val="auto"/>
              </w:rPr>
              <w:t>September 22,2014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11, 2014</w:t>
            </w:r>
          </w:p>
        </w:tc>
        <w:tc>
          <w:tcPr>
            <w:tcW w:w="2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December 30, 2014</w:t>
            </w:r>
          </w:p>
        </w:tc>
        <w:tc>
          <w:tcPr>
            <w:tcW w:w="2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December 22, 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ended December 31, 2013 and 2012, there were no dividends declared on its common stock.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December 11, 2014, the Company announced that its Board of Directors had approved a stock repurchase program authorizing the repurchase of up to $250 million of the Company’s Class A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repurchases of its securities during the quarter ended December 31,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580" w:type="dxa"/>
            <w:vAlign w:val="bottom"/>
          </w:tcPr>
          <w:p>
            <w:pPr>
              <w:spacing w:after="0"/>
              <w:rPr>
                <w:sz w:val="14"/>
                <w:szCs w:val="14"/>
                <w:color w:val="auto"/>
              </w:rPr>
            </w:pP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5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as Part of</w:t>
            </w:r>
          </w:p>
        </w:tc>
        <w:tc>
          <w:tcPr>
            <w:tcW w:w="1640" w:type="dxa"/>
            <w:vAlign w:val="bottom"/>
            <w:gridSpan w:val="3"/>
          </w:tcPr>
          <w:p>
            <w:pPr>
              <w:jc w:val="center"/>
              <w:ind w:left="448"/>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5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5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640" w:type="dxa"/>
            <w:vAlign w:val="bottom"/>
            <w:vMerge w:val="restart"/>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5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3640" w:type="dxa"/>
            <w:vAlign w:val="bottom"/>
            <w:tcBorders>
              <w:bottom w:val="single" w:sz="8" w:color="CCEEFF"/>
            </w:tcBorders>
            <w:vMerge w:val="continue"/>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Per Share</w:t>
            </w:r>
          </w:p>
        </w:tc>
        <w:tc>
          <w:tcPr>
            <w:tcW w:w="5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5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through December 31, 2014</w:t>
            </w:r>
          </w:p>
        </w:tc>
        <w:tc>
          <w:tcPr>
            <w:tcW w:w="1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$ 250,000,000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selected consolidated statement of operations, statement of cash flows and balance sheet data presented below are derived from the year ended December 31 audited consolidated financial statements of the Company, which are prepared in accordance with accounting principles generally accepted in the United States (“GAAP”). The data presented below should be read in conjunction with the audited consolidated financial statements, related notes and Management’s Discussion and Analysis of Financial Condition and Results of Operations included herein.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revenues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1,287,060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1,245,842</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1,179,736</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1,130,714</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1,094,146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Direct advertising expenses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453,269</w:t>
            </w:r>
          </w:p>
        </w:tc>
        <w:tc>
          <w:tcPr>
            <w:tcW w:w="100" w:type="dxa"/>
            <w:vAlign w:val="bottom"/>
          </w:tcPr>
          <w:p>
            <w:pPr>
              <w:spacing w:after="0"/>
              <w:rPr>
                <w:sz w:val="18"/>
                <w:szCs w:val="18"/>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436,844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418,538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409,052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398,467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299,878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288,786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264,406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258,435</w:t>
            </w:r>
          </w:p>
        </w:tc>
        <w:tc>
          <w:tcPr>
            <w:tcW w:w="100" w:type="dxa"/>
            <w:vAlign w:val="bottom"/>
          </w:tcPr>
          <w:p>
            <w:pPr>
              <w:spacing w:after="0"/>
              <w:rPr>
                <w:sz w:val="18"/>
                <w:szCs w:val="18"/>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300,579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296,083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299,639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disposition of assets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1,008,390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1,022,405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965,210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947,113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278,670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223,437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214,526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183,601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141,363</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14,345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Other-than-temporary impairment of investment</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105,254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146,277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157,093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171,093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186,048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160,457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198,394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Income (loss) before income taxes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143,426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22,841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(22,746)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253,518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dividends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 (loss) applicable to common stock</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253,153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0.42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 Data:</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452,529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394,705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375,909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318,821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163,997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191,869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303,399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117,255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flows used in financing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294,315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227,195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47,417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259,442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302,429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15"/>
                <w:szCs w:val="15"/>
                <w:b w:val="1"/>
                <w:bCs w:val="1"/>
                <w:color w:val="auto"/>
              </w:rPr>
              <w:t>(1)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26,035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33,212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58,911</w:t>
            </w:r>
          </w:p>
        </w:tc>
        <w:tc>
          <w:tcPr>
            <w:tcW w:w="3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33,503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36,705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3,318,818</w:t>
            </w:r>
          </w:p>
        </w:tc>
        <w:tc>
          <w:tcPr>
            <w:tcW w:w="100" w:type="dxa"/>
            <w:vAlign w:val="bottom"/>
          </w:tcPr>
          <w:p>
            <w:pPr>
              <w:spacing w:after="0"/>
              <w:rPr>
                <w:sz w:val="18"/>
                <w:szCs w:val="18"/>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3,401,618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3,514,030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3,427,353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3,648,961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debt (including current maturities)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1,899,895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87"/>
              </w:rPr>
              <w:t>1,938,802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2,160,854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2,158,528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2,409,140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long-term obligations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2,112,011</w:t>
            </w:r>
          </w:p>
        </w:tc>
        <w:tc>
          <w:tcPr>
            <w:tcW w:w="100" w:type="dxa"/>
            <w:vAlign w:val="bottom"/>
          </w:tcPr>
          <w:p>
            <w:pPr>
              <w:spacing w:after="0"/>
              <w:rPr>
                <w:sz w:val="18"/>
                <w:szCs w:val="18"/>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2,223,319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2,433,297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2,419,802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2,670,730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981,466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932,946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861,625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827,721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20" w:right="3160" w:hanging="5612"/>
        <w:spacing w:after="0" w:line="449" w:lineRule="auto"/>
        <w:tabs>
          <w:tab w:leader="none" w:pos="450" w:val="left"/>
        </w:tabs>
        <w:numPr>
          <w:ilvl w:val="0"/>
          <w:numId w:val="15"/>
        </w:numPr>
        <w:rPr>
          <w:rFonts w:ascii="Arial" w:cs="Arial" w:eastAsia="Arial" w:hAnsi="Arial"/>
          <w:sz w:val="15"/>
          <w:szCs w:val="15"/>
          <w:color w:val="auto"/>
        </w:rPr>
      </w:pPr>
      <w:r>
        <w:rPr>
          <w:rFonts w:ascii="Arial" w:cs="Arial" w:eastAsia="Arial" w:hAnsi="Arial"/>
          <w:sz w:val="18"/>
          <w:szCs w:val="18"/>
          <w:color w:val="auto"/>
        </w:rPr>
        <w:t>Certain balance sheet reclassifications were made in order to be comparable to the current year presentation. 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This report contains forward-looking statements. These statements are subject to risks and uncertainties including those described in Item 1A under the heading “Risk Factors,” and elsewhere in this Annual Report, that could cause actual results to differ materially from those projected in these forward-looking statements. The Company cautions investors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following is a discussion of the consolidated financial condition and results of operations of the Company for the years ended December 31, 2014, 2013 and 2012. This discussion should be read in conjunction with the consolidated financial statements of the Company and the related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Historically, the Company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 below. During the year ended December 31, 2014, the Company completed acquisitions for a total cash purchase price of approximately $65.0 million.</w:t>
      </w:r>
    </w:p>
    <w:p>
      <w:pPr>
        <w:spacing w:after="0" w:line="18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past three years: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Billboard — Traditional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21,295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Billboard — Digital</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53,536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42,134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Logos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Transit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PP&amp;E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9,368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12,615</w:t>
            </w:r>
          </w:p>
        </w:tc>
      </w:tr>
      <w:tr>
        <w:trPr>
          <w:trHeight w:val="27"/>
        </w:trPr>
        <w:tc>
          <w:tcPr>
            <w:tcW w:w="4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capital expenditures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107,573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105,650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105,570</w:t>
            </w:r>
          </w:p>
        </w:tc>
      </w:tr>
      <w:tr>
        <w:trPr>
          <w:trHeight w:val="20"/>
        </w:trPr>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our capital expenditures to be approximately $100 million in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We define Adjusted EBITDA as net income before income tax expense (benefit), interest expense (income), gain (loss) on extinguishment of debt and investments, stock-based compensation, depreciation and amortization and gain or loss on disposition of assets and investments.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non-controlling interest.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We define AFFO as FFO before (i) straight-line revenue and expense; (ii) stock-based compensation expense; (iii) non-cash tax expense (benefit);</w:t>
      </w:r>
    </w:p>
    <w:p>
      <w:pPr>
        <w:spacing w:after="0" w:line="3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non-real estate related depreciation and amortization; (v) amortization of deferred financing and debt issuance costs, (vi) loss on extinguishment of debt;</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non-recurring infrequent or unusual losses (gains); (viii) less maintenance capital expenditures; and (ix) an adjustment for non-controlling interest.</w:t>
      </w:r>
    </w:p>
    <w:p>
      <w:pPr>
        <w:spacing w:after="0" w:line="22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5"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 making and for evaluating our core operating results;</w:t>
      </w:r>
    </w:p>
    <w:p>
      <w:pPr>
        <w:spacing w:after="0" w:line="5" w:lineRule="exact"/>
        <w:rPr>
          <w:sz w:val="20"/>
          <w:szCs w:val="20"/>
          <w:color w:val="auto"/>
        </w:rPr>
      </w:pPr>
    </w:p>
    <w:p>
      <w:pPr>
        <w:ind w:right="40" w:firstLine="8"/>
        <w:spacing w:after="0" w:line="252"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 over period results on a more consistent basis without the effects of acquisitions and divestures, which reflects our core performance and organic growth (if any) during the period in which the assets were owned and managed by us; (4) Adjusted EBITDA, FFO and AFFO each provides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9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certain items in the Consolidated Statements of Operations as a percentage of net revenues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2013 and 2012:</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advertising expenses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35.2</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17.9</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18.6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expenses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20.1</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24.1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Net revenues increased $41.2 million or 3.3% to $1.29 billion for the year ended December 31, 2014 from $1.25 billion for the same period in 2013. This increase was attributable primarily to an increase in billboard net revenues of $35.7 million or 3.2% over the prior period, which is primarily related to an increase in billboard units obtained through acquisitions in 2013 and 2014 as well as the addition of approximately 200 digital units during the year, an increase in logo sign revenue of $4.0 million, which represents an increase of 6.0% over the prior period due to the addition of the Wisconsin Logo program during 2014, and a $1.5 million increase in transit revenue, which represents an increase of 2.0% over the prior period.</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For the year ended December 31, 2014, there was a $28.6 million increase in net revenues as compared to acquisition-adjusted net revenue for the year ended December 31, 2013. The $28.6 million increase in revenue primarily consists of a $25.3 million increase in billboard revenue, a $3.6 million increase in logo revenue and a $0.3 million decrease in transit revenue over the acquisition-adjusted net revenue for the comparable period in 2013. The increase in revenue represents an increase of 2.3% over the comparable period in 2013. See “Reconciliations” below.</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expenses, exclusive of depreciation and amortization and gain on sale of assets, increased $27.5 million or 3.8% to $753.1 million for the year ended December 31, 2014. Operating expenses related to the operations of our outdoor advertising assets increased $15.7 million and corporate expenses increased $11.8 million. Included in corporate expenses is approximately $3.1 million related to the Company’s conversion to real estate investment trust status.</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Depreciation and amortization expense decreased $42.1 million for the year ended December 31, 2014 as compared to the year ended December 31, 2013, primarily due to a significant number of assets purchased in the third quarter of 1999 being fully amortized.</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Due primarily to the above factors, operating income increased $55.2 million to $278.7 million for the year ended December 31, 2014 compared to $223.4 million for the same period in 2013.</w:t>
      </w:r>
    </w:p>
    <w:p>
      <w:pPr>
        <w:spacing w:after="0" w:line="17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During the year ended December 31, 2014, the Company recognized a $26.0 million loss on debt extinguishment related to the early extinguishment of Lamar Media’s 7 7/8% Senior Subordinated Notes due 2018 and the amendment of its senior credit facility. Approximately $10.3 million of the loss is a non-cash expense attributable to the write off of unamortized debt issuance fees associated with the retired debt and the then existing senior credit facility. See — </w:t>
      </w:r>
      <w:r>
        <w:rPr>
          <w:rFonts w:ascii="Arial" w:cs="Arial" w:eastAsia="Arial" w:hAnsi="Arial"/>
          <w:sz w:val="18"/>
          <w:szCs w:val="18"/>
          <w:i w:val="1"/>
          <w:iCs w:val="1"/>
          <w:color w:val="auto"/>
        </w:rPr>
        <w:t xml:space="preserve">“Uses of Cash </w:t>
      </w:r>
      <w:r>
        <w:rPr>
          <w:rFonts w:ascii="Arial" w:cs="Arial" w:eastAsia="Arial" w:hAnsi="Arial"/>
          <w:sz w:val="18"/>
          <w:szCs w:val="18"/>
          <w:color w:val="auto"/>
        </w:rPr>
        <w:t>—</w:t>
      </w:r>
      <w:r>
        <w:rPr>
          <w:rFonts w:ascii="Arial" w:cs="Arial" w:eastAsia="Arial" w:hAnsi="Arial"/>
          <w:sz w:val="18"/>
          <w:szCs w:val="18"/>
          <w:i w:val="1"/>
          <w:iCs w:val="1"/>
          <w:color w:val="auto"/>
        </w:rPr>
        <w:t xml:space="preserve"> Tender Offers and Debt Repayment” </w:t>
      </w:r>
      <w:r>
        <w:rPr>
          <w:rFonts w:ascii="Arial" w:cs="Arial" w:eastAsia="Arial" w:hAnsi="Arial"/>
          <w:sz w:val="18"/>
          <w:szCs w:val="18"/>
          <w:color w:val="auto"/>
        </w:rPr>
        <w:t>for more information.</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Interest expense decreased approximately $41.0 million from $146.3 million for the year ended December 31, 2013 to $105.3 million for the year ended December 31, 2014, due to the reduction in total debt outstanding as well as a decrease in interest rates resulting from the Company’s 2013 and 2014 refinancing transactions. See —</w:t>
      </w:r>
      <w:r>
        <w:rPr>
          <w:rFonts w:ascii="Arial" w:cs="Arial" w:eastAsia="Arial" w:hAnsi="Arial"/>
          <w:sz w:val="18"/>
          <w:szCs w:val="18"/>
          <w:i w:val="1"/>
          <w:iCs w:val="1"/>
          <w:color w:val="auto"/>
        </w:rPr>
        <w:t>“Uses of Cash</w:t>
      </w:r>
      <w:r>
        <w:rPr>
          <w:rFonts w:ascii="Arial" w:cs="Arial" w:eastAsia="Arial" w:hAnsi="Arial"/>
          <w:sz w:val="18"/>
          <w:szCs w:val="18"/>
          <w:color w:val="auto"/>
        </w:rPr>
        <w:t xml:space="preserve"> — </w:t>
      </w:r>
      <w:r>
        <w:rPr>
          <w:rFonts w:ascii="Arial" w:cs="Arial" w:eastAsia="Arial" w:hAnsi="Arial"/>
          <w:sz w:val="18"/>
          <w:szCs w:val="18"/>
          <w:i w:val="1"/>
          <w:iCs w:val="1"/>
          <w:color w:val="auto"/>
        </w:rPr>
        <w:t>Tender Offers and Debt Repayment”</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increase in operating income and decrease in interest expense, offset by the increase in loss on extinguishment of debt over the comparable period in 2013, resulted in an $80.4 million increase in net income before income taxes. The Company recorded an income tax benefit of $110.1 million for the year ended December 31, 2014, which is primarily the write off of a substantial amount of the Company’s deferred tax liabilities resulting from the Company’s conversion to a real estate investment trust.</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year ended December 31, 2014 of $253.5 million, as compared to net income of $40.1 million for the same period in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Because acquisitions occurring after December 31, 2012 (the “acquired assets”) have contributed to our net revenue results for the periods presented, we provide 2013 acquisition-adjusted net revenue, which adjusts our 2013 net revenue for the year ended December 31, 2013 by adding to or subtracting from it the net revenue generated by the acquired or divested assets prior to our acquisition or divestiture of these assets for the same time frame that those assets were owned in the year ended December 31, 2014.</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Reconciliations of 2013 reported net revenue to 2013 acquisition-adjusted net revenue for the year ended December 31, 2013 as well as a comparison of 2013 acquisition-adjusted net revenue to 2014 reported net revenue for the year ended December 31, 2014, are provided below:</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4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Year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1260" w:type="dxa"/>
            <w:vAlign w:val="bottom"/>
            <w:tcBorders>
              <w:top w:val="single" w:sz="8" w:color="auto"/>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80" w:type="dxa"/>
            <w:vAlign w:val="bottom"/>
            <w:gridSpan w:val="3"/>
          </w:tcPr>
          <w:p>
            <w:pPr>
              <w:jc w:val="right"/>
              <w:ind w:right="51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Reported net revenue</w:t>
            </w:r>
          </w:p>
        </w:tc>
        <w:tc>
          <w:tcPr>
            <w:tcW w:w="4340" w:type="dxa"/>
            <w:vAlign w:val="bottom"/>
            <w:gridSpan w:val="2"/>
            <w:shd w:val="clear" w:color="auto" w:fill="CCEEFF"/>
          </w:tcPr>
          <w:p>
            <w:pPr>
              <w:jc w:val="center"/>
              <w:ind w:left="3430"/>
              <w:spacing w:after="0"/>
              <w:rPr>
                <w:sz w:val="20"/>
                <w:szCs w:val="20"/>
                <w:color w:val="auto"/>
              </w:rPr>
            </w:pPr>
            <w:r>
              <w:rPr>
                <w:rFonts w:ascii="Arial" w:cs="Arial" w:eastAsia="Arial" w:hAnsi="Arial"/>
                <w:sz w:val="18"/>
                <w:szCs w:val="18"/>
                <w:color w:val="auto"/>
                <w:w w:val="90"/>
              </w:rPr>
              <w:t>$1,287,060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Acquisition net revenue</w:t>
            </w:r>
          </w:p>
        </w:tc>
        <w:tc>
          <w:tcPr>
            <w:tcW w:w="3520" w:type="dxa"/>
            <w:vAlign w:val="bottom"/>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Adjusted totals</w:t>
            </w:r>
          </w:p>
        </w:tc>
        <w:tc>
          <w:tcPr>
            <w:tcW w:w="4340" w:type="dxa"/>
            <w:vAlign w:val="bottom"/>
            <w:gridSpan w:val="2"/>
            <w:shd w:val="clear" w:color="auto" w:fill="CCEEFF"/>
          </w:tcPr>
          <w:p>
            <w:pPr>
              <w:jc w:val="center"/>
              <w:ind w:left="34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1,287,060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1,258,483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520" w:type="dxa"/>
            <w:vAlign w:val="bottom"/>
            <w:vMerge w:val="restart"/>
          </w:tcPr>
          <w:p>
            <w:pPr>
              <w:jc w:val="right"/>
              <w:ind w:right="1990"/>
              <w:spacing w:after="0"/>
              <w:rPr>
                <w:sz w:val="20"/>
                <w:szCs w:val="20"/>
                <w:color w:val="auto"/>
              </w:rPr>
            </w:pPr>
            <w:r>
              <w:rPr>
                <w:rFonts w:ascii="Arial" w:cs="Arial" w:eastAsia="Arial" w:hAnsi="Arial"/>
                <w:sz w:val="18"/>
                <w:szCs w:val="18"/>
                <w:color w:val="auto"/>
              </w:rPr>
              <w:t>26</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Amount of</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r>
      <w:tr>
        <w:trPr>
          <w:trHeight w:val="185"/>
        </w:trPr>
        <w:tc>
          <w:tcPr>
            <w:tcW w:w="6060" w:type="dxa"/>
            <w:vAlign w:val="bottom"/>
          </w:tcPr>
          <w:p>
            <w:pPr>
              <w:spacing w:after="0"/>
              <w:rPr>
                <w:sz w:val="16"/>
                <w:szCs w:val="16"/>
                <w:color w:val="auto"/>
              </w:rPr>
            </w:pPr>
          </w:p>
        </w:tc>
        <w:tc>
          <w:tcPr>
            <w:tcW w:w="21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9"/>
              </w:rPr>
              <w:t>Year Ended December 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Increase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60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$ 253,518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213,379</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(110,092)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22,841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(132,933)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on other-than-temporary impairment of investment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4,069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26,023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14,345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11,678</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105,152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146,112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(40,960)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Gain on disposition of assets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612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258,435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300,579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(42,144)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24,120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24,936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(816)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
        </w:trPr>
        <w:tc>
          <w:tcPr>
            <w:tcW w:w="60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$ 558,033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545,148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12,885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0"/>
        </w:trPr>
        <w:tc>
          <w:tcPr>
            <w:tcW w:w="60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Adjusted EBITDA for the year ended December 31, 2014 increased 2.4% to $558.0 million. The increase in Adjusted EBITDA was primarily attributable to the increase in our gross margin (net revenue less direct advertising expense) of $24.8 million, and was partially offset by an increase in general administrative and corporate expenses of $11.9 million, excluding the impact of stock-based compensation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Amount of</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r>
      <w:tr>
        <w:trPr>
          <w:trHeight w:val="185"/>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3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6"/>
                <w:szCs w:val="16"/>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Increase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$ 253,518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213,379</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531.6%</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241,294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283,424</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(42,130)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or disposal of real estate</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One time adjustment to taxes related to REIT conversion</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(120,081)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(120,081)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FFO</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$ 372,745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322,529</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50,216</w:t>
            </w:r>
          </w:p>
        </w:tc>
        <w:tc>
          <w:tcPr>
            <w:tcW w:w="4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Straight line expense</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24,120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24,936</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(816)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Non-cash portion of tax provision</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18,749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(20,805)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17,141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17,155</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14,667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(9,890)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Loss on other-than-temporary impairment of investment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4,069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26,023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14,345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(56,820)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(64,073)</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7,253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AFFO</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$ 388,463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346,181</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42,282</w:t>
            </w:r>
          </w:p>
        </w:tc>
        <w:tc>
          <w:tcPr>
            <w:tcW w:w="4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FFO for the year ended December 31, 2014 was $372.7 million as compared to FFO of $322.5 million for the same period in 2013. AFFO for the year ended December 31, 2014 increased 12.2% to $388.5 million as compared to $346.2 million for the same period in 2013. AFFO growth was primarily attributable to the increase in our gross margin (net revenue less direct advertising expense) and decrease in interest expense, partially offset by increases in general and administrative expenses and corporate expenses.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Net revenues increased $66.1 million or 5.6% to $1.25 billion for the year ended December 31, 2013 from $1.18 billion for the same period in 2012. This increase was attributable primarily to an increase in billboard net revenues of $52.1 million or 5.0% over the prior period, which reflects an increase in advertising rate of 1%, occupancy remaining relatively constant and growth attributable to the addition of 100 additional digital billboard displays, an increase in logo sign revenue of $6.0 million, which represents an increase of 9.5% over the prior period; and an $8.0 million increase in transit revenue, which represents an increase of 11.8% over the prior period.</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For the year ended December 31, 2013, there was a $26.9 million increase in net revenues as compared to acquisition-adjusted net revenue for the year ended December 31, 2012. The $26.9 million increase in revenue primarily consists of a $19.4 million increase in billboard revenue, a $3.6 million increase in logo revenue and a $4.0 million increase in transit revenue over the acquisition-adjusted net revenue for the comparable period in 2012. This increase in revenue represents an increase of 2.2% over the comparable period in 2012. See “Reconciliations” below.</w:t>
      </w:r>
    </w:p>
    <w:p>
      <w:pPr>
        <w:spacing w:after="0" w:line="17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Operating expenses, exclusive of depreciation and amortization and gain on sale of assets, increased $42.7 million or 6.2% to $725.6 million for the year ended December 31, 2013, which includes a $10.5 million increase in non-cash compensation. Excluding non-cash compensation, operating expenses related to the operations of our outdoor advertising assets increased $28.3 million and corporate expenses increased $3.9 million, of which $2.1 million is related to the Company’s evaluation of an election to real estate investment trust status.</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Depreciation and amortization expense increased $4.5 million for the year ended December 31, 2013 as compared to the year ended December 31, 2012, primarily due to the Company’s capital expenditures.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During the year ended December 31, 2013, gain on disposition of assets decreased $10.0 million over the comparable period ended December 31, 2012, primarily due to a gain of $9.8 million related to two asset swap transactions, which occurred in 2012.</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Due to the above factors, operating income increased $8.9 million to $223.4 million for the year ended December 31, 2013 compared to $214.5 million for the same period in 2012.</w:t>
      </w:r>
    </w:p>
    <w:p>
      <w:pPr>
        <w:spacing w:after="0" w:line="170"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 xml:space="preserve">During the year ended December 31, 2013, the Company recognized a $14.3 million loss on debt extinguishment related to the early extinguishment of Lamar Media’s 9 3/4% Senior Notes due 2014. Approximately $4.0 million of the loss is a non-cash expense attributable to the write off of unamortized debt issuance fees and unamortized discounts associated with the retired debt. See — </w:t>
      </w:r>
      <w:r>
        <w:rPr>
          <w:rFonts w:ascii="Arial" w:cs="Arial" w:eastAsia="Arial" w:hAnsi="Arial"/>
          <w:sz w:val="16"/>
          <w:szCs w:val="16"/>
          <w:i w:val="1"/>
          <w:iCs w:val="1"/>
          <w:color w:val="auto"/>
        </w:rPr>
        <w:t>“Uses of Cash</w:t>
      </w:r>
      <w:r>
        <w:rPr>
          <w:rFonts w:ascii="Arial" w:cs="Arial" w:eastAsia="Arial" w:hAnsi="Arial"/>
          <w:sz w:val="16"/>
          <w:szCs w:val="16"/>
          <w:color w:val="auto"/>
        </w:rPr>
        <w:t xml:space="preserve"> — </w:t>
      </w:r>
      <w:r>
        <w:rPr>
          <w:rFonts w:ascii="Arial" w:cs="Arial" w:eastAsia="Arial" w:hAnsi="Arial"/>
          <w:sz w:val="16"/>
          <w:szCs w:val="16"/>
          <w:i w:val="1"/>
          <w:iCs w:val="1"/>
          <w:color w:val="auto"/>
        </w:rPr>
        <w:t>Tender Offers and Debt Repayment”</w:t>
      </w:r>
      <w:r>
        <w:rPr>
          <w:rFonts w:ascii="Arial" w:cs="Arial" w:eastAsia="Arial" w:hAnsi="Arial"/>
          <w:sz w:val="16"/>
          <w:szCs w:val="16"/>
          <w:color w:val="auto"/>
        </w:rPr>
        <w:t xml:space="preserve"> for more information.</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Interest expense decreased approximately $10.8 million from $157.1 million for the year ended December 31, 2012 to $146.3 million for the year ended December 31, 2013, due to the reduction in total debt outstanding as well as a decrease in interest rates resulting from the Company’s 2012 refinancing transactions. See —</w:t>
      </w:r>
      <w:r>
        <w:rPr>
          <w:rFonts w:ascii="Arial" w:cs="Arial" w:eastAsia="Arial" w:hAnsi="Arial"/>
          <w:sz w:val="18"/>
          <w:szCs w:val="18"/>
          <w:i w:val="1"/>
          <w:iCs w:val="1"/>
          <w:color w:val="auto"/>
        </w:rPr>
        <w:t>“Uses of Cash</w:t>
      </w:r>
      <w:r>
        <w:rPr>
          <w:rFonts w:ascii="Arial" w:cs="Arial" w:eastAsia="Arial" w:hAnsi="Arial"/>
          <w:sz w:val="18"/>
          <w:szCs w:val="18"/>
          <w:color w:val="auto"/>
        </w:rPr>
        <w:t xml:space="preserve"> — </w:t>
      </w:r>
      <w:r>
        <w:rPr>
          <w:rFonts w:ascii="Arial" w:cs="Arial" w:eastAsia="Arial" w:hAnsi="Arial"/>
          <w:sz w:val="18"/>
          <w:szCs w:val="18"/>
          <w:i w:val="1"/>
          <w:iCs w:val="1"/>
          <w:color w:val="auto"/>
        </w:rPr>
        <w:t>Tender Offers and Debt Repayment”</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ind w:right="440" w:firstLine="456"/>
        <w:spacing w:after="0" w:line="257" w:lineRule="auto"/>
        <w:rPr>
          <w:sz w:val="20"/>
          <w:szCs w:val="20"/>
          <w:color w:val="auto"/>
        </w:rPr>
      </w:pPr>
      <w:r>
        <w:rPr>
          <w:rFonts w:ascii="Arial" w:cs="Arial" w:eastAsia="Arial" w:hAnsi="Arial"/>
          <w:sz w:val="18"/>
          <w:szCs w:val="18"/>
          <w:color w:val="auto"/>
        </w:rPr>
        <w:t>The increase in operating income, decrease in interest expense and decrease in loss on extinguishment of debt over the comparable period in 2012 resulted in a $46.8 million increase in net income before income taxes. The Company recorded income tax expense of $22.8 million for the year ended December 31, 2013. The effective tax rate for the year ended December 31, 2013 was 36.3%, which is lower than the statutory rates primarily due to an increase in the corporate income tax rate in Puerto Rico from 30% to 39%, which resulted in a change to the carrying value of net operating loss carryforwards during the period.</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year ended December 31, 2013 of $40.1 million, as compared to net income of $7.9 million for the same period in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Because acquisitions occurring after December 31, 2011 (the “acquired assets”) have contributed to our net revenue results for the periods presented, we provide 2012 acquisition-adjusted net revenue, which adjusts our 2012 net revenue for the year ended December 31, 2012 by adding to or subtracting from it the net revenue generated by the acquired or divested assets prior to our acquisition or divestiture of these assets for the same time frame that those assets were owned in the year ended December 31, 2013.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Reconciliations of 2012 reported net revenue to 2012 acquisition-adjusted net revenue for the year ended December 31, 2012 as well as a comparison of 2012 acquisition-adjusted net revenue to 2013 reported net revenue for the year ended December 31, 2013, are provided below:</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4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Year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ind w:left="142"/>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6"/>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Reported 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$1,245,842</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$1,179,736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Acquisition net revenue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39,174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Adjusted totals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1,245,842</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1,218,910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Pr>
          <w:p>
            <w:pPr>
              <w:spacing w:after="0"/>
              <w:rPr>
                <w:sz w:val="16"/>
                <w:szCs w:val="16"/>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40" w:type="dxa"/>
            <w:vAlign w:val="bottom"/>
            <w:tcBorders>
              <w:bottom w:val="single" w:sz="8" w:color="CCEEFF"/>
            </w:tcBorders>
            <w:gridSpan w:val="2"/>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7,890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$ 32,249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22,841</w:t>
            </w:r>
          </w:p>
        </w:tc>
        <w:tc>
          <w:tcPr>
            <w:tcW w:w="4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8,242</w:t>
            </w:r>
          </w:p>
        </w:tc>
        <w:tc>
          <w:tcPr>
            <w:tcW w:w="1260" w:type="dxa"/>
            <w:vAlign w:val="bottom"/>
            <w:gridSpan w:val="4"/>
          </w:tcPr>
          <w:p>
            <w:pPr>
              <w:jc w:val="right"/>
              <w:ind w:right="340"/>
              <w:spacing w:after="0"/>
              <w:rPr>
                <w:sz w:val="20"/>
                <w:szCs w:val="20"/>
                <w:color w:val="auto"/>
              </w:rPr>
            </w:pPr>
            <w:r>
              <w:rPr>
                <w:rFonts w:ascii="Arial" w:cs="Arial" w:eastAsia="Arial" w:hAnsi="Arial"/>
                <w:sz w:val="18"/>
                <w:szCs w:val="18"/>
                <w:color w:val="auto"/>
              </w:rPr>
              <w:t>14,599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debt extinguishment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14,345</w:t>
            </w: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41,632</w:t>
            </w:r>
          </w:p>
        </w:tc>
        <w:tc>
          <w:tcPr>
            <w:tcW w:w="12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(27,287)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146,112</w:t>
            </w:r>
          </w:p>
        </w:tc>
        <w:tc>
          <w:tcPr>
            <w:tcW w:w="4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156,762</w:t>
            </w:r>
          </w:p>
        </w:tc>
        <w:tc>
          <w:tcPr>
            <w:tcW w:w="1260" w:type="dxa"/>
            <w:vAlign w:val="bottom"/>
            <w:gridSpan w:val="4"/>
          </w:tcPr>
          <w:p>
            <w:pPr>
              <w:jc w:val="right"/>
              <w:ind w:right="280"/>
              <w:spacing w:after="0"/>
              <w:rPr>
                <w:sz w:val="20"/>
                <w:szCs w:val="20"/>
                <w:color w:val="auto"/>
              </w:rPr>
            </w:pPr>
            <w:r>
              <w:rPr>
                <w:rFonts w:ascii="Arial" w:cs="Arial" w:eastAsia="Arial" w:hAnsi="Arial"/>
                <w:sz w:val="18"/>
                <w:szCs w:val="18"/>
                <w:color w:val="auto"/>
              </w:rPr>
              <w:t>(10,650)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disposition of assets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(3,804)</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(13,817)</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10,013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300,579</w:t>
            </w:r>
          </w:p>
        </w:tc>
        <w:tc>
          <w:tcPr>
            <w:tcW w:w="4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296,083</w:t>
            </w:r>
          </w:p>
        </w:tc>
        <w:tc>
          <w:tcPr>
            <w:tcW w:w="1260" w:type="dxa"/>
            <w:vAlign w:val="bottom"/>
            <w:gridSpan w:val="4"/>
          </w:tcPr>
          <w:p>
            <w:pPr>
              <w:jc w:val="right"/>
              <w:ind w:right="340"/>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24,936</w:t>
            </w: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14,466</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10,470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545,148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511,258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$ 33,890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Adjusted EBITDA for the year ended December 31, 2013, increased 6.6% to $545.1 million. Adjusted EBITDA increase was primarily attributable to the increase in our gross margin (net revenue less direct advertising expense) of 6.3% offset by increases in general and administrative and corporate expense over the same period in 2012.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its senior credit facility. The Company’s wholly owned subsidiary, Lamar Media Corp., is the principal borrower under the senior credit facility and maintains all corporate operating cash balances. Any cash requirements of the Company, therefore, must be funded by distributions from Lamar Media.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 xml:space="preserve">Total Liquidity at December 31, 2014. </w:t>
      </w:r>
      <w:r>
        <w:rPr>
          <w:rFonts w:ascii="Arial" w:cs="Arial" w:eastAsia="Arial" w:hAnsi="Arial"/>
          <w:sz w:val="17"/>
          <w:szCs w:val="17"/>
          <w:color w:val="auto"/>
        </w:rPr>
        <w:t>As of December 31, 2014 we had approximately $354.2 million of total liquidity, which is comprised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$26.0 million in cash and cash equivalents and approximately $328.2 million of availability under the revolving portion of Lamar Media’s senior credit facility.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7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 xml:space="preserve">Cash Generated by Operations. </w:t>
      </w:r>
      <w:r>
        <w:rPr>
          <w:rFonts w:ascii="Arial" w:cs="Arial" w:eastAsia="Arial" w:hAnsi="Arial"/>
          <w:sz w:val="16"/>
          <w:szCs w:val="16"/>
          <w:color w:val="auto"/>
        </w:rPr>
        <w:t>For the years ended December 31, 2014, 2013, and 2012 our cash provided by operating activities was $452.5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$394.7 million and $375.9 million, respectively. While our net income was approximately $253.5 million for the year ended December 31, 2014, the Company generated cash from operating activities of $452.5 million during 2014 primarily due to adjustments needed to reconcile net income to cash provided by operating activities, which includes depreciation and amortization of $258.4 million, offset by deferred taxes of $122.1 million. We generated cash flows from operations during 2014 in excess of our cash needs for operations and capital expenditures as described herein. We used the excess cash generated principally to pay dividends, reduce our outstanding indebtedness and fund our acquisitions. See — “Cash Flows” for more information.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Credit Facilities</w:t>
      </w:r>
      <w:r>
        <w:rPr>
          <w:rFonts w:ascii="Arial" w:cs="Arial" w:eastAsia="Arial" w:hAnsi="Arial"/>
          <w:sz w:val="17"/>
          <w:szCs w:val="17"/>
          <w:color w:val="auto"/>
        </w:rPr>
        <w:t>. On February 3, 2014, Lamar Media entered into the second restatement agreement with the Company, certain of Lamar Media’s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as guarantors, the lenders named therein and JPMorgan Chase Bank, N.A., as administrative agent, under which the parties agreed to amend and restate Lamar Media’s existing senior credit facility on the terms set forth in the second amended and restated credit agreement included in the second restatement agreement. The senior credit agreement was entered into on April 28, 2010, amended and restated on February 9, 2012 and further amended and restated on February 3, 2014. Among other things, the second amendment and restatement of the senior credit agreement increased the revolving credit facility by $150 million and extended its maturity date to February 2, 2019. On April 18, 2014, Lamar Media entered into Amendment No. 1 to the second amended and restated credit agreement with Lamar Advertising, certain of Lamar Media’s subsidiaries as guarantors, JPMorgan Chase Bank N.A. as Administrative Agent and the Lenders named therein, which is referred to herein as the “senior credit facility”, under which the parties agreed to amend the senior credit facility to create a new $300 million Term A Loan Facility and provide for certain other amendments. The senior credit facility currently consists of a $400 million revolving credit facility, a $300 million Term A Loan facility (the “Term A Loan”) and a $500 million incremental facility. Lamar Media is the borrower under the senior credit facility and may also from time to time designate wholly-owned subsidiaries as subsidiary borrowers under the incremental loan facility. Incremental loans may be in the form of additional term loan tranches or increases in the revolving credit facility. Our lenders have no obligation to make additional loans to us, or any designated subsidiary borrower, under the incremental facility, but may enter into such commitments in their sole discretion.</w:t>
      </w:r>
    </w:p>
    <w:p>
      <w:pPr>
        <w:spacing w:after="0" w:line="18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December 31, 2014, Lamar Media had approximately $328.2 million of unused capacity under the revolving credit facility included in the senior credit facility and the aggregate balance outstanding under the senior credit facility was $353.8 million.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Note Offerings. </w:t>
      </w:r>
      <w:r>
        <w:rPr>
          <w:rFonts w:ascii="Arial" w:cs="Arial" w:eastAsia="Arial" w:hAnsi="Arial"/>
          <w:sz w:val="18"/>
          <w:szCs w:val="18"/>
          <w:color w:val="auto"/>
        </w:rPr>
        <w:t>On January 10, 2014, Lamar Media completed an institutional private placement of $510 million aggregate principal amount of its 5</w:t>
      </w:r>
      <w:r>
        <w:rPr>
          <w:rFonts w:ascii="Arial" w:cs="Arial" w:eastAsia="Arial" w:hAnsi="Arial"/>
          <w:sz w:val="18"/>
          <w:szCs w:val="18"/>
          <w:i w:val="1"/>
          <w:iCs w:val="1"/>
          <w:color w:val="auto"/>
        </w:rPr>
        <w:t xml:space="preserve"> </w:t>
      </w:r>
      <w:r>
        <w:rPr>
          <w:rFonts w:ascii="Arial" w:cs="Arial" w:eastAsia="Arial" w:hAnsi="Arial"/>
          <w:sz w:val="18"/>
          <w:szCs w:val="18"/>
          <w:color w:val="auto"/>
        </w:rPr>
        <w:t>3/8% Senior Notes due 2024. The institutional private placement resulted in net proceeds to Lamar Media, after payment of fees and expenses, of approximately $502.3 million. Lamar Media used the proceeds of this offering to repay $502.1 million of indebtedness, including all outstanding term loans, under its senior credit facility.</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October 30, 2012, Lamar Media completed an institutional private placement of $535 million aggregate principal amount of 5% Senior Subordinated Notes due 2023. The institutional private placement resulted in net proceeds to Lamar Media, after the payment fees and expenses, of approximately $527.1 million. Lamar Media used the proceeds of this offering to (i) repurchase in full its remaining 6 5/8% Senior Subordinated Notes due 2015—Series B and remaining 6 5/8% Senior Subordinated Notes due 2015—Series C, (ii) to fund the acquisition of NextMedia Outdoor, Inc., which closed on October 31, 2012 and (iii) to repay $295 million of the Term B loan outstanding under our senior credit facility.</w:t>
      </w:r>
    </w:p>
    <w:p>
      <w:pPr>
        <w:spacing w:after="0" w:line="173"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On February 9, 2012, Lamar Media completed an institutional private placement of $500 million aggregate principal amount of 5 7/8% Senior Subordinated Notes, due 2022. The institutional private placement resulted in net proceeds to Lamar Media, after payment of fees and expenses, of approximately $489 million. The Company used the proceeds of this offering together with approximately $99 million of term loan borrowings under its senior credit facility to repurchase $583.1 million of its outstanding 6 5/8% Senior Subordinated Notes, as described below under the heading </w:t>
      </w:r>
      <w:r>
        <w:rPr>
          <w:rFonts w:ascii="Arial" w:cs="Arial" w:eastAsia="Arial" w:hAnsi="Arial"/>
          <w:sz w:val="18"/>
          <w:szCs w:val="18"/>
          <w:i w:val="1"/>
          <w:iCs w:val="1"/>
          <w:color w:val="auto"/>
        </w:rPr>
        <w:t>“</w:t>
      </w:r>
      <w:r>
        <w:rPr>
          <w:rFonts w:ascii="Arial" w:cs="Arial" w:eastAsia="Arial" w:hAnsi="Arial"/>
          <w:sz w:val="18"/>
          <w:szCs w:val="18"/>
          <w:color w:val="auto"/>
        </w:rPr>
        <w:t xml:space="preserve"> — </w:t>
      </w:r>
      <w:r>
        <w:rPr>
          <w:rFonts w:ascii="Arial" w:cs="Arial" w:eastAsia="Arial" w:hAnsi="Arial"/>
          <w:sz w:val="18"/>
          <w:szCs w:val="18"/>
          <w:i w:val="1"/>
          <w:iCs w:val="1"/>
          <w:color w:val="auto"/>
        </w:rPr>
        <w:t>Uses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w:t>
      </w:r>
      <w:r>
        <w:rPr>
          <w:rFonts w:ascii="Arial" w:cs="Arial" w:eastAsia="Arial" w:hAnsi="Arial"/>
          <w:sz w:val="18"/>
          <w:szCs w:val="18"/>
          <w:i w:val="1"/>
          <w:iCs w:val="1"/>
          <w:color w:val="auto"/>
        </w:rPr>
        <w:t xml:space="preserve"> Tender Offers and Debt Repayment”.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internally generated cash flow are general economic conditions, specific economic conditions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markets where the Company conducts its business and overall spending on advertising by advertisers.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Lamar must comply with certain covenants and restrictions related to the senior credit facility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debt securities.</w:t>
      </w:r>
    </w:p>
    <w:p>
      <w:pPr>
        <w:spacing w:after="0" w:line="17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Lamar must comply with certain covenants and restrictions related to its outstanding debt securities.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Lamar Media has outstanding $500 million 5 7/8% Senior Subordinated Notes issued in February 2012 ( the “5 7/8% Senior Subordinated Notes”), $535 million 5% Senior Subordinated Notes issued in October 2012 (the “ 5% Senior Subordinated Notes”) and $510 million 5 3/8% Senior Notes issued in January 2014 (the “5 3/8% Senior Notes”).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 Currently, Lamar Media is not in default under the indentures of any of its outstanding notes and, therefore, would be permitted to incur additional indebtedness subject to the foregoing provision.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 to $1.5 billion of indebtedness under the senior credit facility;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 million or 5% of Lamar Media’s net tangible assets;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debt not to exceed $75 million.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fails to comply with these tests, the lenders under the senior credit facility will be entitled to exercise certain remedies, including the termination of the lending commitments and the acceleration of the debt payments under the senior credit facility. At December 31, 2014, and currently, we were in compliance with all such tests under the senior credit facility.</w:t>
      </w:r>
    </w:p>
    <w:p>
      <w:pPr>
        <w:spacing w:after="0" w:line="18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Lamar Media must maintain a senior debt ratio, defined as total consolidated debt (other than subordinated indebtedness) of Lamar Advertising and its restricted subsidiaries, minus the lesser of (x) $100,000,000 and (y) the aggregate amount of unrestricted cash and cash equivalents of Lamar Advertising and its restricted subsidiaries to EBITDA, as defined below, for the period of four consecutive fiscal quarters then ended, of less than or equal to 3.50 to 1.00.</w:t>
      </w:r>
    </w:p>
    <w:p>
      <w:pPr>
        <w:spacing w:after="0" w:line="147" w:lineRule="exact"/>
        <w:rPr>
          <w:sz w:val="20"/>
          <w:szCs w:val="20"/>
          <w:color w:val="auto"/>
        </w:rPr>
      </w:pPr>
    </w:p>
    <w:p>
      <w:pPr>
        <w:ind w:right="460" w:firstLine="456"/>
        <w:spacing w:after="0" w:line="257" w:lineRule="auto"/>
        <w:rPr>
          <w:sz w:val="20"/>
          <w:szCs w:val="20"/>
          <w:color w:val="auto"/>
        </w:rPr>
      </w:pPr>
      <w:r>
        <w:rPr>
          <w:rFonts w:ascii="Arial" w:cs="Arial" w:eastAsia="Arial" w:hAnsi="Arial"/>
          <w:sz w:val="18"/>
          <w:szCs w:val="18"/>
          <w:color w:val="auto"/>
        </w:rPr>
        <w:t>Lamar Media is also restricted from incurring additional indebtedness under certain circumstances unless, after giving to the incurrence of such indebtedness, it is in compliance with the senior debt ratio covenant and its total debt ratio, defined as (a) total consolidated debt of Lamar Advertising Company and its restricted subsidiaries as of any date minus the lesser of (i) $100 million and (ii) the aggregate amount of unrestricted cash and cash equivalents of Lamar Advertising Company and its restricted subsidiaries to (b) EBITDA, as defined below, for the most recent four fiscal quarters then ended is less than 6.0 to 1.00.</w:t>
      </w:r>
    </w:p>
    <w:p>
      <w:pPr>
        <w:spacing w:after="0" w:line="188"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Under the senior credit facility “EBITDA” means, for any period, operating income for the Company and its restricted subsidiaries (determined on a consolidated basis without duplication in accordance with GAAP) for such period (calculated before (i) taxes, (ii) interest expense, (iii) depreciation,</w:t>
      </w:r>
    </w:p>
    <w:p>
      <w:pPr>
        <w:ind w:right="220" w:firstLine="8"/>
        <w:spacing w:after="0" w:line="281" w:lineRule="auto"/>
        <w:tabs>
          <w:tab w:leader="none" w:pos="3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amortization, (v) any other non-cash income or charges accrued for such period, (vi) charges and expenses in connection with the credit facility transactions, (vii) costs and expenses of Lamar Advertising associated with the REIT conversion, provided that the aggregate amount of costs and expenses that may be added back pursuant to this clause (viii) shall not exceed $10,000,000 in the aggregate and (ix) the amount of cost savings, operating expense reductions and other operating improvements or synergies projected by the Lamar Media in good faith to be realized as a result of any acquisition, investment, merger, amalgamation or disposition within 12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shall not exceed an amount equal to 15% of EBITDA for the applicable four quarter period and</w:t>
      </w:r>
    </w:p>
    <w:p>
      <w:pPr>
        <w:spacing w:after="0" w:line="4"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(b) any such adjustment to EBITDA may only take into account cost savings, operating expense reductions and other operating improvements synergies that are (I) directly attributable to such acquisition, investment, merger, amalgamation or disposition, (II) expected to have a continuing impact on the Lamar Media and its restricted subsidiaries and (III) factually supportable, in each case all as certified by the Chief Financial Officer of the Lamar Media on behalf of the Lamar Media, and (x) any loss or gain relating to amounts paid or earned in cash prior to the stated settlement date of any swap agreement that has been reflected in operating income for such period) and (except to the extent received or paid in cash by the Company and its restricted subsidiaries income or loss attributable to equity in affiliates for such period), excluding any extraordinary and unusual gains or losses during such period and excluding the proceeds of any casualty events whereby insurance or other proceeds are received and certain dispositions. For purposes of calculating EBITDA, the effect on such calculation of any adjustments required under Statement of Financial Accounting Standards No. 141R is excluded.</w:t>
      </w:r>
    </w:p>
    <w:p>
      <w:pPr>
        <w:spacing w:after="0" w:line="170"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i w:val="1"/>
          <w:iCs w:val="1"/>
          <w:color w:val="auto"/>
        </w:rPr>
        <w:t xml:space="preserve">Excess Cash Flow Payments. </w:t>
      </w:r>
      <w:r>
        <w:rPr>
          <w:rFonts w:ascii="Arial" w:cs="Arial" w:eastAsia="Arial" w:hAnsi="Arial"/>
          <w:sz w:val="16"/>
          <w:szCs w:val="16"/>
          <w:color w:val="auto"/>
        </w:rPr>
        <w:t>The requirement to make certain mandatory prepayments on loans outstanding under the senior credit facility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circumstances was eliminated in conjunction with the second amendment and restatement of the senior credit agreement in February 2014.</w:t>
      </w:r>
    </w:p>
    <w:p>
      <w:pPr>
        <w:spacing w:after="0" w:line="124"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The Company believes that its current level of cash on hand, availability under the senior credit facility and future cash flows from operations are sufficient to meet its operating needs through fiscal 2015. All debt obligations are reflected on the Company’s balance sheet.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excluding acquisitions were approximately $107.6 million for the year ended December 31, 2014.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our 2015 total capital expenditures will be approximately $100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During the year ended December 31, 2014, the Company financed its acquisition activity of approximately $65.0 million with cash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hand.</w:t>
      </w:r>
    </w:p>
    <w:p>
      <w:pPr>
        <w:spacing w:after="0" w:line="21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On December 11, 2014, the Company announced that its Board of Directors has authorized the repurchase of up to $250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of the Company’s Class A common stock. There were no repurchases under the repurchase program for the year ended December 31, 2014.</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 xml:space="preserve">Note Redemption. </w:t>
      </w:r>
      <w:r>
        <w:rPr>
          <w:rFonts w:ascii="Arial" w:cs="Arial" w:eastAsia="Arial" w:hAnsi="Arial"/>
          <w:sz w:val="16"/>
          <w:szCs w:val="16"/>
          <w:color w:val="auto"/>
        </w:rPr>
        <w:t>On April 21, 2014, Lamar Media redeemed in full all $400 million of its 7 7/8% Senior Subordinated Notes due 2018 at a</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price equal to 103.938% of aggregate principal amount of outstanding notes, plus accrued and unpaid interest to, but not including the redemption date for a total redemption price of $416.3 million. Lamar Media used cash on hand and borrowings under its senior credit facility to fund the redemption.</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 xml:space="preserve">Term A Loans. </w:t>
      </w:r>
      <w:r>
        <w:rPr>
          <w:rFonts w:ascii="Arial" w:cs="Arial" w:eastAsia="Arial" w:hAnsi="Arial"/>
          <w:sz w:val="18"/>
          <w:szCs w:val="18"/>
          <w:color w:val="auto"/>
        </w:rPr>
        <w:t>The Term A Loans mature on February 2, 2019 and began amortizing on June 30, 2014 in quarterly installments paid on such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on each September 30, December 31, March 31 and June 30 thereafter, as follows: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4560" w:type="dxa"/>
            <w:vAlign w:val="bottom"/>
            <w:gridSpan w:val="3"/>
          </w:tcPr>
          <w:p>
            <w:pPr>
              <w:spacing w:after="0"/>
              <w:rPr>
                <w:sz w:val="20"/>
                <w:szCs w:val="20"/>
                <w:color w:val="auto"/>
              </w:rPr>
            </w:pPr>
            <w:r>
              <w:rPr>
                <w:rFonts w:ascii="Arial" w:cs="Arial" w:eastAsia="Arial" w:hAnsi="Arial"/>
                <w:sz w:val="14"/>
                <w:szCs w:val="14"/>
                <w:color w:val="auto"/>
              </w:rPr>
              <w:t>Principal Payment Date</w:t>
            </w:r>
          </w:p>
        </w:tc>
        <w:tc>
          <w:tcPr>
            <w:tcW w:w="3200" w:type="dxa"/>
            <w:vAlign w:val="bottom"/>
            <w:gridSpan w:val="4"/>
          </w:tcPr>
          <w:p>
            <w:pPr>
              <w:ind w:left="2080"/>
              <w:spacing w:after="0"/>
              <w:rPr>
                <w:sz w:val="20"/>
                <w:szCs w:val="20"/>
                <w:color w:val="auto"/>
              </w:rPr>
            </w:pPr>
            <w:r>
              <w:rPr>
                <w:rFonts w:ascii="Arial" w:cs="Arial" w:eastAsia="Arial" w:hAnsi="Arial"/>
                <w:sz w:val="14"/>
                <w:szCs w:val="14"/>
                <w:color w:val="auto"/>
              </w:rPr>
              <w:t>Principal Amount</w:t>
            </w: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00"/>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20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2015-March 31, 2016</w:t>
            </w:r>
          </w:p>
        </w:tc>
        <w:tc>
          <w:tcPr>
            <w:tcW w:w="2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w w:val="86"/>
              </w:rPr>
              <w:t>June 30,</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2016- March 31, 2017</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6"/>
              </w:rPr>
              <w:t>June 30,</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2017-December 31, 2018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Term A Loan Maturity Date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168,750,000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Term A loans and revolving credit facility bear interest at rates based on the Adjusted LIBO Rate (“Eurodollar loans”) or the Adjusted Base Rate (“Base Rate loans”), at Lamar Media’s option. Eurodollar loans bear interest at a rate per annum equal to the Adjusted LIBO rate plus 2.25% (or the Adjusted LIBO Rate plus 2.00% at any time the Total Debt Ratio is less than or equal to 4.25 to 1; or the Adjusted LIBO Rate plus 1.75% at any time the Total Debt Ratio is less than or equal to 3.00 to 1). Base Rate Loans bear interest at a rate per annum equal to the Adjusted Base Rate plus 1.00% (or the Adjusted Base Rate plus 0.75% at any time the Total Debt Ratio is less than or equal to 3.00 to 1). The guarantees, covenants, events of default and other terms of the senior credit facility apply to the Term A Loans and revolving credit facility.</w:t>
      </w:r>
    </w:p>
    <w:p>
      <w:pPr>
        <w:spacing w:after="0" w:line="178"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On February 26, 2015, Lamar Advertising Company’s Board of Directors declared a quarterly cash dividend of $0.68 per share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2015 to its stockholders of record of its Class A common stock and Class B common stock on March 17, 2015. The Company expects aggregate quarterly distributions to stockholders in 2015, including the dividend payable on March 31, 2015, will total $2.75 per common share.</w:t>
      </w:r>
    </w:p>
    <w:p>
      <w:pPr>
        <w:spacing w:after="0" w:line="14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During the year ended December 31, 2014 the Company made three cash distributions to its common stockholders totaling approximately $238.4 million or $2.50 per share of common stock. As a REIT the Company was required to distribute to its stockholders by the end of 2014 all if its pre-REIT accumulated earnings and profits, if any. In addition,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and other factors that the Board of Directors may deem relevant.</w:t>
      </w:r>
    </w:p>
    <w:p>
      <w:pPr>
        <w:spacing w:after="0" w:line="18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Tender Offers and Debt Repayment. </w:t>
      </w:r>
      <w:r>
        <w:rPr>
          <w:rFonts w:ascii="Arial" w:cs="Arial" w:eastAsia="Arial" w:hAnsi="Arial"/>
          <w:sz w:val="17"/>
          <w:szCs w:val="17"/>
          <w:color w:val="auto"/>
        </w:rPr>
        <w:t>On December 4, 2013, Lamar Media redeemed in full all $350 million in aggregate principal amount of its 9 3/4%</w:t>
      </w:r>
      <w:r>
        <w:rPr>
          <w:rFonts w:ascii="Arial" w:cs="Arial" w:eastAsia="Arial" w:hAnsi="Arial"/>
          <w:sz w:val="17"/>
          <w:szCs w:val="17"/>
          <w:i w:val="1"/>
          <w:iCs w:val="1"/>
          <w:color w:val="auto"/>
        </w:rPr>
        <w:t xml:space="preserve"> </w:t>
      </w:r>
      <w:r>
        <w:rPr>
          <w:rFonts w:ascii="Arial" w:cs="Arial" w:eastAsia="Arial" w:hAnsi="Arial"/>
          <w:sz w:val="17"/>
          <w:szCs w:val="17"/>
          <w:color w:val="auto"/>
        </w:rPr>
        <w:t>Senior Notes due 2014 at a redemption price equal to 100% of the aggregate principal amount of outstanding notes plus a make whole amount and accrued and unpaid interest up to but not including the redemption date. The total amount paid to redeem the notes was approximately $366.4 million, which was funded by using cash on hand of $182.4 million and $184.0 million of borrowings under our senior credit facility.</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January 26, 2012, Lamar Media commenced a tender offer to purchase for cash, up to $700 million in aggregate principal amount of its outstanding 6 5/8% Senior Subordinated Notes. On February 9, 2012, Lamar Media accepted tenders for approximately $483.7 million in aggregate principal amount of the 6 5/8% Senior Subordinated Notes, out of approximately $582.9 million tendered, in connection with the early settlement date of the tender offer. On February 27, 2012, Lamar Media accepted tenders for approximately $99.2 million previously tendered and not accepted for payment and an additional $220 thousand tendered following the early settlement date. The holders of the notes tendered on or before midnight on February 8, 2012 received a total consideration of $1,025.83 per $1,000 principal amount of the notes tendered; holders of notes tendered after such date received a total consideration of $1,005.83 per $1,000 principal amount of the notes tendered. The total cash payment to purchase the tendered 6 5/8% Senior Subordinated Notes on February 9, 2012, including accrued interest up to but excluding February 9, 2012 was approximately $511.6 million and the total cash payment to purchase the tendered notes on February 27, 2012, including accrued interest up to but excluding February 27, 2012 was approximately $102.3 million, resulting in an aggregate payment in respect of the 6 5/8% Senior Subordinated Notes tender offer of approximately $613.9 million.</w:t>
      </w:r>
    </w:p>
    <w:p>
      <w:pPr>
        <w:sectPr>
          <w:pgSz w:w="11900" w:h="16838" w:orient="portrait"/>
          <w:cols w:equalWidth="0" w:num="1">
            <w:col w:w="11400"/>
          </w:cols>
          <w:pgMar w:left="240" w:top="459" w:right="259" w:bottom="1440" w:gutter="0" w:footer="0" w:header="0"/>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459"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On August 29, 2012, Lamar Media redeemed in full all $122.76 million of its 6 5/8% Senior Subordinated Notes at a redemption price equal to</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101.104% of the principal amount outstanding, plus accrued and unpaid interest to, but not including, the redemption date. Lamar Media used cash on hand and borrowings under its senior credit facility to fund the redemption.</w:t>
      </w:r>
    </w:p>
    <w:p>
      <w:pPr>
        <w:spacing w:after="0" w:line="18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November 8, 2012, Lamar Media redeemed $36.1 million of its 6 5/8% Senior Subordinated Notes due 2015—Series B and $30 million of its 6 5/8% Senior Subordinated Notes due 2015—Series C at a redemption price equal to 101.104% of the principal amount of outstanding notes plus accrued and unpaid interest up to but not including the redemption date.</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On November 29, 2012, Lamar Media redeemed in full the remaining $71.1 million in aggregate principal amount outstanding of its 6 5/8% Senior Subordinated Notes due 2018—Series C at a redemption price equal to 101.104% of the principal amount of outstanding notes plus accrued and unpaid interest up to but not including the redemption date.</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December 14, 2012, Lamar Media repaid $295 million of its Term B loan outstanding under its senior credit facility. Lamar Media recorded a $3.9 million loss related to this prepayment due to the write off of previously capitalized and unamortized debt issuance costs. As of December 31, 2012, $22.2 million remains outstanding under the Term B loans.</w:t>
      </w:r>
    </w:p>
    <w:p>
      <w:pPr>
        <w:spacing w:after="0" w:line="18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i w:val="1"/>
          <w:iCs w:val="1"/>
          <w:color w:val="auto"/>
        </w:rPr>
        <w:t xml:space="preserve">Debt Service and Contractual Obligations. </w:t>
      </w:r>
      <w:r>
        <w:rPr>
          <w:rFonts w:ascii="Arial" w:cs="Arial" w:eastAsia="Arial" w:hAnsi="Arial"/>
          <w:sz w:val="18"/>
          <w:szCs w:val="18"/>
          <w:color w:val="auto"/>
        </w:rPr>
        <w:t>As of December 31, 2014, we had outstanding debt of approximately $1.9 billion. In the future, Lamar</w:t>
      </w:r>
      <w:r>
        <w:rPr>
          <w:rFonts w:ascii="Arial" w:cs="Arial" w:eastAsia="Arial" w:hAnsi="Arial"/>
          <w:sz w:val="18"/>
          <w:szCs w:val="18"/>
          <w:i w:val="1"/>
          <w:iCs w:val="1"/>
          <w:color w:val="auto"/>
        </w:rPr>
        <w:t xml:space="preserve"> </w:t>
      </w:r>
      <w:r>
        <w:rPr>
          <w:rFonts w:ascii="Arial" w:cs="Arial" w:eastAsia="Arial" w:hAnsi="Arial"/>
          <w:sz w:val="18"/>
          <w:szCs w:val="18"/>
          <w:color w:val="auto"/>
        </w:rPr>
        <w:t>Media has principal reduction obligations and revolver commitment reductions under the senior credit facility. In addition, it has fixed commercial commitments. These commitments are detailed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800" w:type="dxa"/>
            <w:vAlign w:val="bottom"/>
          </w:tcPr>
          <w:p>
            <w:pPr>
              <w:spacing w:after="0"/>
              <w:rPr>
                <w:sz w:val="10"/>
                <w:szCs w:val="10"/>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0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10"/>
                <w:szCs w:val="10"/>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88"/>
              </w:rPr>
              <w:t>3 - 5 Years</w:t>
            </w:r>
          </w:p>
        </w:tc>
        <w:tc>
          <w:tcPr>
            <w:tcW w:w="22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 xml:space="preserve">Interest obligations on long term debt </w:t>
            </w:r>
            <w:r>
              <w:rPr>
                <w:rFonts w:ascii="Arial" w:cs="Arial" w:eastAsia="Arial" w:hAnsi="Arial"/>
                <w:sz w:val="15"/>
                <w:szCs w:val="15"/>
                <w:color w:val="auto"/>
              </w:rPr>
              <w:t>(1)</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747.9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194.0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Billboard site and other operating leases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gridSpan w:val="2"/>
          </w:tcPr>
          <w:p>
            <w:pPr>
              <w:spacing w:after="0"/>
              <w:rPr>
                <w:sz w:val="20"/>
                <w:szCs w:val="20"/>
                <w:color w:val="auto"/>
              </w:rPr>
            </w:pPr>
            <w:r>
              <w:rPr>
                <w:rFonts w:ascii="Arial" w:cs="Arial" w:eastAsia="Arial" w:hAnsi="Arial"/>
                <w:sz w:val="18"/>
                <w:szCs w:val="18"/>
                <w:color w:val="auto"/>
              </w:rPr>
              <w:t>Total payments due</w:t>
            </w:r>
          </w:p>
        </w:tc>
        <w:tc>
          <w:tcPr>
            <w:tcW w:w="18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$3,856.0</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$2,441.0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Interest rates on our variable rate instruments are assuming rates at the December 2014 levels.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Amount</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Amount of Expiration Per Period</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Commercial Commitments</w:t>
            </w:r>
          </w:p>
        </w:tc>
        <w:tc>
          <w:tcPr>
            <w:tcW w:w="19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1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1 - 3 Years</w:t>
            </w:r>
          </w:p>
        </w:tc>
        <w:tc>
          <w:tcPr>
            <w:tcW w:w="1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3 - 5 Years</w:t>
            </w:r>
          </w:p>
        </w:tc>
        <w:tc>
          <w:tcPr>
            <w:tcW w:w="720" w:type="dxa"/>
            <w:vAlign w:val="bottom"/>
            <w:gridSpan w:val="2"/>
          </w:tcPr>
          <w:p>
            <w:pPr>
              <w:ind w:left="340"/>
              <w:spacing w:after="0" w:line="119" w:lineRule="exact"/>
              <w:rPr>
                <w:sz w:val="20"/>
                <w:szCs w:val="20"/>
                <w:color w:val="auto"/>
              </w:rPr>
            </w:pPr>
            <w:r>
              <w:rPr>
                <w:rFonts w:ascii="Arial" w:cs="Arial" w:eastAsia="Arial" w:hAnsi="Arial"/>
                <w:sz w:val="13"/>
                <w:szCs w:val="13"/>
                <w:b w:val="1"/>
                <w:bCs w:val="1"/>
                <w:color w:val="auto"/>
              </w:rPr>
              <w:t>After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00" w:type="dxa"/>
            <w:vAlign w:val="bottom"/>
            <w:gridSpan w:val="2"/>
            <w:vMerge w:val="continue"/>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gridSpan w:val="2"/>
          </w:tcPr>
          <w:p>
            <w:pPr>
              <w:jc w:val="right"/>
              <w:ind w:right="510"/>
              <w:spacing w:after="0" w:line="158" w:lineRule="exact"/>
              <w:rPr>
                <w:sz w:val="20"/>
                <w:szCs w:val="20"/>
                <w:color w:val="auto"/>
              </w:rPr>
            </w:pPr>
            <w:r>
              <w:rPr>
                <w:rFonts w:ascii="Arial" w:cs="Arial" w:eastAsia="Arial" w:hAnsi="Arial"/>
                <w:sz w:val="14"/>
                <w:szCs w:val="14"/>
                <w:b w:val="1"/>
                <w:bCs w:val="1"/>
                <w:color w:val="auto"/>
              </w:rPr>
              <w:t>Committed</w:t>
            </w:r>
          </w:p>
        </w:tc>
        <w:tc>
          <w:tcPr>
            <w:tcW w:w="160" w:type="dxa"/>
            <w:vAlign w:val="bottom"/>
          </w:tcPr>
          <w:p>
            <w:pPr>
              <w:spacing w:after="0"/>
              <w:rPr>
                <w:sz w:val="14"/>
                <w:szCs w:val="14"/>
                <w:color w:val="auto"/>
              </w:rPr>
            </w:pPr>
          </w:p>
        </w:tc>
        <w:tc>
          <w:tcPr>
            <w:tcW w:w="700" w:type="dxa"/>
            <w:vAlign w:val="bottom"/>
          </w:tcPr>
          <w:p>
            <w:pPr>
              <w:jc w:val="right"/>
              <w:ind w:right="256"/>
              <w:spacing w:after="0" w:line="158" w:lineRule="exact"/>
              <w:rPr>
                <w:sz w:val="20"/>
                <w:szCs w:val="20"/>
                <w:color w:val="auto"/>
              </w:rPr>
            </w:pPr>
            <w:r>
              <w:rPr>
                <w:rFonts w:ascii="Arial" w:cs="Arial" w:eastAsia="Arial" w:hAnsi="Arial"/>
                <w:sz w:val="14"/>
                <w:szCs w:val="14"/>
                <w:b w:val="1"/>
                <w:bCs w:val="1"/>
                <w:color w:val="auto"/>
              </w:rPr>
              <w:t>Year</w:t>
            </w:r>
          </w:p>
        </w:tc>
        <w:tc>
          <w:tcPr>
            <w:tcW w:w="13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gridSpan w:val="3"/>
          </w:tcPr>
          <w:p>
            <w:pPr>
              <w:ind w:left="280"/>
              <w:spacing w:after="0" w:line="158" w:lineRule="exact"/>
              <w:rPr>
                <w:sz w:val="20"/>
                <w:szCs w:val="20"/>
                <w:color w:val="auto"/>
              </w:rPr>
            </w:pPr>
            <w:r>
              <w:rPr>
                <w:rFonts w:ascii="Arial" w:cs="Arial" w:eastAsia="Arial" w:hAnsi="Arial"/>
                <w:sz w:val="14"/>
                <w:szCs w:val="14"/>
                <w:b w:val="1"/>
                <w:bCs w:val="1"/>
                <w:color w:val="auto"/>
                <w:w w:val="96"/>
              </w:rPr>
              <w:t>5 Years</w:t>
            </w:r>
          </w:p>
        </w:tc>
        <w:tc>
          <w:tcPr>
            <w:tcW w:w="0" w:type="dxa"/>
            <w:vAlign w:val="bottom"/>
          </w:tcPr>
          <w:p>
            <w:pPr>
              <w:spacing w:after="0"/>
              <w:rPr>
                <w:sz w:val="1"/>
                <w:szCs w:val="1"/>
                <w:color w:val="auto"/>
              </w:rPr>
            </w:pPr>
          </w:p>
        </w:tc>
      </w:tr>
      <w:tr>
        <w:trPr>
          <w:trHeight w:val="149"/>
        </w:trPr>
        <w:tc>
          <w:tcPr>
            <w:tcW w:w="2080" w:type="dxa"/>
            <w:vAlign w:val="bottom"/>
            <w:tcBorders>
              <w:top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120"/>
              <w:spacing w:after="0" w:line="149" w:lineRule="exact"/>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Revolving Bank Facility </w:t>
            </w:r>
            <w:r>
              <w:rPr>
                <w:rFonts w:ascii="Arial" w:cs="Arial" w:eastAsia="Arial" w:hAnsi="Arial"/>
                <w:sz w:val="15"/>
                <w:szCs w:val="15"/>
                <w:color w:val="auto"/>
              </w:rPr>
              <w:t>(2)</w:t>
            </w: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400.0</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 xml:space="preserve">Standby Letters of Credit </w:t>
            </w:r>
            <w:r>
              <w:rPr>
                <w:rFonts w:ascii="Arial" w:cs="Arial" w:eastAsia="Arial" w:hAnsi="Arial"/>
                <w:sz w:val="15"/>
                <w:szCs w:val="15"/>
                <w:color w:val="auto"/>
              </w:rPr>
              <w:t>(3)</w:t>
            </w:r>
          </w:p>
        </w:tc>
        <w:tc>
          <w:tcPr>
            <w:tcW w:w="218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Lamar Media had $65.0 million outstanding under the revolving facility at December 31, 2014.</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7"/>
          <w:szCs w:val="17"/>
          <w:color w:val="auto"/>
        </w:rPr>
        <w:t>The standby letters of credit are issued under Lamar Media’s revolving bank facility and reduce the availability of the facility by the same amount.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Company’s cash flows provided by operating activities increased by $57.8 million for the year ended December 31, 2014 primarily resulting from an increase in operating income of $55.2 million as described in “Results of Operations” and by an increase in changes to operating net assets of $1.0 million.</w:t>
      </w:r>
    </w:p>
    <w:p>
      <w:pPr>
        <w:spacing w:after="0" w:line="12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Cash flows used in investing activities decreased $27.9 million from $191.9 million in 2013 to $164.0 million in 2014 primarily due to a decrease in acquisition activity of $27.2 million as compared to the same period in 2013.</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Cash flows used in financing activities increased to $294.3 million for the year ended December 31, 2014, primarily due to an increase in cash distributions made during the period of $238.4 million. See “</w:t>
      </w:r>
      <w:r>
        <w:rPr>
          <w:rFonts w:ascii="Arial" w:cs="Arial" w:eastAsia="Arial" w:hAnsi="Arial"/>
          <w:sz w:val="18"/>
          <w:szCs w:val="18"/>
          <w:i w:val="1"/>
          <w:iCs w:val="1"/>
          <w:color w:val="auto"/>
        </w:rPr>
        <w:t>Liquidity and Capital Resources—Uses of Cash”.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discussion and analysis of our results of operations and liquidity and capital resources are based on our consolidated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and judgments, including those related to long-lived asset recovery, intangible assets, goodwill impairment, deferred taxes, asset retirement obligations, stock-based compensation and allowance for doubtful accounts. We base our estimates on historical and anticipated results and trends and on various other assumptions that we believe are reasonable under the circumstances, including assumptions as to future events and, where applicable, established valuation techniques. These estimates form the basis for making judgments about carrying values of assets and liabilities that are not readily apparent from other sources. By their nature, estimates are subject to an inherent degree of uncertainty. Actual results may differ from our estimates. We believe that the following significant accounting policies and assumptions may involve a higher degree of judgment and complexity than others.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Long-Lived Asset Recovery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Long-lived assets, consisting primarily of property, plant and equipment and intangibles comprise a significant portion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Company’s total assets. Purchases of property, plant and equipment are recorded at purchase cost, while acquired property, plant and equipment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recorded at fair value determined primarily through estimates of replacement costs. Property, plant and equipment of $1.1 billion and intangible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$367.0 million are reviewed for impairment whenever events or changes in circumstances have indicated that their carrying amounts may not be recoverable.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Recoverability of assets is measured by a comparison of the carrying amount of an asset or asset group to future undiscounted net cash flows expected to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generated by that asset or asset group before interest expense. These undiscounted cash flow projections are based on management’s assumptions surrounding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future operating results and the anticipated future economic environment. If actual results differ from management’s assumptions, an impairment of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may exist and a charge to income would be made in the period such impairment is determined. During the year ended December 31,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indications that an impairment test was necessary.</w:t>
      </w:r>
    </w:p>
    <w:p>
      <w:pPr>
        <w:spacing w:after="0" w:line="211"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significant intangible assets recorded on its balance sheet. Intangible assets primarily represent site locations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$336.5 million and customer relationships of $29.1 million associated with the Company’s acquisitions. The fair values of intangible assets recorded are determined using discounted cash flow models that require management to make assumptions related to future operating results, including projecting net revenue growth discounted using current cost of capital rates, of each acquisition and the anticipated future economic environment. If actual results differ from management’s assumptions, an impairment of these intangibles may exist and a charge to income would be made in the period such impairment is determined. Historically no impairment charge has been required with respect to the Company’s intangible assets.</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Goodwill Impairment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a significant amount of goodwill on its balance sheet and must perform an impairment test of goodwill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annually or on a more frequent basis if events and circumstances indicate that the asset might be impaired. The first step of the impairment test requires management to determine the implied fair value of its reporting units and compare it to its book value (including goodwill). To the extent the book value of a reporting unit exceeds the fair value of the reporting unit, the Company would be required to perform the second step of the impairment test, as this is an indicator that the reporting unit may be impaired. Impairment testing involves various estimates and assumptions, which could vary, and an analysis of relevant market data and market capitalization.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identified two reporting units (Logo operations and Billboard operations) in accordance with Accounting Standards Codification (“ASC”)</w:t>
      </w:r>
    </w:p>
    <w:p>
      <w:pPr>
        <w:spacing w:after="0" w:line="35"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changes have been made to our reporting units from the prior period. The reporting units and their carrying amounts of goodwill as of December 31,</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2014 and 2013 are as follows:</w:t>
      </w:r>
    </w:p>
    <w:p>
      <w:pPr>
        <w:spacing w:after="0" w:line="229"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Carrying Value of Goodwill</w:t>
      </w:r>
    </w:p>
    <w:p>
      <w:pPr>
        <w:spacing w:after="0" w:line="4"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(in thousands)</w:t>
      </w:r>
    </w:p>
    <w:tbl>
      <w:tblPr>
        <w:tblLayout w:type="fixed"/>
        <w:tblInd w:w="1380" w:type="dxa"/>
        <w:tblCellMar>
          <w:top w:w="0" w:type="dxa"/>
          <w:left w:w="0" w:type="dxa"/>
          <w:bottom w:w="0" w:type="dxa"/>
          <w:right w:w="0" w:type="dxa"/>
        </w:tblCellMar>
      </w:tblPr>
      <w:tr>
        <w:trPr>
          <w:trHeight w:val="156"/>
        </w:trPr>
        <w:tc>
          <w:tcPr>
            <w:tcW w:w="3480" w:type="dxa"/>
            <w:vAlign w:val="bottom"/>
          </w:tcPr>
          <w:p>
            <w:pPr>
              <w:spacing w:after="0"/>
              <w:rPr>
                <w:sz w:val="13"/>
                <w:szCs w:val="13"/>
                <w:color w:val="auto"/>
              </w:rPr>
            </w:pPr>
          </w:p>
        </w:tc>
        <w:tc>
          <w:tcPr>
            <w:tcW w:w="3180" w:type="dxa"/>
            <w:vAlign w:val="bottom"/>
            <w:gridSpan w:val="3"/>
          </w:tcPr>
          <w:p>
            <w:pPr>
              <w:ind w:left="2000"/>
              <w:spacing w:after="0" w:line="157" w:lineRule="exact"/>
              <w:rPr>
                <w:sz w:val="20"/>
                <w:szCs w:val="20"/>
                <w:color w:val="auto"/>
              </w:rPr>
            </w:pPr>
            <w:r>
              <w:rPr>
                <w:rFonts w:ascii="Arial" w:cs="Arial" w:eastAsia="Arial" w:hAnsi="Arial"/>
                <w:sz w:val="14"/>
                <w:szCs w:val="14"/>
                <w:b w:val="1"/>
                <w:bCs w:val="1"/>
                <w:color w:val="auto"/>
                <w:w w:val="91"/>
              </w:rPr>
              <w:t>December 31, 2014</w:t>
            </w:r>
          </w:p>
        </w:tc>
        <w:tc>
          <w:tcPr>
            <w:tcW w:w="2020" w:type="dxa"/>
            <w:vAlign w:val="bottom"/>
            <w:gridSpan w:val="4"/>
          </w:tcPr>
          <w:p>
            <w:pPr>
              <w:ind w:left="760"/>
              <w:spacing w:after="0" w:line="157" w:lineRule="exact"/>
              <w:rPr>
                <w:sz w:val="20"/>
                <w:szCs w:val="20"/>
                <w:color w:val="auto"/>
              </w:rPr>
            </w:pPr>
            <w:r>
              <w:rPr>
                <w:rFonts w:ascii="Arial" w:cs="Arial" w:eastAsia="Arial" w:hAnsi="Arial"/>
                <w:sz w:val="14"/>
                <w:szCs w:val="14"/>
                <w:b w:val="1"/>
                <w:bCs w:val="1"/>
                <w:color w:val="auto"/>
                <w:w w:val="98"/>
              </w:rPr>
              <w:t>December 31, 2013</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Billboard operations</w:t>
            </w:r>
          </w:p>
        </w:tc>
        <w:tc>
          <w:tcPr>
            <w:tcW w:w="2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1,511,807</w:t>
            </w:r>
          </w:p>
        </w:tc>
        <w:tc>
          <w:tcPr>
            <w:tcW w:w="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1,502,592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Logo operations</w:t>
            </w:r>
          </w:p>
        </w:tc>
        <w:tc>
          <w:tcPr>
            <w:tcW w:w="228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961</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believe there are numerous facts and circumstances that need to be considered when estimating the reasonableness of the reporting unit’s estimated fair value. In conducting our impairment test, we assessed the reasonableness of the reporting unit’s estimated fair value based on both market capitalization and discounted future cash flows. The discounted cash flow analysis incorporated various growth rate assumptions and discounting based on a present value factor.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Consideration of market capitalization</w:t>
      </w:r>
      <w:r>
        <w:rPr>
          <w:rFonts w:ascii="Arial" w:cs="Arial" w:eastAsia="Arial" w:hAnsi="Arial"/>
          <w:sz w:val="18"/>
          <w:szCs w:val="18"/>
          <w:color w:val="auto"/>
        </w:rPr>
        <w:t>. The Company first considered its market capitalization as of its annual impairment testing date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The market capitalization of its Class A common stock as of December 31, 2014 was $5.1 billion compared to stockholders’ equity of $981.5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as of that date, resulting in an excess of approximately $4.2 billion, which is substantially in excess of our book value. The Company considers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market capitalization over book value a strong indicator that no impairment of goodwill exists as of the measurement date of December 31, 2014.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following table presents the market capitalization and aggregate book value of the reporting units as of December 31, 2014:</w:t>
      </w:r>
    </w:p>
    <w:p>
      <w:pPr>
        <w:spacing w:after="0" w:line="229"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Market</w:t>
      </w:r>
    </w:p>
    <w:p>
      <w:pPr>
        <w:spacing w:after="0" w:line="4" w:lineRule="exact"/>
        <w:rPr>
          <w:sz w:val="20"/>
          <w:szCs w:val="20"/>
          <w:color w:val="auto"/>
        </w:rPr>
      </w:pPr>
    </w:p>
    <w:p>
      <w:pPr>
        <w:ind w:left="7020"/>
        <w:spacing w:after="0"/>
        <w:tabs>
          <w:tab w:leader="none" w:pos="8920" w:val="left"/>
        </w:tabs>
        <w:rPr>
          <w:sz w:val="20"/>
          <w:szCs w:val="20"/>
          <w:color w:val="auto"/>
        </w:rPr>
      </w:pPr>
      <w:r>
        <w:rPr>
          <w:rFonts w:ascii="Arial" w:cs="Arial" w:eastAsia="Arial" w:hAnsi="Arial"/>
          <w:sz w:val="14"/>
          <w:szCs w:val="14"/>
          <w:b w:val="1"/>
          <w:bCs w:val="1"/>
          <w:color w:val="auto"/>
        </w:rPr>
        <w:t>Equity Book Value</w:t>
      </w:r>
      <w:r>
        <w:rPr>
          <w:sz w:val="20"/>
          <w:szCs w:val="20"/>
          <w:color w:val="auto"/>
        </w:rPr>
        <w:tab/>
      </w:r>
      <w:r>
        <w:rPr>
          <w:rFonts w:ascii="Arial" w:cs="Arial" w:eastAsia="Arial" w:hAnsi="Arial"/>
          <w:sz w:val="13"/>
          <w:szCs w:val="13"/>
          <w:b w:val="1"/>
          <w:bCs w:val="1"/>
          <w:color w:val="auto"/>
        </w:rPr>
        <w:t>Capitalization</w:t>
      </w:r>
      <w:r>
        <w:rPr>
          <w:rFonts w:ascii="Arial" w:cs="Arial" w:eastAsia="Arial" w:hAnsi="Arial"/>
          <w:sz w:val="11"/>
          <w:szCs w:val="11"/>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-3175</wp:posOffset>
            </wp:positionV>
            <wp:extent cx="18694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ind w:left="804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000" w:val="left"/>
          <w:tab w:leader="none" w:pos="7560" w:val="left"/>
          <w:tab w:leader="none" w:pos="8900" w:val="left"/>
          <w:tab w:leader="none" w:pos="9220" w:val="left"/>
        </w:tabs>
        <w:rPr>
          <w:sz w:val="20"/>
          <w:szCs w:val="20"/>
          <w:color w:val="auto"/>
        </w:rPr>
      </w:pPr>
      <w:r>
        <w:rPr>
          <w:rFonts w:ascii="Arial" w:cs="Arial" w:eastAsia="Arial" w:hAnsi="Arial"/>
          <w:sz w:val="18"/>
          <w:szCs w:val="18"/>
          <w:color w:val="auto"/>
        </w:rPr>
        <w:t>Aggregate Values as of December 31, 2014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981,466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5,156,670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2" w:lineRule="exact"/>
        <w:rPr>
          <w:sz w:val="20"/>
          <w:szCs w:val="20"/>
          <w:color w:val="auto"/>
        </w:rPr>
      </w:pPr>
    </w:p>
    <w:p>
      <w:pPr>
        <w:ind w:left="460" w:right="240" w:hanging="452"/>
        <w:spacing w:after="0" w:line="277" w:lineRule="auto"/>
        <w:tabs>
          <w:tab w:leader="none" w:pos="460" w:val="left"/>
        </w:tabs>
        <w:numPr>
          <w:ilvl w:val="0"/>
          <w:numId w:val="24"/>
        </w:numPr>
        <w:rPr>
          <w:rFonts w:ascii="Arial" w:cs="Arial" w:eastAsia="Arial" w:hAnsi="Arial"/>
          <w:sz w:val="15"/>
          <w:szCs w:val="15"/>
          <w:b w:val="1"/>
          <w:bCs w:val="1"/>
          <w:color w:val="auto"/>
        </w:rPr>
      </w:pPr>
      <w:r>
        <w:rPr>
          <w:rFonts w:ascii="Arial" w:cs="Arial" w:eastAsia="Arial" w:hAnsi="Arial"/>
          <w:sz w:val="18"/>
          <w:szCs w:val="18"/>
          <w:color w:val="auto"/>
        </w:rPr>
        <w:t>Market capitalization was calculated using a 10-day average of the closing prices of the Class A common stock beginning 5 trading days prior to the measurement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Calculations of Fair Value using Discounted Cash Flow Analysis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also estimate fair value using a discounted cash flow analysis that compares the estimated future cash flows of each reporting unit to the book value of the reporting unit. The discount rate and projected revenue and EBITDA (earnings before interest, tax, depreciation and amortization) growth rates are significant assumptions utilized in our calculation of the present value of cash flows used to estimate fair value of the reporting units. These assumptions could be adversely impacted by certain risks including deterioration in industry and economic conditions. See discussion in “Risk Factors” in Item 1A of this Annual Report. For additional information about goodwill, see Note 5 to the Consolidated Financial Statements.</w:t>
      </w:r>
    </w:p>
    <w:p>
      <w:pPr>
        <w:spacing w:after="0" w:line="1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discount rate assumption is based on our cost of capital, which we determine annually based on our estimated costs of debt and equity relative to our capital structure. As of December 31, 2014 our weighted average cost of capital (WACC) was approximately 9.5%.</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developing our revenue and EBITDA growth rates, we consider our historical performance and current market trends in the markets in which we operate. The five year projected Compound Annual Growth Rate (CAGR) used in our discounted cash flow analysis for billboard revenue and billboard EBITDA was 3.0% and 5.4%, respectively, and our logo operations revenue and EBITDA CAGR was 3.0% and 2.6%, respectively. The projected CAGR for revenue and EBITDA discussed above would have to deteriorate significantly, among other factors, before further testing of goodwill impairment would be necessary for our reporting units.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values calculated as of December 31, 2014, using the discounted cash flow analysis described above for both reporting units were substantially in excess of their book values. Assumptions used in our impairment test, such as forecasted growth rates and our cost of capital, are based on the best available market information and are consistent with our internal forecast and operating plans. The following table presents the aggregate fair value of our reporting units and aggregate book value of the reporting units as of December 31, 2014:</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200" w:type="dxa"/>
            <w:vAlign w:val="bottom"/>
            <w:gridSpan w:val="3"/>
          </w:tcPr>
          <w:p>
            <w:pPr>
              <w:ind w:left="1380"/>
              <w:spacing w:after="0"/>
              <w:rPr>
                <w:sz w:val="20"/>
                <w:szCs w:val="20"/>
                <w:color w:val="auto"/>
              </w:rPr>
            </w:pPr>
            <w:r>
              <w:rPr>
                <w:rFonts w:ascii="Arial" w:cs="Arial" w:eastAsia="Arial" w:hAnsi="Arial"/>
                <w:sz w:val="14"/>
                <w:szCs w:val="14"/>
                <w:b w:val="1"/>
                <w:bCs w:val="1"/>
                <w:color w:val="auto"/>
              </w:rPr>
              <w:t>Equity Book Value</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(1)</w:t>
            </w:r>
          </w:p>
        </w:tc>
      </w:tr>
      <w:tr>
        <w:trPr>
          <w:trHeight w:val="142"/>
        </w:trPr>
        <w:tc>
          <w:tcPr>
            <w:tcW w:w="4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Aggregate Values as of December 31, 2014</w:t>
            </w:r>
          </w:p>
        </w:tc>
        <w:tc>
          <w:tcPr>
            <w:tcW w:w="17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981,466</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$4,452,854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5"/>
          <w:szCs w:val="15"/>
          <w:b w:val="1"/>
          <w:bCs w:val="1"/>
          <w:color w:val="auto"/>
        </w:rPr>
      </w:pPr>
      <w:r>
        <w:rPr>
          <w:rFonts w:ascii="Arial" w:cs="Arial" w:eastAsia="Arial" w:hAnsi="Arial"/>
          <w:sz w:val="18"/>
          <w:szCs w:val="18"/>
          <w:color w:val="auto"/>
        </w:rPr>
        <w:t>Fair Value is calculated using the discounted cash flow analysis described above.</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Based upon the Company’s annual review as of December 31, 2014, using both the market capitalization approach and discounted cash flow analysis, there was no indication of a potential impairment and, therefore, the second step of the impairment test was not required and no impairment charge was necessary.</w:t>
      </w:r>
    </w:p>
    <w:p>
      <w:pPr>
        <w:spacing w:after="0" w:line="18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elected to be taxed as a REIT under the U.S. Federal Tax Code effective January 1, 2014, and are generally not subject to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state income taxes on our QRSs’ taxable income that we distribute to our stockholders provided that we meet certain organizational and operating requirements. However, even as a REIT, we will remain obligated to pay income taxes on foreign earnings as well as earnings from our TRS assets.</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Accounting for income taxes requires us to estimate the timing and impact of amounts recorded in our financial statements that may be recognized differently for tax purposes. To the extent that the timing of amounts recognized for financial reporting purposes differs from the timing of recognition for tax reporting purposes, deferred tax assets or liabilities are required to be recorded. Deferred tax assets and liabilities are measured based on the rate at which we expect these items to be reflected in our tax returns, which may differ from the current rate. We do not expect to pay federal taxes on our REIT taxable income.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periodically review our deferred tax assets, and we record a valuation allowance to reduce our net deferred tax asset to the amount that management believes is more likely than not to be realized. Valuation allowances may be reversed if related deferred tax assets are deemed realizable based on changes in facts and circumstances relevant to the assets’ recoverability.</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recognize the benefit of uncertain tax positions when, in management’s judgment, it is more likely than not that positions we have taken in our tax returns will be sustained upon examination, which are measured at the largest amount that is greater than 50% likely of being realized upon settlement. We adjust our tax liabilities when our judgment changes as a result of the evaluation of new information or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additional information is available or the position is ultimately settled under audit.</w:t>
      </w:r>
    </w:p>
    <w:p>
      <w:pPr>
        <w:spacing w:after="0" w:line="19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consider the earnings of certain non-U.S. subsidiaries to be indefinitely invested outside the United States on the basis of estimates that future domestic cash generation will be sufficient to meet future domestic cash needs. Should we decide to repatriate the foreign earnings, we may have to adjust the income tax provision in the period we determined that the earnings will no longer be indefinitely invested outside of the United States.</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The Company had an asset retirement obligation of $204.3 million as of December 31, 2014. This liability relates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obligation upon the termination or non-renewal of a lease to dismantle and remove its billboard structures from the leased land and to reclaim the site to its original condition. The Company records the present value of obligations associated with the retirement of tangible long-lived assets in the period in which they are incurred. The liability is capitalized as part of the related long-lived asset’s carrying amount. Over time, accretion of the liability is recognized as an operating expense and the capitalized cost is depreciated over the expected useful life of the related asset. In calculating the liability, the Company calculates the present value of the estimated cost to dismantle using an average cost to dismantle, adjusted for inflation and market risk.</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calculation includes 100% of the Company’s billboard structures on leased land (which currently consist of approximately 72,000 structures). The Company uses a 15-year retirement period based on historical operating experience in its core markets, including the actual time that billboard structures have been located on leased land in such markets and the actual length of the leases in the core markets, which includes the initial term of the lease, plus consideration of any renewal period. Historical third-party cost information is used to estimate the cost of dismantling of the structures and the reclamation of the site. The interest rate used to calculate the present value of such costs over the retirement period is based on the Company’s historical credit-adjusted risk free rate.</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Share-based compensation expense is based on the value of the portion of share-based payment awards that is ultimately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to vest. Share-Based Payment Accounting requires the use of a valuation model to calculate the fair value of share-based awards. The Company has elected to use the Black-Scholes option-pricing model. The Black-Scholes option-pricing model incorporates various assumptions, including volatility, expected life and interest rates. The expected life is based on the observed and expected time to post-vesting exercise and forfeitures of stock options by our employees. Upon the adoption of Share-Based Payment Accounting, we used a combination of historical and implied volatility, or blended volatility, in deriving the expected volatility assumption as allowed under Share-Based Payment Accounting. The risk-free interest rate assumption is based upon observed interest rates appropriate for the term of our stock options. The dividend yield assumption is based on our history and expectation of dividend payouts. Share-Based Payment Accounting requires forfeitures to be estimated at the time of grant and revised, if necessary, in subsequent periods if actual forfeitures differ from those estimates. Forfeitures were estimated based on our historical experience. If factors change and we employ different assumptions in the application of Share-Based Payment Accounting in future periods, the compensation expense that we record under Share-Based Payment Accounting may differ significantly from what we have recorded in the current period. During 2014, we recorded $9.7 million as compensation expense related to stock options and employee stock purchases. We evaluate and adjust our assumptions on an annual basis. See Note 14 “Stock Compensation Plans” of the Notes to Consolidated Financial Statements for further discussion.</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Allowance for Doubtful Accounts. </w:t>
      </w:r>
      <w:r>
        <w:rPr>
          <w:rFonts w:ascii="Arial" w:cs="Arial" w:eastAsia="Arial" w:hAnsi="Arial"/>
          <w:sz w:val="16"/>
          <w:szCs w:val="16"/>
          <w:color w:val="auto"/>
        </w:rPr>
        <w:t>The Company maintains allowances for doubtful accounts based on the payment patterns of its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analyzes historical results, the economic environment, changes in the credit worthiness of its customers, and other relevant factors in determining the adequacy of the Company’s allowance. Bad debt expense was $5.9 million, $6.0 million and $5.4 million or approximately 0.5% of net revenue for each of the years ended December 31, 2014, 2013, and 2012, respectively. If the future economic environment declines, the inability of customers to pay may occur and the allowance for doubtful accounts may need to be increased, which will result in additional bad debt expense in future years.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January 2014, the FASB issued guidance on the accounting for service concession arrangements with public sector entities. This guidance specifies that an operating entity should not account for a service concession arrangement as a lease and the infrastructure used in a service concession arrangement should not be recognized as property, plant and equipment. This guidance applies when the public sector entity controls the services that the operating entity must provide within the infrastructure and also controls any residual interest in the infrastructure at the end of the term of the arrangement. We are currently evaluating the impact of this guidance, which is effective for reporting periods beginning after December 15, 2014, on our consolidated financial statements.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May 28,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following is a discussion of the consolidated financial condition and results of operations of Lamar Media for the years ended December 31, 2014, 2013 and 2012. This discussion should be read in conjunction with the consolidated financial statements of Lamar Media and the related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certain items in the Consolidated Statements of Operations as a percentage of net revenues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2013 and 2012:</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advertising expenses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35.2</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17.9</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18.6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expenses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20.1</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24.1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22.3</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Net revenues increased $41.2 million or 3.3% to $1.29 billion for the year ended December 31, 2014 from $1.25 billion for the same period in 2013. This increase was attributable primarily to an increase in billboard net revenues of $35.7 million or 3.2% over the prior period which is primarily related to an increase in billboard units obtained through acquisitions in 2013 and 2014 as well as the addition of approximately 200 digital units during the year, an increase in logo sign revenue of $4.0 million, which represents an increase of 6.0% over the prior period due to the addition of the Wisconsin Logo program during 2014, and a $1.5 million increase in transit revenue, which represents an increase of 2.0% over the prior period.</w:t>
      </w:r>
    </w:p>
    <w:p>
      <w:pPr>
        <w:spacing w:after="0" w:line="17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For the year ended December 31, 2014, there was a $28.6 million increase in net revenues as compared to acquisition-adjusted net revenue for the year ended December 31, 2013. The $28.6 million increase in revenue primarily consists of a $25.3 million increase in billboard revenue, a $3.6 million increase in logo revenue and a $0.3 million decrease in transit revenue over the acquisition-adjusted net revenue for the comparable period in 2013. The increase in revenue represents an increase of 2.3% over the comparable period in 2013. See “Reconciliations” below.</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expenses, exclusive of depreciation and amortization and gain on sale of assets, increased $27.5 million or 3.8% to $752.8 million for the year ended December 31, 2014. Operating expenses related to the operations of our outdoor advertising assets increased $15.7 million and corporate expenses increased $11.8 million. Included in corporate expenses is approximately $3.1 million related to the Company’s conversion to real estate investment trust status.</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Depreciation and amortization expense decreased $42.1 million for the year ended December 31, 2014 as compared to the year ended December 31, 2013, primarily due to a significant number of assets purchased in the third quarter of 1999 being fully amortized.</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Due primarily to the above factors, operating income increased $55.2 million to $279.0 million for the year ended December 31, 2014 compared to $223.8 million for the same period in 2013.</w:t>
      </w:r>
    </w:p>
    <w:p>
      <w:pPr>
        <w:spacing w:after="0" w:line="17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During the year ended December 31, 2014, the Company recognized a $26.0 million loss on debt extinguishment related to the early extinguishment of Lamar Media’s 7 7/8% Senior Subordinated Notes due 2018 and the amendment of its senior credit facility. Approximately $10.3 million of the loss is a non-cash expense attributable to the write off of unamortized debt issuance fees associated with the retired debt and the then existing senior credit facility. See — </w:t>
      </w:r>
      <w:r>
        <w:rPr>
          <w:rFonts w:ascii="Arial" w:cs="Arial" w:eastAsia="Arial" w:hAnsi="Arial"/>
          <w:sz w:val="18"/>
          <w:szCs w:val="18"/>
          <w:i w:val="1"/>
          <w:iCs w:val="1"/>
          <w:color w:val="auto"/>
        </w:rPr>
        <w:t xml:space="preserve">“Uses of Cash </w:t>
      </w:r>
      <w:r>
        <w:rPr>
          <w:rFonts w:ascii="Arial" w:cs="Arial" w:eastAsia="Arial" w:hAnsi="Arial"/>
          <w:sz w:val="18"/>
          <w:szCs w:val="18"/>
          <w:color w:val="auto"/>
        </w:rPr>
        <w:t>—</w:t>
      </w:r>
      <w:r>
        <w:rPr>
          <w:rFonts w:ascii="Arial" w:cs="Arial" w:eastAsia="Arial" w:hAnsi="Arial"/>
          <w:sz w:val="18"/>
          <w:szCs w:val="18"/>
          <w:i w:val="1"/>
          <w:iCs w:val="1"/>
          <w:color w:val="auto"/>
        </w:rPr>
        <w:t xml:space="preserve"> Tender Offers and Debt Repayment” </w:t>
      </w:r>
      <w:r>
        <w:rPr>
          <w:rFonts w:ascii="Arial" w:cs="Arial" w:eastAsia="Arial" w:hAnsi="Arial"/>
          <w:sz w:val="18"/>
          <w:szCs w:val="18"/>
          <w:color w:val="auto"/>
        </w:rPr>
        <w:t>for more information.</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Interest expense decreased approximately $41.0 million from $146.3 million for the year ended December 31, 2013 to $105.3 million for the year ended December 31, 2014, due to the reduction in total debt outstanding as well as a decrease in interest rates resulting from the Company’s 2013 and 2014 refinancing transactions. See —</w:t>
      </w:r>
      <w:r>
        <w:rPr>
          <w:rFonts w:ascii="Arial" w:cs="Arial" w:eastAsia="Arial" w:hAnsi="Arial"/>
          <w:sz w:val="18"/>
          <w:szCs w:val="18"/>
          <w:i w:val="1"/>
          <w:iCs w:val="1"/>
          <w:color w:val="auto"/>
        </w:rPr>
        <w:t>“Uses of Cash</w:t>
      </w:r>
      <w:r>
        <w:rPr>
          <w:rFonts w:ascii="Arial" w:cs="Arial" w:eastAsia="Arial" w:hAnsi="Arial"/>
          <w:sz w:val="18"/>
          <w:szCs w:val="18"/>
          <w:color w:val="auto"/>
        </w:rPr>
        <w:t xml:space="preserve"> — </w:t>
      </w:r>
      <w:r>
        <w:rPr>
          <w:rFonts w:ascii="Arial" w:cs="Arial" w:eastAsia="Arial" w:hAnsi="Arial"/>
          <w:sz w:val="18"/>
          <w:szCs w:val="18"/>
          <w:i w:val="1"/>
          <w:iCs w:val="1"/>
          <w:color w:val="auto"/>
        </w:rPr>
        <w:t>Tender Offers and Debt Repayment”</w:t>
      </w:r>
      <w:r>
        <w:rPr>
          <w:rFonts w:ascii="Arial" w:cs="Arial" w:eastAsia="Arial" w:hAnsi="Arial"/>
          <w:sz w:val="18"/>
          <w:szCs w:val="18"/>
          <w:color w:val="auto"/>
        </w:rPr>
        <w:t xml:space="preserve"> for more information.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increase in operating income and decrease in interest expense, offset by the increase in loss on extinguishment of debt over the comparable period in 2013, resulted in an $80.5 million increase in net income before income taxes. The Company recorded an income tax benefit of $143.3 million for the year ended December 31, 2014, which is primarily the write off of a substantial amount of the Company’s deferred tax liabilities resulting from the Company’s conversion to a real estate investment trust.</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year ended December 31, 2014 of $287.0 million, as compared to net income of $40.3 million for the same period in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Because acquisitions occurring after December 31, 2012 (the “acquired assets”) have contributed to our net revenue results for the periods presented, we provide 2013 acquisition-adjusted net revenue, which adjusts our 2013 net revenue for the year ended December 31, 2013 by adding to or subtracting from it the net revenue generated by the acquired or divested assets prior to our acquisition or divestiture of these assets for the same time frame that those assets were owned in the year ended December 31, 2014.</w:t>
      </w:r>
    </w:p>
    <w:p>
      <w:pPr>
        <w:spacing w:after="0" w:line="18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Reconciliations of 2013 reported net revenue to 2013 acquisition-adjusted net revenue for the year ended December 31, 2013 as well as a comparison of 2013 acquisition-adjusted net revenue to 2014 reported net revenue for the year ended December 31, 2014, are provided below:</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4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Year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1260" w:type="dxa"/>
            <w:vAlign w:val="bottom"/>
            <w:tcBorders>
              <w:top w:val="single" w:sz="8" w:color="auto"/>
              <w:bottom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Reported net revenue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center"/>
              <w:ind w:left="270"/>
              <w:spacing w:after="0"/>
              <w:rPr>
                <w:sz w:val="20"/>
                <w:szCs w:val="20"/>
                <w:color w:val="auto"/>
              </w:rPr>
            </w:pPr>
            <w:r>
              <w:rPr>
                <w:rFonts w:ascii="Arial" w:cs="Arial" w:eastAsia="Arial" w:hAnsi="Arial"/>
                <w:sz w:val="18"/>
                <w:szCs w:val="18"/>
                <w:color w:val="auto"/>
                <w:w w:val="90"/>
              </w:rPr>
              <w:t>$1,287,060</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$1,245,842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Acquisition net revenue</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12,641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Adjusted totals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center"/>
              <w:ind w:left="27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1,287,060</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1,258,483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2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5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180" w:type="dxa"/>
            <w:vAlign w:val="bottom"/>
            <w:gridSpan w:val="6"/>
          </w:tcPr>
          <w:p>
            <w:pPr>
              <w:jc w:val="right"/>
              <w:ind w:right="359"/>
              <w:spacing w:after="0"/>
              <w:rPr>
                <w:sz w:val="20"/>
                <w:szCs w:val="20"/>
                <w:color w:val="auto"/>
              </w:rPr>
            </w:pPr>
            <w:r>
              <w:rPr>
                <w:rFonts w:ascii="Arial" w:cs="Arial" w:eastAsia="Arial" w:hAnsi="Arial"/>
                <w:sz w:val="14"/>
                <w:szCs w:val="14"/>
                <w:b w:val="1"/>
                <w:bCs w:val="1"/>
                <w:color w:val="auto"/>
                <w:w w:val="99"/>
              </w:rPr>
              <w:t>Year Ended December 31,</w:t>
            </w:r>
          </w:p>
        </w:tc>
        <w:tc>
          <w:tcPr>
            <w:tcW w:w="200" w:type="dxa"/>
            <w:vAlign w:val="bottom"/>
          </w:tcPr>
          <w:p>
            <w:pPr>
              <w:spacing w:after="0"/>
              <w:rPr>
                <w:sz w:val="16"/>
                <w:szCs w:val="16"/>
                <w:color w:val="auto"/>
              </w:rPr>
            </w:pPr>
          </w:p>
        </w:tc>
        <w:tc>
          <w:tcPr>
            <w:tcW w:w="11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20" w:type="dxa"/>
            <w:vAlign w:val="bottom"/>
            <w:tcBorders>
              <w:bottom w:val="single" w:sz="8" w:color="CCEEFF"/>
            </w:tcBorders>
            <w:gridSpan w:val="2"/>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$ 287,035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$ 40,338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$ 246,697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(143,264)</w:t>
            </w:r>
          </w:p>
        </w:tc>
        <w:tc>
          <w:tcPr>
            <w:tcW w:w="1180" w:type="dxa"/>
            <w:vAlign w:val="bottom"/>
            <w:gridSpan w:val="4"/>
          </w:tcPr>
          <w:p>
            <w:pPr>
              <w:jc w:val="right"/>
              <w:ind w:right="199"/>
              <w:spacing w:after="0"/>
              <w:rPr>
                <w:sz w:val="20"/>
                <w:szCs w:val="20"/>
                <w:color w:val="auto"/>
              </w:rPr>
            </w:pPr>
            <w:r>
              <w:rPr>
                <w:rFonts w:ascii="Arial" w:cs="Arial" w:eastAsia="Arial" w:hAnsi="Arial"/>
                <w:sz w:val="18"/>
                <w:szCs w:val="18"/>
                <w:color w:val="auto"/>
              </w:rPr>
              <w:t>22,977</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(166,241)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other-than-temporary impairment of investment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Loss on debt extinguishment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26,023</w:t>
            </w:r>
          </w:p>
        </w:tc>
        <w:tc>
          <w:tcPr>
            <w:tcW w:w="1180" w:type="dxa"/>
            <w:vAlign w:val="bottom"/>
            <w:gridSpan w:val="4"/>
          </w:tcPr>
          <w:p>
            <w:pPr>
              <w:jc w:val="right"/>
              <w:ind w:right="199"/>
              <w:spacing w:after="0"/>
              <w:rPr>
                <w:sz w:val="20"/>
                <w:szCs w:val="20"/>
                <w:color w:val="auto"/>
              </w:rPr>
            </w:pPr>
            <w:r>
              <w:rPr>
                <w:rFonts w:ascii="Arial" w:cs="Arial" w:eastAsia="Arial" w:hAnsi="Arial"/>
                <w:sz w:val="18"/>
                <w:szCs w:val="18"/>
                <w:color w:val="auto"/>
              </w:rPr>
              <w:t>14,345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11,678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105,152</w:t>
            </w:r>
          </w:p>
        </w:tc>
        <w:tc>
          <w:tcPr>
            <w:tcW w:w="1180" w:type="dxa"/>
            <w:vAlign w:val="bottom"/>
            <w:gridSpan w:val="4"/>
            <w:shd w:val="clear" w:color="auto" w:fill="CCEEFF"/>
          </w:tcPr>
          <w:p>
            <w:pPr>
              <w:jc w:val="right"/>
              <w:ind w:right="199"/>
              <w:spacing w:after="0"/>
              <w:rPr>
                <w:sz w:val="20"/>
                <w:szCs w:val="20"/>
                <w:color w:val="auto"/>
              </w:rPr>
            </w:pPr>
            <w:r>
              <w:rPr>
                <w:rFonts w:ascii="Arial" w:cs="Arial" w:eastAsia="Arial" w:hAnsi="Arial"/>
                <w:sz w:val="18"/>
                <w:szCs w:val="18"/>
                <w:color w:val="auto"/>
              </w:rPr>
              <w:t>146,112</w:t>
            </w:r>
          </w:p>
        </w:tc>
        <w:tc>
          <w:tcPr>
            <w:tcW w:w="12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(40,960)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Gain on disposition of assets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(3,192)</w:t>
            </w:r>
          </w:p>
        </w:tc>
        <w:tc>
          <w:tcPr>
            <w:tcW w:w="1180" w:type="dxa"/>
            <w:vAlign w:val="bottom"/>
            <w:gridSpan w:val="4"/>
          </w:tcPr>
          <w:p>
            <w:pPr>
              <w:jc w:val="right"/>
              <w:ind w:right="139"/>
              <w:spacing w:after="0"/>
              <w:rPr>
                <w:sz w:val="20"/>
                <w:szCs w:val="20"/>
                <w:color w:val="auto"/>
              </w:rPr>
            </w:pPr>
            <w:r>
              <w:rPr>
                <w:rFonts w:ascii="Arial" w:cs="Arial" w:eastAsia="Arial" w:hAnsi="Arial"/>
                <w:sz w:val="18"/>
                <w:szCs w:val="18"/>
                <w:color w:val="auto"/>
              </w:rPr>
              <w:t>(3,804)</w:t>
            </w:r>
          </w:p>
        </w:tc>
        <w:tc>
          <w:tcPr>
            <w:tcW w:w="1260" w:type="dxa"/>
            <w:vAlign w:val="bottom"/>
            <w:gridSpan w:val="4"/>
          </w:tcPr>
          <w:p>
            <w:pPr>
              <w:jc w:val="right"/>
              <w:ind w:right="32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258,435</w:t>
            </w:r>
          </w:p>
        </w:tc>
        <w:tc>
          <w:tcPr>
            <w:tcW w:w="1180" w:type="dxa"/>
            <w:vAlign w:val="bottom"/>
            <w:gridSpan w:val="4"/>
            <w:shd w:val="clear" w:color="auto" w:fill="CCEEFF"/>
          </w:tcPr>
          <w:p>
            <w:pPr>
              <w:jc w:val="right"/>
              <w:ind w:right="199"/>
              <w:spacing w:after="0"/>
              <w:rPr>
                <w:sz w:val="20"/>
                <w:szCs w:val="20"/>
                <w:color w:val="auto"/>
              </w:rPr>
            </w:pPr>
            <w:r>
              <w:rPr>
                <w:rFonts w:ascii="Arial" w:cs="Arial" w:eastAsia="Arial" w:hAnsi="Arial"/>
                <w:sz w:val="18"/>
                <w:szCs w:val="18"/>
                <w:color w:val="auto"/>
              </w:rPr>
              <w:t>300,579</w:t>
            </w:r>
          </w:p>
        </w:tc>
        <w:tc>
          <w:tcPr>
            <w:tcW w:w="12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(42,144)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24,120</w:t>
            </w:r>
          </w:p>
        </w:tc>
        <w:tc>
          <w:tcPr>
            <w:tcW w:w="1180" w:type="dxa"/>
            <w:vAlign w:val="bottom"/>
            <w:gridSpan w:val="4"/>
          </w:tcPr>
          <w:p>
            <w:pPr>
              <w:jc w:val="right"/>
              <w:ind w:right="199"/>
              <w:spacing w:after="0"/>
              <w:rPr>
                <w:sz w:val="20"/>
                <w:szCs w:val="20"/>
                <w:color w:val="auto"/>
              </w:rPr>
            </w:pPr>
            <w:r>
              <w:rPr>
                <w:rFonts w:ascii="Arial" w:cs="Arial" w:eastAsia="Arial" w:hAnsi="Arial"/>
                <w:sz w:val="18"/>
                <w:szCs w:val="18"/>
                <w:color w:val="auto"/>
              </w:rPr>
              <w:t>24,936</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$ 558,378</w:t>
            </w:r>
          </w:p>
        </w:tc>
        <w:tc>
          <w:tcPr>
            <w:tcW w:w="1180" w:type="dxa"/>
            <w:vAlign w:val="bottom"/>
            <w:gridSpan w:val="4"/>
            <w:shd w:val="clear" w:color="auto" w:fill="CCEEFF"/>
          </w:tcPr>
          <w:p>
            <w:pPr>
              <w:jc w:val="right"/>
              <w:ind w:right="199"/>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545,483</w:t>
            </w:r>
          </w:p>
        </w:tc>
        <w:tc>
          <w:tcPr>
            <w:tcW w:w="12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12,895</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Adjusted EBITDA for the year ended December 31, 2014 increased 2.4% to $558.4 million. The increase in Adjusted EBITDA was primarily attributable to the increase in our gross margin (net revenue less direct advertising expense) of $24.8 million, and was partially offset by an increase in general administrative and corporate expenses of $11.9 million, excluding the impact of stock-based compensation expense.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Amount of</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r>
      <w:tr>
        <w:trPr>
          <w:trHeight w:val="185"/>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3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6"/>
                <w:szCs w:val="16"/>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Increase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$ 287,035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246,697</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611.6%</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241,294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283,424</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(42,130)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or disposal of real estate</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One time adjustment to taxes related to REIT conversion</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(153,472)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(153,472)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FFO</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$ 372,871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322,728</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50,143</w:t>
            </w:r>
          </w:p>
        </w:tc>
        <w:tc>
          <w:tcPr>
            <w:tcW w:w="4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Straight line expense</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24,120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24,936</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(816)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Non-cash portion of tax provision</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18,885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(20,941)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17,141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17,155</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14,667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(9,890)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Loss on other-than-temporary impairment of investment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4,069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26,023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14,345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(56,820)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(64,073)</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7,253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AFFO</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$ 388,589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346,516</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42,073</w:t>
            </w:r>
          </w:p>
        </w:tc>
        <w:tc>
          <w:tcPr>
            <w:tcW w:w="4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FFO for the year ended December 31, 2014 was $372.9 million as compared to FFO of $322.7 million for the same period in 2013. AFFO for the year ended December 31, 2014 increased 12.1% to $388.6 million as compared to $346.5 million for the same period in 2013. AFFO growth was primarily attributable to the increase in our gross margin (net revenue less direct advertising expense) and decrease in interest expense, partially offset by increases in general and administrative expenses and corporate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Net revenues increased $66.1 million or 5.6% to $1.25 billion for the year ended December 31, 2013 from $1.18 billion for the same period in 2012. This increase was attributable primarily to an increase in billboard net revenues of $52.1 million or 5.0% over the prior period, an increase in logo sign revenue of $6.0 million, which represents an increase of 9.5% over the prior period, and an $8.0 million increase in transit revenue, which represents an increase of 11.8% over the prior period.</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For the year ended December 31, 2013, there was a $26.9 million increase in net revenues as compared to acquisition-adjusted net revenue for the year ended December 31, 2012. The $26.9 million increase in revenue primarily consists of a $19.4 million increase in billboard revenue, a $3.6 million increase in logo revenue and a $4.0 million increase in transit revenue over the acquisition-adjusted net revenue for the comparable period in 2012. This increase in revenue represents an increase of 2.2% over the comparable period in 2012. See “Reconciliations” below.</w:t>
      </w:r>
    </w:p>
    <w:p>
      <w:pPr>
        <w:spacing w:after="0" w:line="17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Operating expenses, exclusive of depreciation and amortization and gain on sale of assets, increased $42.7 million or 6.2% to $725.3 million for the year ended December 31, 2013, which includes a $10.5 million increase in non-cash compensation. Excluding non-cash compensation, operating expenses related to the operations of our outdoor advertising assets increased $28.3 million and corporate expenses increased $3.9 million, of which $2.1 million is related to the Company’s evaluation of an election to real estate investment trust status.</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Depreciation and amortization expense increased $4.5 million for the year ended December 31, 2013 as compared to the year ended December 31, 2012, primarily due to Lamar Media’s capital expenditures.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year ended December 31, 2013, gain on disposition of assets decreased $10.0 million over the comparable period ended December 31, 2012, primarily due to a gain of $9.8 million related to two asset swap transactions, which occurred in 2012.</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Due to the above factors, operating income increased $8.9 million to $223.8 million for the year ended December 31, 2013 compared to $214.9 million for the same period in 2012.</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During the year ended December 31, 2013, the Company recognized a $14.3 million loss on debt extinguishment related to the early extinguishment of our 9 3/4% Senior Notes due 2014. Approximately $4.0 million of the loss is a non-cash expense attributable to the write off of unamortized debt issuance fees and unamortized discounts associated with the retired debt. See — </w:t>
      </w:r>
      <w:r>
        <w:rPr>
          <w:rFonts w:ascii="Arial" w:cs="Arial" w:eastAsia="Arial" w:hAnsi="Arial"/>
          <w:sz w:val="16"/>
          <w:szCs w:val="16"/>
          <w:i w:val="1"/>
          <w:iCs w:val="1"/>
          <w:color w:val="auto"/>
        </w:rPr>
        <w:t>“Uses of Cash</w:t>
      </w:r>
      <w:r>
        <w:rPr>
          <w:rFonts w:ascii="Arial" w:cs="Arial" w:eastAsia="Arial" w:hAnsi="Arial"/>
          <w:sz w:val="16"/>
          <w:szCs w:val="16"/>
          <w:color w:val="auto"/>
        </w:rPr>
        <w:t xml:space="preserve"> — </w:t>
      </w:r>
      <w:r>
        <w:rPr>
          <w:rFonts w:ascii="Arial" w:cs="Arial" w:eastAsia="Arial" w:hAnsi="Arial"/>
          <w:sz w:val="16"/>
          <w:szCs w:val="16"/>
          <w:i w:val="1"/>
          <w:iCs w:val="1"/>
          <w:color w:val="auto"/>
        </w:rPr>
        <w:t>Tender Offers and Debt Repayment”</w:t>
      </w:r>
      <w:r>
        <w:rPr>
          <w:rFonts w:ascii="Arial" w:cs="Arial" w:eastAsia="Arial" w:hAnsi="Arial"/>
          <w:sz w:val="16"/>
          <w:szCs w:val="16"/>
          <w:color w:val="auto"/>
        </w:rPr>
        <w:t xml:space="preserve"> for more information.</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Interest expense decreased approximately $10.8 million from $157.1 million for the year ended December 31, 2012 to $146.3 million for the year ended December 31, 2013, due to the reduction in total debt outstanding as well as a decrease in interest rates resulting from our refinancing transactions in 2012. See —</w:t>
      </w:r>
      <w:r>
        <w:rPr>
          <w:rFonts w:ascii="Arial" w:cs="Arial" w:eastAsia="Arial" w:hAnsi="Arial"/>
          <w:sz w:val="18"/>
          <w:szCs w:val="18"/>
          <w:i w:val="1"/>
          <w:iCs w:val="1"/>
          <w:color w:val="auto"/>
        </w:rPr>
        <w:t>“Uses of Cash</w:t>
      </w:r>
      <w:r>
        <w:rPr>
          <w:rFonts w:ascii="Arial" w:cs="Arial" w:eastAsia="Arial" w:hAnsi="Arial"/>
          <w:sz w:val="18"/>
          <w:szCs w:val="18"/>
          <w:color w:val="auto"/>
        </w:rPr>
        <w:t xml:space="preserve"> — </w:t>
      </w:r>
      <w:r>
        <w:rPr>
          <w:rFonts w:ascii="Arial" w:cs="Arial" w:eastAsia="Arial" w:hAnsi="Arial"/>
          <w:sz w:val="18"/>
          <w:szCs w:val="18"/>
          <w:i w:val="1"/>
          <w:iCs w:val="1"/>
          <w:color w:val="auto"/>
        </w:rPr>
        <w:t>Tender Offers and Debt Repayment”</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The increase in operating income, decrease in interest expense and decrease in loss on extinguishment of debt over the comparable period in 2012 resulted in a $46.8 million increase in net income before income taxes. Lamar Media recorded income tax expense of $23.0 million for the year ended December 31, 2013. The effective tax rate for the year ended December 31, 2013 was 36.3%, which is lower than the statutory rates primarily due to an increase in the corporate income tax rate in Puerto Rico from 30% to 39%, which resulted in a change to the carrying value of net operating loss carry forwards during the period.</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year ended December 31, 2013 of $40.3 million, as compared to net income of $8.1 million for the same period in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Because acquisitions occurring after December 31, 2011 (the “acquired assets”) have contributed to our net revenue results for the periods presented, we provide 2012 acquisition-adjusted net revenue, which adjusts our 2012 net revenue for the year ended December 31, 2012 by adding to or subtracting from it the net revenue generated by the acquired or divested assets prior to our acquisition or divestiture of these assets for the same time frame that those assets were owned in the year ended December 31, 2013.</w:t>
      </w:r>
    </w:p>
    <w:p>
      <w:pPr>
        <w:spacing w:after="0" w:line="18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Reconciliations of 2012 reported net revenue to 2012 acquisition-adjusted net revenue for the year ended December 31, 2012 as well as a comparison of 2012 acquisition-adjusted net revenue to 2013 reported net revenue for the year ended December 31, 2013, are provided below:</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4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Year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ind w:left="142"/>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6"/>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Reported 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$1,245,842</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$1,179,736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Acquisition net revenue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39,174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Adjusted totals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1,245,842</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1,218,910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Pr>
          <w:p>
            <w:pPr>
              <w:spacing w:after="0"/>
              <w:rPr>
                <w:sz w:val="16"/>
                <w:szCs w:val="16"/>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40" w:type="dxa"/>
            <w:vAlign w:val="bottom"/>
            <w:tcBorders>
              <w:bottom w:val="single" w:sz="8" w:color="CCEEFF"/>
            </w:tcBorders>
            <w:gridSpan w:val="2"/>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8,115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$ 32,223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22,977</w:t>
            </w:r>
          </w:p>
        </w:tc>
        <w:tc>
          <w:tcPr>
            <w:tcW w:w="4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8,353</w:t>
            </w:r>
          </w:p>
        </w:tc>
        <w:tc>
          <w:tcPr>
            <w:tcW w:w="1260" w:type="dxa"/>
            <w:vAlign w:val="bottom"/>
            <w:gridSpan w:val="4"/>
          </w:tcPr>
          <w:p>
            <w:pPr>
              <w:jc w:val="right"/>
              <w:ind w:right="340"/>
              <w:spacing w:after="0"/>
              <w:rPr>
                <w:sz w:val="20"/>
                <w:szCs w:val="20"/>
                <w:color w:val="auto"/>
              </w:rPr>
            </w:pPr>
            <w:r>
              <w:rPr>
                <w:rFonts w:ascii="Arial" w:cs="Arial" w:eastAsia="Arial" w:hAnsi="Arial"/>
                <w:sz w:val="18"/>
                <w:szCs w:val="18"/>
                <w:color w:val="auto"/>
              </w:rPr>
              <w:t>14,624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debt extinguishment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14,345</w:t>
            </w: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41,632</w:t>
            </w:r>
          </w:p>
        </w:tc>
        <w:tc>
          <w:tcPr>
            <w:tcW w:w="12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(27,287)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146,112</w:t>
            </w:r>
          </w:p>
        </w:tc>
        <w:tc>
          <w:tcPr>
            <w:tcW w:w="4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156,762</w:t>
            </w:r>
          </w:p>
        </w:tc>
        <w:tc>
          <w:tcPr>
            <w:tcW w:w="1260" w:type="dxa"/>
            <w:vAlign w:val="bottom"/>
            <w:gridSpan w:val="4"/>
          </w:tcPr>
          <w:p>
            <w:pPr>
              <w:jc w:val="right"/>
              <w:ind w:right="280"/>
              <w:spacing w:after="0"/>
              <w:rPr>
                <w:sz w:val="20"/>
                <w:szCs w:val="20"/>
                <w:color w:val="auto"/>
              </w:rPr>
            </w:pPr>
            <w:r>
              <w:rPr>
                <w:rFonts w:ascii="Arial" w:cs="Arial" w:eastAsia="Arial" w:hAnsi="Arial"/>
                <w:sz w:val="18"/>
                <w:szCs w:val="18"/>
                <w:color w:val="auto"/>
              </w:rPr>
              <w:t>(10,650)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disposition of assets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(3,804)</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(13,817)</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10,013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300,579</w:t>
            </w:r>
          </w:p>
        </w:tc>
        <w:tc>
          <w:tcPr>
            <w:tcW w:w="4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296,083</w:t>
            </w:r>
          </w:p>
        </w:tc>
        <w:tc>
          <w:tcPr>
            <w:tcW w:w="1260" w:type="dxa"/>
            <w:vAlign w:val="bottom"/>
            <w:gridSpan w:val="4"/>
          </w:tcPr>
          <w:p>
            <w:pPr>
              <w:jc w:val="right"/>
              <w:ind w:right="340"/>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24,936</w:t>
            </w: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14,466</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10,470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545,483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511,594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$ 33,889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Adjusted EBITDA for the year ended December 31, 2013, increased 6.6% to $545.5 million. Adjusted EBITDA increase was primarily attributable to the increase in our gross margin (net revenue less direct advertising expense) of 6.3% offset by increases in general and administrative and corporate expense over the same period in 2012.</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78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Lamar Advertising Company and Lamar Media Corp.</w:t>
      </w:r>
    </w:p>
    <w:p>
      <w:pPr>
        <w:ind w:right="260" w:firstLine="456"/>
        <w:spacing w:after="0" w:line="312" w:lineRule="auto"/>
        <w:rPr>
          <w:sz w:val="20"/>
          <w:szCs w:val="20"/>
          <w:color w:val="auto"/>
        </w:rPr>
      </w:pPr>
      <w:r>
        <w:rPr>
          <w:rFonts w:ascii="Arial" w:cs="Arial" w:eastAsia="Arial" w:hAnsi="Arial"/>
          <w:sz w:val="16"/>
          <w:szCs w:val="16"/>
          <w:color w:val="auto"/>
        </w:rPr>
        <w:t>Lamar Advertising Company is exposed to interest rate risk in connection with variable rate debt instruments issued by its wholly owned subsidiary Lamar Media Corp. The information below summarizes the Company’s interest rate risk associated with its principal variable rate debt instruments outstanding at December 31, 2014, and should be read in conjunction with Note 8 of the Notes to the Company’s Consolidated Financial Statements.</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Loans under Lamar Media Corp.’s senior credit facility bear interest at variable rates equal to the Adjusted LIBO Rate or Adjusted Base Rate plus the applicable margin. Because the Adjusted LIBO Rate or Adjusted Base Rate may increase or decrease at any time, the Company is exposed to market risk as a result of the impact that changes in these base rates may have on the interest rate applicable to borrowings under the senior credit facility. Increases in the interest rates applicable to borrowings under the senior credit facility would result in increased interest expense and a reduction in the Company’s net income.</w:t>
      </w:r>
    </w:p>
    <w:p>
      <w:pPr>
        <w:spacing w:after="0" w:line="15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At December 31, 2014 there was approximately $353.8 million of aggregate indebtedness outstanding under the senior credit facility, or approximately 18.6% of the Company’s outstanding long-term debt on that date, bearing interest at variable rates. The aggregate interest expense for 2014 with respect to borrowings under the senior credit facility was $7.8 million, and the weighted average interest rate applicable to borrowings under this credit facility during 2014 was 2.3%. Assuming that the weighted average interest rate was 200 basis points higher (that is 4.3% rather than 2.3%), then the Company’s 2014 interest expense would have increased by approximately $5.3 million for the years ended December 31, 2014.</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attempted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620" w:type="dxa"/>
            <w:vAlign w:val="bottom"/>
            <w:gridSpan w:val="10"/>
          </w:tcPr>
          <w:p>
            <w:pPr>
              <w:spacing w:after="0"/>
              <w:rPr>
                <w:sz w:val="17"/>
                <w:szCs w:val="17"/>
                <w:color w:val="auto"/>
              </w:rPr>
            </w:pPr>
          </w:p>
        </w:tc>
        <w:tc>
          <w:tcPr>
            <w:tcW w:w="2340" w:type="dxa"/>
            <w:vAlign w:val="bottom"/>
          </w:tcPr>
          <w:p>
            <w:pPr>
              <w:spacing w:after="0"/>
              <w:rPr>
                <w:sz w:val="17"/>
                <w:szCs w:val="17"/>
                <w:color w:val="auto"/>
              </w:rPr>
            </w:pPr>
          </w:p>
        </w:tc>
      </w:tr>
      <w:tr>
        <w:trPr>
          <w:trHeight w:val="5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080" w:type="dxa"/>
            <w:vAlign w:val="bottom"/>
            <w:gridSpan w:val="11"/>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2340" w:type="dxa"/>
            <w:vAlign w:val="bottom"/>
          </w:tcPr>
          <w:p>
            <w:pPr>
              <w:spacing w:after="0"/>
              <w:rPr>
                <w:sz w:val="24"/>
                <w:szCs w:val="24"/>
                <w:color w:val="auto"/>
              </w:rPr>
            </w:pPr>
          </w:p>
        </w:tc>
      </w:tr>
      <w:tr>
        <w:trPr>
          <w:trHeight w:val="414"/>
        </w:trPr>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820" w:type="dxa"/>
            <w:vAlign w:val="bottom"/>
            <w:gridSpan w:val="9"/>
          </w:tcPr>
          <w:p>
            <w:pPr>
              <w:jc w:val="center"/>
              <w:ind w:right="700"/>
              <w:spacing w:after="0"/>
              <w:rPr>
                <w:sz w:val="20"/>
                <w:szCs w:val="20"/>
                <w:color w:val="auto"/>
              </w:rPr>
            </w:pPr>
            <w:r>
              <w:rPr>
                <w:rFonts w:ascii="Arial" w:cs="Arial" w:eastAsia="Arial" w:hAnsi="Arial"/>
                <w:sz w:val="18"/>
                <w:szCs w:val="18"/>
                <w:b w:val="1"/>
                <w:bCs w:val="1"/>
                <w:color w:val="auto"/>
              </w:rPr>
              <w:t>LAMAR ADVERTISING COMPANY</w:t>
            </w:r>
          </w:p>
        </w:tc>
        <w:tc>
          <w:tcPr>
            <w:tcW w:w="234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320" w:type="dxa"/>
            <w:vAlign w:val="bottom"/>
            <w:gridSpan w:val="8"/>
          </w:tcPr>
          <w:p>
            <w:pPr>
              <w:jc w:val="center"/>
              <w:ind w:right="2220"/>
              <w:spacing w:after="0"/>
              <w:rPr>
                <w:sz w:val="20"/>
                <w:szCs w:val="20"/>
                <w:color w:val="auto"/>
              </w:rPr>
            </w:pPr>
            <w:r>
              <w:rPr>
                <w:rFonts w:ascii="Arial" w:cs="Arial" w:eastAsia="Arial" w:hAnsi="Arial"/>
                <w:sz w:val="18"/>
                <w:szCs w:val="18"/>
                <w:b w:val="1"/>
                <w:bCs w:val="1"/>
                <w:color w:val="auto"/>
                <w:w w:val="98"/>
              </w:rPr>
              <w:t>AND SUBSIDIARIES</w:t>
            </w:r>
          </w:p>
        </w:tc>
        <w:tc>
          <w:tcPr>
            <w:tcW w:w="2340" w:type="dxa"/>
            <w:vAlign w:val="bottom"/>
          </w:tcPr>
          <w:p>
            <w:pPr>
              <w:spacing w:after="0"/>
              <w:rPr>
                <w:sz w:val="20"/>
                <w:szCs w:val="20"/>
                <w:color w:val="auto"/>
              </w:rPr>
            </w:pPr>
          </w:p>
        </w:tc>
      </w:tr>
      <w:tr>
        <w:trPr>
          <w:trHeight w:val="419"/>
        </w:trPr>
        <w:tc>
          <w:tcPr>
            <w:tcW w:w="49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Management’s Report on Internal Control Over Financial Reporting</w:t>
              </w:r>
            </w:hyperlink>
          </w:p>
        </w:tc>
        <w:tc>
          <w:tcPr>
            <w:tcW w:w="406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75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Report of Independent Registered Public Accounting Firm — Internal Control Over Financial Reporting</w:t>
              </w:r>
            </w:hyperlink>
          </w:p>
        </w:tc>
        <w:tc>
          <w:tcPr>
            <w:tcW w:w="144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70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Report of Independent Registered Public Accounting Firm — Consolidated Financial Statements</w:t>
              </w:r>
            </w:hyperlink>
          </w:p>
        </w:tc>
        <w:tc>
          <w:tcPr>
            <w:tcW w:w="19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Consolidated Balance Sheets as of December 31, 2014 and 2013</w:t>
              </w:r>
            </w:hyperlink>
          </w:p>
        </w:tc>
        <w:tc>
          <w:tcPr>
            <w:tcW w:w="432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89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Operations and Comprehensive Income for the years ended December 31, 2014, 2013 and 2012</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980" w:type="dxa"/>
            <w:vAlign w:val="bottom"/>
            <w:gridSpan w:val="1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Stockholders’ Equity for the years ended December 31, 2014, 2013 and 2012</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6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Cash Flows for the years ended December 31, 2014, 2013 and 2012</w:t>
              </w:r>
            </w:hyperlink>
          </w:p>
        </w:tc>
        <w:tc>
          <w:tcPr>
            <w:tcW w:w="720" w:type="dxa"/>
            <w:vAlign w:val="bottom"/>
            <w:tcBorders>
              <w:top w:val="single" w:sz="8" w:color="0000EE"/>
            </w:tcBorders>
            <w:gridSpan w:val="4"/>
          </w:tcPr>
          <w:p>
            <w:pPr>
              <w:spacing w:after="0"/>
              <w:rPr>
                <w:sz w:val="17"/>
                <w:szCs w:val="17"/>
                <w:color w:val="auto"/>
              </w:rPr>
            </w:pPr>
          </w:p>
        </w:tc>
        <w:tc>
          <w:tcPr>
            <w:tcW w:w="13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582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50-67</w:t>
            </w:r>
          </w:p>
        </w:tc>
      </w:tr>
      <w:tr>
        <w:trPr>
          <w:trHeight w:val="196"/>
        </w:trPr>
        <w:tc>
          <w:tcPr>
            <w:tcW w:w="77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Schedule II — Valuation and Qualifying Accounts for the years ended December 31, 2014, 2013 and 2012</w:t>
              </w:r>
            </w:hyperlink>
          </w:p>
        </w:tc>
        <w:tc>
          <w:tcPr>
            <w:tcW w:w="12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8980" w:type="dxa"/>
            <w:vAlign w:val="bottom"/>
            <w:gridSpan w:val="1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Schedule III — Schedule of Real Estate and Accumulated Depreciation as of December 31, 2014</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385"/>
        </w:trPr>
        <w:tc>
          <w:tcPr>
            <w:tcW w:w="900" w:type="dxa"/>
            <w:vAlign w:val="bottom"/>
            <w:tcBorders>
              <w:top w:val="single" w:sz="8" w:color="0000EE"/>
            </w:tcBorders>
          </w:tcPr>
          <w:p>
            <w:pPr>
              <w:spacing w:after="0"/>
              <w:rPr>
                <w:sz w:val="24"/>
                <w:szCs w:val="24"/>
                <w:color w:val="auto"/>
              </w:rPr>
            </w:pPr>
          </w:p>
        </w:tc>
        <w:tc>
          <w:tcPr>
            <w:tcW w:w="6020" w:type="dxa"/>
            <w:vAlign w:val="bottom"/>
            <w:tcBorders>
              <w:top w:val="single" w:sz="8" w:color="0000EE"/>
            </w:tcBorders>
            <w:gridSpan w:val="5"/>
          </w:tcPr>
          <w:p>
            <w:pPr>
              <w:jc w:val="center"/>
              <w:ind w:left="3510"/>
              <w:spacing w:after="0"/>
              <w:rPr>
                <w:sz w:val="20"/>
                <w:szCs w:val="20"/>
                <w:color w:val="auto"/>
              </w:rPr>
            </w:pPr>
            <w:r>
              <w:rPr>
                <w:rFonts w:ascii="Arial" w:cs="Arial" w:eastAsia="Arial" w:hAnsi="Arial"/>
                <w:sz w:val="18"/>
                <w:szCs w:val="18"/>
                <w:color w:val="auto"/>
                <w:w w:val="89"/>
              </w:rPr>
              <w:t>42</w:t>
            </w: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management of Lamar Advertising Company is responsible for establishing and maintaining adequate internal control over financial reporting as such term is defined in Rule 13a-15(f) and 15d-15(f) under the Exchange Act.</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Lamar Advertising’s management assessed the effectiveness of Lamar Advertising’s internal control over financial reporting as of December 31, 2014.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(1992)</w:t>
      </w:r>
      <w:r>
        <w:rPr>
          <w:rFonts w:ascii="Arial" w:cs="Arial" w:eastAsia="Arial" w:hAnsi="Arial"/>
          <w:sz w:val="18"/>
          <w:szCs w:val="18"/>
          <w:color w:val="auto"/>
        </w:rPr>
        <w:t>. Based on this assessment, Lamar Advertising’s management has concluded that, as of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Lamar Advertising’s internal control over financial reporting is effective based on those criteria. The effectiveness of Lamar Advertising’s internal control over financial reporting as of December 31, 2014 has been audited by KPMG LLP, an independent registered public accounting firm, as stated in their report, which is included in Item 8 to this Annual Report.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21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We have audited Lamar Advertising Company’s internal control over financial reporting as of December 31, 2014, based on criteria established in </w:t>
      </w:r>
      <w:r>
        <w:rPr>
          <w:rFonts w:ascii="Arial" w:cs="Arial" w:eastAsia="Arial" w:hAnsi="Arial"/>
          <w:sz w:val="17"/>
          <w:szCs w:val="17"/>
          <w:i w:val="1"/>
          <w:iCs w:val="1"/>
          <w:color w:val="auto"/>
        </w:rPr>
        <w:t xml:space="preserve">Internal Control — Integrated Framework (1992) </w:t>
      </w:r>
      <w:r>
        <w:rPr>
          <w:rFonts w:ascii="Arial" w:cs="Arial" w:eastAsia="Arial" w:hAnsi="Arial"/>
          <w:sz w:val="17"/>
          <w:szCs w:val="17"/>
          <w:color w:val="auto"/>
        </w:rPr>
        <w:t>issued by the Committee of Sponsoring Organizations of the Treadway Commission (COSO). Lamar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Advertising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In our opinion, Lamar Advertising Company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Lamar Advertising Company and subsidiaries as of December 31, 2014 and 2013, and the related consolidated statements of operations and comprehensive income, stockholders’ equity, and cash flows for each of the years in the three-year period ended December 31, 2014, and the financial statement schedules, and our report dated February 26, 2015 expressed an unqualified opinion on those consolidated financial statements and schedules.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21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audited the accompanying consolidated balance sheets of Lamar Advertising Company and subsidiaries as of December 31, 2014 and 2013, and the related consolidated statements of operations and comprehensive income, stockholders’ equity, and cash flows for each of the years in the three-year period ended December 31, 2014. In connection with our audits of the consolidated financial statements, we also have audited financial statement schedules II and III. These consolidated financial statements and financial statement schedules are the responsibility of the Company’s management. Our responsibility is to express an opinion on these consolidated financial statements and financial statement schedules based on our audits.</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Lamar Advertising Company and subsidiaries as of December 31, 2014 and 2013, and the results of their operations and their cash flows for each of the years in the three-year period ended December 31, 2014, in conformity with U.S. generally accepted accounting principles. Also in our opinion, the related financial statement schedules, when considered in relation to the basic consolidated financial statements taken as a whole, present fairly, in all material respects, the information set forth therein.</w:t>
      </w:r>
    </w:p>
    <w:p>
      <w:pPr>
        <w:spacing w:after="0" w:line="18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Lamar Advertising Company’s internal control over financial reporting as of December 31, 2014,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(1992) </w:t>
      </w:r>
      <w:r>
        <w:rPr>
          <w:rFonts w:ascii="Arial" w:cs="Arial" w:eastAsia="Arial" w:hAnsi="Arial"/>
          <w:sz w:val="18"/>
          <w:szCs w:val="18"/>
          <w:color w:val="auto"/>
        </w:rPr>
        <w:t>issued by the Committee of Sponsoring Organizations of the Treadway Commission (COSO), and our report dated February 26, 2015,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effectiveness of the Company’s internal control over financial reporting.</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and 2013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ind w:left="404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Receivables, net of allowance for doubtful accounts of $7,957 and $7,615 as of 2014 and 2013, respectively</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169,610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 assets (note 11)</w:t>
            </w: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273,144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(note 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3,110,385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3,036,456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(2,026,745)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(1,914,527)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property, plant and equipment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1,083,640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1,121,929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Goodwill (note 5)</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1,512,768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1,503,553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(note 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w w:val="97"/>
              </w:rPr>
              <w:t>Deferred financing costs, net of accumulated amortization of $14,764 and $25,180 as of 2014 and 2013, respectively</w:t>
            </w: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32,725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(note 11)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37,060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3,318,818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3,401,618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Trade 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16,368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 (note 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Accrued expenses (note 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108,790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84,558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225,341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1,884,270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1,882,867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 liabilities (note 11)</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 (note 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23,414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2,337,352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2,468,672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Stockholders’ equity (note 13):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Series AA preferred stock, par value $.001, $63.80 cumulative dividends, authorized 5,720 shares; 5,720 shares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 at 2014 and 2013</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tcPr>
          <w:p>
            <w:pPr>
              <w:ind w:left="340"/>
              <w:spacing w:after="0" w:line="201" w:lineRule="exact"/>
              <w:rPr>
                <w:sz w:val="20"/>
                <w:szCs w:val="20"/>
                <w:color w:val="auto"/>
              </w:rPr>
            </w:pPr>
            <w:r>
              <w:rPr>
                <w:rFonts w:ascii="Arial" w:cs="Arial" w:eastAsia="Arial" w:hAnsi="Arial"/>
                <w:sz w:val="18"/>
                <w:szCs w:val="18"/>
                <w:color w:val="auto"/>
                <w:w w:val="97"/>
              </w:rPr>
              <w:t>Class A preferred stock, par value $638, $63.80 cumulative dividends, 0 and 10,000 shares authorized, 0 shares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520"/>
              <w:spacing w:after="0"/>
              <w:rPr>
                <w:sz w:val="20"/>
                <w:szCs w:val="20"/>
                <w:color w:val="auto"/>
              </w:rPr>
            </w:pPr>
            <w:r>
              <w:rPr>
                <w:rFonts w:ascii="Arial" w:cs="Arial" w:eastAsia="Arial" w:hAnsi="Arial"/>
                <w:sz w:val="18"/>
                <w:szCs w:val="18"/>
                <w:color w:val="auto"/>
              </w:rPr>
              <w:t>issued and outstanding at 2014 and 2013, respectively</w:t>
            </w:r>
          </w:p>
        </w:tc>
        <w:tc>
          <w:tcPr>
            <w:tcW w:w="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Class A common stock, par value $.001, 362,500,000 and 175,000,000 shares authorized, 80,933,071 and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97,426,144 shares issued and 80,933,071 and 80,209,509 outstanding at 2014 and 2013, 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tcPr>
          <w:p>
            <w:pPr>
              <w:ind w:left="340"/>
              <w:spacing w:after="0" w:line="201" w:lineRule="exact"/>
              <w:rPr>
                <w:sz w:val="20"/>
                <w:szCs w:val="20"/>
                <w:color w:val="auto"/>
              </w:rPr>
            </w:pPr>
            <w:r>
              <w:rPr>
                <w:rFonts w:ascii="Arial" w:cs="Arial" w:eastAsia="Arial" w:hAnsi="Arial"/>
                <w:sz w:val="18"/>
                <w:szCs w:val="18"/>
                <w:color w:val="auto"/>
                <w:w w:val="93"/>
              </w:rPr>
              <w:t>Class B common stock, par value $.001, 37,500,000 shares authorized, 14,610,365 shares issued and outstanding at</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520"/>
              <w:spacing w:after="0"/>
              <w:rPr>
                <w:sz w:val="20"/>
                <w:szCs w:val="20"/>
                <w:color w:val="auto"/>
              </w:rPr>
            </w:pPr>
            <w:r>
              <w:rPr>
                <w:rFonts w:ascii="Arial" w:cs="Arial" w:eastAsia="Arial" w:hAnsi="Arial"/>
                <w:sz w:val="18"/>
                <w:szCs w:val="18"/>
                <w:color w:val="auto"/>
              </w:rPr>
              <w:t>2014 and 2013</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1,611,775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2,470,375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comprehensive income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(632,859)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Cost of shares held in treasury, 0 and 17,216,635 shares in 2014 and 2013, respectively</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3,318,818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3,401,618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revenues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1,287,060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1,245,842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1,179,736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(income):</w:t>
            </w: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453,269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436,844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 (exclusive of depreciation and amortization)</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230,800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231,574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Corporate expenses (exclusive of depreciation and amortization)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69,078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57,212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(note 10)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258,435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300,579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Gain on disposition of assets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(3,192)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1,008,390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1,022,405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278,670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223,437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26,023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Other-than-temporary impairment of investment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105,254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146,277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135,244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143,426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(benefit) expense (note 11)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(110,092)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22,841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253,153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95,218,083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94,387,230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93,379,246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Incremental common shares from dilutive stock options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358,285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287,395</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Weighted average common shares assuming dilution</w:t>
            </w:r>
          </w:p>
        </w:tc>
        <w:tc>
          <w:tcPr>
            <w:tcW w:w="7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95,284,126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94,745,515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93,666,641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253,518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40,139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252,105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7"/>
              </w:rPr>
              <w:t>Series AA</w:t>
            </w:r>
          </w:p>
        </w:tc>
        <w:tc>
          <w:tcPr>
            <w:tcW w:w="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Class A</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Class B</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Treasury</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Add’l</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Accumulated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PREF</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w:t>
            </w:r>
          </w:p>
        </w:tc>
        <w:tc>
          <w:tcPr>
            <w:tcW w:w="1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CMN</w:t>
            </w:r>
          </w:p>
        </w:tc>
        <w:tc>
          <w:tcPr>
            <w:tcW w:w="6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CMN</w:t>
            </w:r>
          </w:p>
        </w:tc>
        <w:tc>
          <w:tcPr>
            <w:tcW w:w="880" w:type="dxa"/>
            <w:vAlign w:val="bottom"/>
            <w:gridSpan w:val="2"/>
            <w:vMerge w:val="continue"/>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Paid in</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(888,518)</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2,405,679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(694,876)</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Non-cash compensation</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14,466</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Exercise of 586,563 shares of stock options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10,355</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Issuance of shares of common stock through</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employee purchase plan</w:t>
            </w:r>
          </w:p>
        </w:tc>
        <w:tc>
          <w:tcPr>
            <w:tcW w:w="10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3,499</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Tax shortfall related to options exercised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(1,481)</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Purchase of 36,553 shares of treasury stock</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(1,113)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652</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7,890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Dividends ($63.80 per preferred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Balance, December 31, 2012</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(889,631)</w:t>
            </w:r>
          </w:p>
        </w:tc>
        <w:tc>
          <w:tcPr>
            <w:tcW w:w="1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2,432,518</w:t>
            </w:r>
          </w:p>
        </w:tc>
        <w:tc>
          <w:tcPr>
            <w:tcW w:w="1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(687,351)</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18,179</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Exercise of 682,263 shares of stock options</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16,992</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of common stock through</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purchase plan</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3,900</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Tax shortfall related to options exercised</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(1,214)</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Purchase of 97,430 shares of treasury stock</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(2,111)</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40,139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Dividends ($63.80 per preferred share)</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(893,831)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2,470,375</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(647,577)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Non-cash compensation</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17,600</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Exercise of 522,032 shares of stock options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16,246</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Issuance of shares of common stock through</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employee purchase plan</w:t>
            </w:r>
          </w:p>
        </w:tc>
        <w:tc>
          <w:tcPr>
            <w:tcW w:w="10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4,368</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Tax shortfall related to options exercised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Purchase of 54,295 shares of treasury stock</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(2,987)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4"/>
              </w:rPr>
              <w:t>Retirement of 17,270,930 shares of treasury stock</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896,818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(896,801)</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(1,413)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253,518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w w:val="98"/>
              </w:rPr>
              <w:t>Dividends/distributions to common shareholders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($2.50 per common share)</w:t>
            </w:r>
          </w:p>
        </w:tc>
        <w:tc>
          <w:tcPr>
            <w:tcW w:w="10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(238,435)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Dividends ($63.80 per preferred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Balance, December 31, 2014</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1,611,775</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(632,859)</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253,518</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40,139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258,435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300,579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compensation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24,120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Amortization included in interest expense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4,777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on disposition of assets and investments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(3,192)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Other-than-temporary impairment of investment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4,069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Deferred income tax (benefit) expense</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(122,137)</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18,749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(13,553)</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(4,970)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1,076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(3,635)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Cash flows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452,529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394,705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(107,573)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(105,650)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(65,021)</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(92,248)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(increase) in notes receivable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Proceeds from disposition of assets and investments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(163,997)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(191,869)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(303,399)</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issuance of common stock</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20,615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Cash used for purchase of treasury shares</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(2,987)</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received from revolving credit facility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325,000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184,000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Payments on revolving credit facility</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(410,000)</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long term debt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(11,750)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Proceeds received from senior credit facility</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(17,441)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Proceeds received from note offering</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510,000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on senior subordinated notes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(415,752)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(360,383)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Payment on senior credit facility</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(352,106)</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Dividends/distributions</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(238,800)</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Cash flows used in financing activities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(294,315)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(227,195)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(47,417)</w:t>
            </w:r>
          </w:p>
        </w:tc>
        <w:tc>
          <w:tcPr>
            <w:tcW w:w="0" w:type="dxa"/>
            <w:vAlign w:val="bottom"/>
          </w:tcPr>
          <w:p>
            <w:pPr>
              <w:spacing w:after="0"/>
              <w:rPr>
                <w:sz w:val="1"/>
                <w:szCs w:val="1"/>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Effect of exchange rate changes in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(7,177)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58,911</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94,646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140,048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Cash paid for state and federal income taxes</w:t>
            </w: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12,754</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Business</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Lamar Advertising Company (the Company) is engaged in the outdoor advertising business, operating over 144,000 billboard advertising displays in 44 states, Canada and Puerto Rico. The Company’s operating strategy is to be the leading provider of outdoor advertising services in the markets it serves.</w:t>
      </w:r>
    </w:p>
    <w:p>
      <w:pPr>
        <w:spacing w:after="0" w:line="12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the Company operates a logo sign business in 23 states throughout the United States and the province of Ontario, Canada and operates over 41,000 transit advertising displays in 16 states, Canada and Puerto Rico.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on bus shelters, benches and buses in the markets it serves.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Conversion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previously announced, since January 1, 2014, the Company has been organized and has operated in a manner that enables it to qualify, and intends to continue to operate in a manner that will allow it to continue to qualify, as a Real Estate Investment Trust, or REIT, for federal income tax purposes. As part of the Company’s REIT conversion, the Company completed a merger with its predecessor which was approved by the Company’s stockholders in November 2014. At the time of the merger, all outstanding shares of the Company’s Class A common stock held in treasury ceased to be outstanding and a corresponding adjustment was recorded to additional paid-in capital and common stock.</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a REIT, the Company generally will not be subject to federal income taxes on its income and gains that the Company distributes to its stockholders, including the income derived from advertising rental revenue. However, even as a REIT, the Company will remain obligated to pay income taxes on earnings from the assets of its taxable REIT subsidiaries (“TRSs”). In addition, the Company’s foreign assets and operations continue to be subject to taxation in the foreign jurisdictions where those assets are held or those operations are conducted.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 accompanying consolidated financial statements include Lamar Advertising Company, its wholly owned subsidiary, Lamar Media Corp. (Lamar Media), and its majority-owned subsidiaries. All inter-company transactions and balances have been eliminated in consolidation.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operating segment is a component of an enterprise:</w:t>
      </w:r>
    </w:p>
    <w:p>
      <w:pPr>
        <w:spacing w:after="0" w:line="13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engages in business activities from which it may earn revenues and incur expenses;</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whose operating results are regularly reviewed by the enterprise’s chief operating decision maker to make decisions about resources to be allocated to the segment and assess its performance;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which discrete financial information is available.</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define the term ‘chief operating decision maker’ to be our executive management group, which consist of our Chief Executive Officer, President and Chief Financial Officer. Currently, all operations are reviewed on a consolidated basis for budget and business plan performance by our executive management group. Additionally, operational performance at the end of each reporting period is viewed in the aggregate by our management group. Any decisions related to changes in invested capital, personnel, operational improvement or training, or to allocate other company resources are made based on the combined results.</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operate in a single operating and reporting segment, advertising. We rent advertising space on billboards, buses, shelters and benches and logo plates.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Property, Plant and Equipment</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Property, plant and equipment are stated at cost. Depreciation is calculated using accelerated and straight-line methods over the estimated useful lives of the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Goodwill and Intangible Assets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Goodwill is subject to an annual impairment test. The Company designated December 31 as the date of its annual goodwill impairment test. Impairment testing involves various estimates and assumptions, which could vary, and an analysis of relevant market data and market capitalization. If industry and economic conditions deteriorate, the Company may be required to assess goodwill impairment before the next annual test, which could result in impairment charges.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Company is required to identify its reporting units and determine the carrying value of each reporting unit. The Company has indentified two reporting units, Billboard operations and Logo operations, by assigning the assets and liabilities, including the existing goodwill and intangible assets, to those reporting units. The Company is required to determine the fair value of each reporting unit and compare it to the carrying amount of the reporting unit. To the extent the carrying amount of a reporting unit exceeds the fair value of the reporting unit, the Company would be required to perform the second step of the impairment test, as this is an indication that the reporting unit goodwill may be impaired. The fair value of each reporting unit exceeded its carrying amount at its annual impairment test date on December 31, 2014 and 2013; therefore, the Company was not required to recognize an impairment loss.</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Intangible assets, consisting primarily of site locations, customer lists and contracts, and non-competition agreements are amortized using the straight-line method over the assets estimated useful lives, generally from 3 to 15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Impairment of Long-Lived Assets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Long-lived assets, such as property, plant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before interest expense. If the carrying amount of an asset exceeds its estimated future cash flows, an impairment charge is recognized by the amount by which the carrying amount of the asset exceeds the fair value of the asset or asset group.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Acquisitions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Deferred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income consists principally of advertising revenue invoiced in advance and gains resulting from the sale of certain assets to related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Deferred advertising revenue is recognized in income over the term of the contract.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recognizes outdoor advertising revenue on an accrual basis ratably over the term of the contracts. Production revenue and the related expense for the advertising copy are recognized upon completion of the sale.</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engages in barter transactions where the Company trades advertising space for goods and services. The Company recognizes revenues and expenses from barter transactions at fair value, which is determined based on the Company’s own historical practice of receiving cash for similar advertising space from buyers unrelated to the party in the barter transaction. The amount of revenue and expense recognized for advertising barter transactions is as follows: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8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3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$7,839</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$7,862</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$6,798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Direct advertising expenses</w:t>
            </w:r>
          </w:p>
        </w:tc>
        <w:tc>
          <w:tcPr>
            <w:tcW w:w="4340" w:type="dxa"/>
            <w:vAlign w:val="bottom"/>
            <w:gridSpan w:val="3"/>
          </w:tcPr>
          <w:p>
            <w:pPr>
              <w:ind w:left="3380"/>
              <w:spacing w:after="0"/>
              <w:rPr>
                <w:sz w:val="20"/>
                <w:szCs w:val="20"/>
                <w:color w:val="auto"/>
              </w:rPr>
            </w:pPr>
            <w:r>
              <w:rPr>
                <w:rFonts w:ascii="Arial" w:cs="Arial" w:eastAsia="Arial" w:hAnsi="Arial"/>
                <w:sz w:val="18"/>
                <w:szCs w:val="18"/>
                <w:color w:val="auto"/>
              </w:rPr>
              <w:t>$2,928</w:t>
            </w:r>
          </w:p>
        </w:tc>
        <w:tc>
          <w:tcPr>
            <w:tcW w:w="960" w:type="dxa"/>
            <w:vAlign w:val="bottom"/>
            <w:gridSpan w:val="2"/>
          </w:tcPr>
          <w:p>
            <w:pPr>
              <w:spacing w:after="0"/>
              <w:rPr>
                <w:sz w:val="20"/>
                <w:szCs w:val="20"/>
                <w:color w:val="auto"/>
              </w:rPr>
            </w:pPr>
            <w:r>
              <w:rPr>
                <w:rFonts w:ascii="Arial" w:cs="Arial" w:eastAsia="Arial" w:hAnsi="Arial"/>
                <w:sz w:val="18"/>
                <w:szCs w:val="18"/>
                <w:color w:val="auto"/>
              </w:rPr>
              <w:t>$3,005</w:t>
            </w:r>
          </w:p>
        </w:tc>
        <w:tc>
          <w:tcPr>
            <w:tcW w:w="600" w:type="dxa"/>
            <w:vAlign w:val="bottom"/>
            <w:gridSpan w:val="2"/>
          </w:tcPr>
          <w:p>
            <w:pPr>
              <w:spacing w:after="0"/>
              <w:rPr>
                <w:sz w:val="20"/>
                <w:szCs w:val="20"/>
                <w:color w:val="auto"/>
              </w:rPr>
            </w:pPr>
            <w:r>
              <w:rPr>
                <w:rFonts w:ascii="Arial" w:cs="Arial" w:eastAsia="Arial" w:hAnsi="Arial"/>
                <w:sz w:val="18"/>
                <w:szCs w:val="18"/>
                <w:color w:val="auto"/>
              </w:rPr>
              <w:t>$2,900</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340" w:type="dxa"/>
            <w:vAlign w:val="bottom"/>
            <w:gridSpan w:val="3"/>
            <w:shd w:val="clear" w:color="auto" w:fill="CCEEFF"/>
          </w:tcPr>
          <w:p>
            <w:pPr>
              <w:ind w:left="3380"/>
              <w:spacing w:after="0"/>
              <w:rPr>
                <w:sz w:val="20"/>
                <w:szCs w:val="20"/>
                <w:color w:val="auto"/>
              </w:rPr>
            </w:pPr>
            <w:r>
              <w:rPr>
                <w:rFonts w:ascii="Arial" w:cs="Arial" w:eastAsia="Arial" w:hAnsi="Arial"/>
                <w:sz w:val="18"/>
                <w:szCs w:val="18"/>
                <w:color w:val="auto"/>
              </w:rPr>
              <w:t>$4,675</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$4,417</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$3,699</w:t>
            </w:r>
          </w:p>
        </w:tc>
      </w:tr>
      <w:tr>
        <w:trPr>
          <w:trHeight w:val="365"/>
        </w:trPr>
        <w:tc>
          <w:tcPr>
            <w:tcW w:w="3680" w:type="dxa"/>
            <w:vAlign w:val="bottom"/>
          </w:tcPr>
          <w:p>
            <w:pPr>
              <w:spacing w:after="0"/>
              <w:rPr>
                <w:sz w:val="24"/>
                <w:szCs w:val="24"/>
                <w:color w:val="auto"/>
              </w:rPr>
            </w:pPr>
          </w:p>
        </w:tc>
        <w:tc>
          <w:tcPr>
            <w:tcW w:w="3380" w:type="dxa"/>
            <w:vAlign w:val="bottom"/>
          </w:tcPr>
          <w:p>
            <w:pPr>
              <w:jc w:val="right"/>
              <w:ind w:right="2094"/>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Income Taxes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a REIT, the Company is generally not subject to federal income taxes on income and gains distributed to the Company’s stockholders. However, the Company remains obligated to pay income taxes on earnings from domestic TRSs. In addition, the Company’s foreign assets and operations continue to be subject to taxation in the foreign jurisdictions where those assets are held or where those operations are conducted, including those designated as Qualified REIT Subsidiaries, or QRSs, for federal income tax purposes. Accordingly, 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 forwards are expected to be recovered or settled. The effect on deferred tax assets and liabilities as a result of a change in tax rates is recognized in income in the period that includes the enactment 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Dividends/Distributions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the year ended December 31, 2014, the Company included in its quarterly cash distributions to its common stockholders approximately $39,915 or $0.42 per share, of earnings and profits accumulated during the years it was taxed as a C corporation, in anticipation of commencing to operate as a REIT effective January 1, 2014. As a REIT, the Company must annually distribute to its stockholders an amount equal to at least 90% of its REIT taxable income (determined before the deduction for distributed earnings and excluding any net capital gain). During the year ended December 31, 2014, the Company declared and paid distributions of its REIT taxable income of an aggregate of $198,520 or $2.08 per share. The amount, timing and frequency of future distributions will be at the sole discretion of the Board of Directors and will be declared based upon various factors, a number of which may be beyond the Company’s control, including the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(“NOLs”) to offset, in whole or in part, the Company’s distribution requirements, limitations on its ability to fund distributions using cash generated through its TRSs and other factors that the Board of Directors may deem relevant. During the years ended December 31, 2014, 2013 and 2012, the Company paid cash dividend distributions to holders of its Series AA Preferred Stock of $365 or $63.80 per share.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Earnings Per Share</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calculation of basic earnings per share excludes any dilutive effect of stock options and convertible debt, while diluted earnings per share includes the dilutive effect of stock options and convertible debt. For the years ended December 31, 2014, 2013 and 2012 there were no dilutive shares excluded from the calculation.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Stock Based Compensation</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Compensation expense for share-based awards is recognized based on the grant date fair value of those awards. Stock-based compensation expense includes an estimate for pre-vesting forfeitures and is recognized over the requisite service periods of the awards on a straight-line basis, which is generally commensurate with the vesting term. Non-cash compensation expense recognized during the years ended December 31, 2014, 2013, and 2012 were $24,120, $24,936 and $14,466, respectively. The $24,120 expensed during the year ended December 31, 2014 consists of (i) $9,652 related to stock options,</w:t>
      </w:r>
    </w:p>
    <w:p>
      <w:pPr>
        <w:spacing w:after="0" w:line="2" w:lineRule="exact"/>
        <w:rPr>
          <w:sz w:val="20"/>
          <w:szCs w:val="20"/>
          <w:color w:val="auto"/>
        </w:rPr>
      </w:pPr>
    </w:p>
    <w:p>
      <w:pPr>
        <w:ind w:right="140" w:firstLine="8"/>
        <w:spacing w:after="0" w:line="261"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$14,210 related to stock grants, made under the Company’s performance-based stock incentive program in 2014 and (iii) $258 related to stock awards to directors. See Note 14 for information on the assumptions used to calculate the fair value of stock-based compensation.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Cash and Cash Equivalents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Foreign Currency Translation</w:t>
      </w:r>
    </w:p>
    <w:p>
      <w:pPr>
        <w:spacing w:after="0" w:line="117" w:lineRule="exact"/>
        <w:rPr>
          <w:sz w:val="20"/>
          <w:szCs w:val="20"/>
          <w:color w:val="auto"/>
        </w:rPr>
      </w:pPr>
    </w:p>
    <w:p>
      <w:pPr>
        <w:ind w:right="380" w:firstLine="456"/>
        <w:spacing w:after="0" w:line="302" w:lineRule="auto"/>
        <w:rPr>
          <w:sz w:val="20"/>
          <w:szCs w:val="20"/>
          <w:color w:val="auto"/>
        </w:rPr>
      </w:pPr>
      <w:r>
        <w:rPr>
          <w:rFonts w:ascii="Arial" w:cs="Arial" w:eastAsia="Arial" w:hAnsi="Arial"/>
          <w:sz w:val="16"/>
          <w:szCs w:val="16"/>
          <w:color w:val="auto"/>
        </w:rPr>
        <w:t>Local currencies generally are considered the functional currencies outside the United States. Assets and liabilities for operations in local-currency environments are translated at year-end exchange rates. Income and expense items are translated at average rates of exchange prevailing during the year. Foreign currency translation adjustments are recorded as a component of other comprehensive income in the Consolidated Statement of Operations and Comprehensive Income and as a component of accumulated other comprehensive income in the Consolidated Statement of Stockholders’ Equity.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Asset Retirement Obligations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is required to record the fair value of obligations associated with the retirement of tangible long-lived assets in the period in which it is incurred. The liability is capitalized as part of the related long-lived asset’s carrying amount. Over time, accretion of the liability is recognized as an operating expense and the capitalized cost is depreciated over the expected useful life of the related asset. The Company’s asset retirement obligations relate primarily to the dismantlement, removal, site reclamation and similar activities of its properties.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Use of Estimates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Comprehensive Income</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Total comprehensive income is presented in the Consolidated Statements of Operations and Comprehensive Income and the components of accumulated other comprehensive income are presented in the Consolidated Statements of Stockholders’ Equity. Comprehensive Income is composed of foreign currency translation effects.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Fair Value Measurements</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Company determines the fair value of its financial instruments using the fair value hierarchy, which requires an entity to maximize the use of observable inputs and minimize the use of unobservable inputs when measuring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Subsequent Events</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date on which the financial statements are issued. There were no subsequent events identified through the date on which these financial statements are issued.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2014</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During the twelve months ended December 31, 2014, the Company completed several acquisitions of outdoor advertising assets for a total cash purchase price of $65,021.</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costs have been allocated to assets acquired and liabilities assumed based on fair market value estimates at the dates of acquisition. The following is a summary of the allocation of the acquisition costs in the above transactions.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$10,542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9,457</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Site locations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36,982</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Customer lists and contracts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23"/>
        </w:trPr>
        <w:tc>
          <w:tcPr>
            <w:tcW w:w="7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65,021</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Total acquired intangible assets for the year ended December 31, 2014 were $53,790, of which $9,457 was assigned to goodwill. Although goodwill is not amortized for financial statement purposes, $9,457 is expected to be fully deductible for tax purposes. The remaining $44,333 of acquired intangible assets have a weighted average useful life of approximately 14 years. The intangible assets include customer lists and contracts of $7,216 (7 year weighted average useful life) and site locations of $36,982 (15 year weighted average useful life). The aggregate amortization expense related to the 2014 acquisitions for the year ended December 31, 2014 was approximately $1,452.</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unaudited pro forma financial information for the Company gives effect to the 2014 and 2013 acquisitions as if they had occurred on January 1, 2013. These pro forma results do not purport to be indicative of the results of operations which actually would have resulted had the acquisitions occurred on such date or to project the Company’s results of operations for any future period.</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tcPr>
          <w:p>
            <w:pPr>
              <w:jc w:val="right"/>
              <w:ind w:right="594"/>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87"/>
              </w:rPr>
              <w:t>1,291,771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1,262,506</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256,785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40,015</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 basic</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income per common share — diluted</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2.69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2013</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twelve months ended December 31, 2013, the Company completed several acquisitions of outdoor advertising assets for a total purchase price of $97,230, of which $92,248 was in cash and $4,982 in non-cash consideration consisting principally of exchanges of outdoor advertising assets. As a result of the acquisitions, a gain of $67 was recorded for transactions which involved the exchange of outdoor advertising assets during the year ended December 31, 2013.</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costs have been allocated to assets acquired and liabilities assumed based on fair market value estimates at the dates of acquisition. The following is a summary of the allocation of the acquisition costs in the above transactions.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$18,196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18,631</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Site locations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50,333</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Customer lists and contracts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assets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(2,158)</w:t>
            </w:r>
          </w:p>
        </w:tc>
      </w:tr>
      <w:tr>
        <w:trPr>
          <w:trHeight w:val="223"/>
        </w:trPr>
        <w:tc>
          <w:tcPr>
            <w:tcW w:w="7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97,230</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Total acquired intangible assets for the year ended December 31, 2013 were $79,784, of which $18,631 was assigned to goodwill. Although goodwill is not amortized for financial statement purposes, $18,582 is expected to be fully deductible for tax purposes. The remaining $61,153 of acquired intangible assets have a weighted average useful life of approximately 14 years. The intangible assets include customer lists and contracts of $10,390 (7 year weighted average useful life) and site locations of $50,333 (15 year weighted average useful life). The aggregate amortization expense related to the 2013 acquisitions for the year ended December 31, 2013 was approximately $2,158.</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unaudited pro forma financial information for the Company gives effect to the 2013 and 2012 acquisitions as if they had occurred on January 1, 2012. These pro forma results do not purport to be indicative of the results of operations which actually would have resulted had the acquisitions occurred on such date or to project the Company’s results of operations for any future period.</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tcPr>
          <w:p>
            <w:pPr>
              <w:jc w:val="right"/>
              <w:ind w:right="594"/>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87"/>
              </w:rPr>
              <w:t>1,255,376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1,225,958</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2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40,725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 basic</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0.43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Net income per common share — diluted</w:t>
            </w:r>
          </w:p>
        </w:tc>
        <w:tc>
          <w:tcPr>
            <w:tcW w:w="2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0.43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r>
      <w:tr>
        <w:trPr>
          <w:trHeight w:val="350"/>
        </w:trPr>
        <w:tc>
          <w:tcPr>
            <w:tcW w:w="3620" w:type="dxa"/>
            <w:vAlign w:val="bottom"/>
          </w:tcPr>
          <w:p>
            <w:pPr>
              <w:spacing w:after="0"/>
              <w:rPr>
                <w:sz w:val="24"/>
                <w:szCs w:val="24"/>
                <w:color w:val="auto"/>
              </w:rPr>
            </w:pPr>
          </w:p>
        </w:tc>
        <w:tc>
          <w:tcPr>
            <w:tcW w:w="2880" w:type="dxa"/>
            <w:vAlign w:val="bottom"/>
          </w:tcPr>
          <w:p>
            <w:pPr>
              <w:jc w:val="right"/>
              <w:ind w:right="199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Non-cash Financing and Investing Activities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the years ended December 31, 2014 and December 31, 2013, the Company had $1,900 and $4,982 non-cash investing activities related to capital expenditures and acquisitions of outdoor advertising assets, respectively. During the year ended December 31, 2014, the Company had non-cash financing activity related to the retirement of 17,270,930 shares of treasury stock for $896,818 related to the Company’s conversion to a REIT. There were no significant non-cash financing activities during the year ended December 31,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categories of property, plant and equipment at December 31, 2014 and 2013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60" w:type="dxa"/>
            <w:vAlign w:val="bottom"/>
            <w:gridSpan w:val="5"/>
          </w:tcPr>
          <w:p>
            <w:pPr>
              <w:jc w:val="right"/>
              <w:ind w:right="485"/>
              <w:spacing w:after="0"/>
              <w:rPr>
                <w:sz w:val="20"/>
                <w:szCs w:val="20"/>
                <w:color w:val="auto"/>
              </w:rPr>
            </w:pPr>
            <w:r>
              <w:rPr>
                <w:rFonts w:ascii="Arial" w:cs="Arial" w:eastAsia="Arial" w:hAnsi="Arial"/>
                <w:sz w:val="14"/>
                <w:szCs w:val="14"/>
                <w:b w:val="1"/>
                <w:bCs w:val="1"/>
                <w:color w:val="auto"/>
                <w:w w:val="91"/>
              </w:rPr>
              <w:t>Estimated Life</w:t>
            </w:r>
          </w:p>
        </w:tc>
        <w:tc>
          <w:tcPr>
            <w:tcW w:w="7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460" w:type="dxa"/>
            <w:vAlign w:val="bottom"/>
            <w:gridSpan w:val="5"/>
          </w:tcPr>
          <w:p>
            <w:pPr>
              <w:jc w:val="right"/>
              <w:ind w:right="705"/>
              <w:spacing w:after="0"/>
              <w:rPr>
                <w:sz w:val="20"/>
                <w:szCs w:val="20"/>
                <w:color w:val="auto"/>
              </w:rPr>
            </w:pPr>
            <w:r>
              <w:rPr>
                <w:rFonts w:ascii="Arial" w:cs="Arial" w:eastAsia="Arial" w:hAnsi="Arial"/>
                <w:sz w:val="14"/>
                <w:szCs w:val="14"/>
                <w:b w:val="1"/>
                <w:bCs w:val="1"/>
                <w:color w:val="auto"/>
              </w:rPr>
              <w:t>(Years)</w:t>
            </w: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316,798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132,360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125,724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Advertising structures</w:t>
            </w:r>
          </w:p>
        </w:tc>
        <w:tc>
          <w:tcPr>
            <w:tcW w:w="1460" w:type="dxa"/>
            <w:vAlign w:val="bottom"/>
            <w:gridSpan w:val="5"/>
            <w:shd w:val="clear" w:color="auto" w:fill="CCEEFF"/>
          </w:tcPr>
          <w:p>
            <w:pPr>
              <w:jc w:val="center"/>
              <w:ind w:right="485"/>
              <w:spacing w:after="0"/>
              <w:rPr>
                <w:sz w:val="20"/>
                <w:szCs w:val="20"/>
                <w:color w:val="auto"/>
              </w:rPr>
            </w:pPr>
            <w:r>
              <w:rPr>
                <w:rFonts w:ascii="Arial" w:cs="Arial" w:eastAsia="Arial" w:hAnsi="Arial"/>
                <w:sz w:val="18"/>
                <w:szCs w:val="18"/>
                <w:color w:val="auto"/>
                <w:w w:val="92"/>
              </w:rPr>
              <w:t>5 — 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2,520,644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2,459,425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Automotive and other equipment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140,583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138,424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3,110,385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3,036,456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intangible assets at December 31, 2014 and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Life</w:t>
            </w: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8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Gross Carrying</w:t>
            </w:r>
          </w:p>
        </w:tc>
        <w:tc>
          <w:tcPr>
            <w:tcW w:w="6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Amortizable Intangible Assets:</w:t>
            </w: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rPr>
                <w:sz w:val="20"/>
                <w:szCs w:val="20"/>
                <w:color w:val="auto"/>
              </w:rPr>
            </w:pPr>
            <w:r>
              <w:rPr>
                <w:rFonts w:ascii="Arial" w:cs="Arial" w:eastAsia="Arial" w:hAnsi="Arial"/>
                <w:sz w:val="18"/>
                <w:szCs w:val="18"/>
                <w:color w:val="auto"/>
              </w:rPr>
              <w:t>Customer lists and contracts</w:t>
            </w:r>
          </w:p>
        </w:tc>
        <w:tc>
          <w:tcPr>
            <w:tcW w:w="9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7 — 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499,310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470,170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220" w:type="dxa"/>
            <w:vAlign w:val="bottom"/>
            <w:gridSpan w:val="4"/>
          </w:tcPr>
          <w:p>
            <w:pPr>
              <w:jc w:val="right"/>
              <w:ind w:right="340"/>
              <w:spacing w:after="0"/>
              <w:rPr>
                <w:sz w:val="20"/>
                <w:szCs w:val="20"/>
                <w:color w:val="auto"/>
              </w:rPr>
            </w:pPr>
            <w:r>
              <w:rPr>
                <w:rFonts w:ascii="Arial" w:cs="Arial" w:eastAsia="Arial" w:hAnsi="Arial"/>
                <w:sz w:val="18"/>
                <w:szCs w:val="18"/>
                <w:color w:val="auto"/>
              </w:rPr>
              <w:t>492,299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463,188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Non-competition agreements</w:t>
            </w: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3 — 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64,062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63,933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62,914</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rPr>
                <w:sz w:val="20"/>
                <w:szCs w:val="20"/>
                <w:color w:val="auto"/>
              </w:rPr>
            </w:pPr>
            <w:r>
              <w:rPr>
                <w:rFonts w:ascii="Arial" w:cs="Arial" w:eastAsia="Arial" w:hAnsi="Arial"/>
                <w:sz w:val="18"/>
                <w:szCs w:val="18"/>
                <w:color w:val="auto"/>
              </w:rPr>
              <w:t>Site locations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1,531,161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1,194,709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1,495,635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1,106,947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5 — 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14,008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13,441</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4"/>
              </w:rPr>
              <w:t>2,108,541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$1,741,556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2,065,875</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1,646,490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Unamortizable Intangible Assets: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36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1,766,304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253,536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1,757,089</w:t>
            </w:r>
          </w:p>
        </w:tc>
        <w:tc>
          <w:tcPr>
            <w:tcW w:w="34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900" w:type="dxa"/>
            <w:vAlign w:val="bottom"/>
            <w:gridSpan w:val="12"/>
          </w:tcPr>
          <w:p>
            <w:pPr>
              <w:ind w:left="460"/>
              <w:spacing w:after="0"/>
              <w:rPr>
                <w:sz w:val="20"/>
                <w:szCs w:val="20"/>
                <w:color w:val="auto"/>
              </w:rPr>
            </w:pPr>
            <w:r>
              <w:rPr>
                <w:rFonts w:ascii="Arial" w:cs="Arial" w:eastAsia="Arial" w:hAnsi="Arial"/>
                <w:sz w:val="18"/>
                <w:szCs w:val="18"/>
                <w:color w:val="auto"/>
                <w:w w:val="97"/>
              </w:rPr>
              <w:t>The changes in the gross carrying amount of goodwill for the year ended December 31, 2014 are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3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5"/>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$1,757,089</w:t>
            </w:r>
          </w:p>
        </w:tc>
        <w:tc>
          <w:tcPr>
            <w:tcW w:w="12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9,457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adjustments and other</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Impairment losses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1,766,304</w:t>
            </w:r>
          </w:p>
        </w:tc>
        <w:tc>
          <w:tcPr>
            <w:tcW w:w="12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Amortization expense for the years ended December 31, 2014, 2013 and 2012 was $96,139, $106,533 and $102,941, respectively. The following is a summary of the estimated amortization expense for future years: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2016</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51,809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2018</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Thereafter</w:t>
            </w:r>
          </w:p>
        </w:tc>
        <w:tc>
          <w:tcPr>
            <w:tcW w:w="3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128,198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366,985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Company is party to various operating leases for production facilities, vehicles and sites upon which advertising structures are built. The leases expire at various dates, and have varying options to renew and to cancel and may contain escalation provisions. The following is a summary of minimum annual rental payments required under those operating leases that have original or remaining lease terms in excess of one year as of December 31, 2014:</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162,840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2016</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128,145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112,157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2018</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97,166</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85,174</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Thereafter</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622,597</w:t>
            </w:r>
          </w:p>
        </w:tc>
      </w:tr>
    </w:tbl>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Rental expense related to the Company’s operating leases was $227,879, $222,638 and $209,110 for the years ended December 31, 2014, 2013 and 2012,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accrued expenses at December 31, 2014 and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1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Payroll</w:t>
            </w:r>
          </w:p>
        </w:tc>
        <w:tc>
          <w:tcPr>
            <w:tcW w:w="1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$ 13,852</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$ 11,311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120" w:type="dxa"/>
            <w:vAlign w:val="bottom"/>
            <w:gridSpan w:val="4"/>
          </w:tcPr>
          <w:p>
            <w:pPr>
              <w:jc w:val="right"/>
              <w:ind w:right="20"/>
              <w:spacing w:after="0"/>
              <w:rPr>
                <w:sz w:val="20"/>
                <w:szCs w:val="20"/>
                <w:color w:val="auto"/>
              </w:rPr>
            </w:pPr>
            <w:r>
              <w:rPr>
                <w:rFonts w:ascii="Arial" w:cs="Arial" w:eastAsia="Arial" w:hAnsi="Arial"/>
                <w:sz w:val="18"/>
                <w:szCs w:val="18"/>
                <w:color w:val="auto"/>
              </w:rPr>
              <w:t>29,281</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23,451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benefits</w:t>
            </w:r>
          </w:p>
        </w:tc>
        <w:tc>
          <w:tcPr>
            <w:tcW w:w="2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12,853</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Accrued lease expense</w:t>
            </w:r>
          </w:p>
        </w:tc>
        <w:tc>
          <w:tcPr>
            <w:tcW w:w="2120" w:type="dxa"/>
            <w:vAlign w:val="bottom"/>
            <w:gridSpan w:val="4"/>
          </w:tcPr>
          <w:p>
            <w:pPr>
              <w:jc w:val="right"/>
              <w:ind w:right="20"/>
              <w:spacing w:after="0"/>
              <w:rPr>
                <w:sz w:val="20"/>
                <w:szCs w:val="20"/>
                <w:color w:val="auto"/>
              </w:rPr>
            </w:pPr>
            <w:r>
              <w:rPr>
                <w:rFonts w:ascii="Arial" w:cs="Arial" w:eastAsia="Arial" w:hAnsi="Arial"/>
                <w:sz w:val="18"/>
                <w:szCs w:val="18"/>
                <w:color w:val="auto"/>
              </w:rPr>
              <w:t>35,903</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37,346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16,901</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108,790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98,924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2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gridSpan w:val="3"/>
          </w:tcPr>
          <w:p>
            <w:pPr>
              <w:ind w:left="460"/>
              <w:spacing w:after="0"/>
              <w:rPr>
                <w:sz w:val="20"/>
                <w:szCs w:val="20"/>
                <w:color w:val="auto"/>
              </w:rPr>
            </w:pPr>
            <w:r>
              <w:rPr>
                <w:rFonts w:ascii="Arial" w:cs="Arial" w:eastAsia="Arial" w:hAnsi="Arial"/>
                <w:sz w:val="18"/>
                <w:szCs w:val="18"/>
                <w:color w:val="auto"/>
              </w:rPr>
              <w:t>Long-term debt consists of the following at December 31, 2014 and 2013:</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86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24"/>
                <w:szCs w:val="24"/>
                <w:color w:val="auto"/>
              </w:rPr>
            </w:pPr>
          </w:p>
        </w:tc>
        <w:tc>
          <w:tcPr>
            <w:tcW w:w="10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10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353,750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502,106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7 7/8% Senior Subordinated Notes</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7/8% Senior Subordinated Notes</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5% Senior Subordinated Notes</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535,000</w:t>
            </w:r>
          </w:p>
        </w:tc>
        <w:tc>
          <w:tcPr>
            <w:tcW w:w="26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535,000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3/8% Senior Notes</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 notes with various rates and terms</w:t>
            </w:r>
          </w:p>
        </w:tc>
        <w:tc>
          <w:tcPr>
            <w:tcW w:w="104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1,899,895</w:t>
            </w: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1,938,802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0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(15,625)</w:t>
            </w:r>
          </w:p>
        </w:tc>
        <w:tc>
          <w:tcPr>
            <w:tcW w:w="1120" w:type="dxa"/>
            <w:vAlign w:val="bottom"/>
            <w:gridSpan w:val="6"/>
          </w:tcPr>
          <w:p>
            <w:pPr>
              <w:jc w:val="right"/>
              <w:ind w:right="60"/>
              <w:spacing w:after="0"/>
              <w:rPr>
                <w:sz w:val="20"/>
                <w:szCs w:val="20"/>
                <w:color w:val="auto"/>
              </w:rPr>
            </w:pPr>
            <w:r>
              <w:rPr>
                <w:rFonts w:ascii="Arial" w:cs="Arial" w:eastAsia="Arial" w:hAnsi="Arial"/>
                <w:sz w:val="18"/>
                <w:szCs w:val="18"/>
                <w:color w:val="auto"/>
              </w:rPr>
              <w:t>(55,935)</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excluding current maturities</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1,884,270</w:t>
            </w: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1,882,867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ind w:left="460"/>
              <w:spacing w:after="0"/>
              <w:rPr>
                <w:sz w:val="20"/>
                <w:szCs w:val="20"/>
                <w:color w:val="auto"/>
              </w:rPr>
            </w:pPr>
            <w:r>
              <w:rPr>
                <w:rFonts w:ascii="Arial" w:cs="Arial" w:eastAsia="Arial" w:hAnsi="Arial"/>
                <w:sz w:val="18"/>
                <w:szCs w:val="18"/>
                <w:color w:val="auto"/>
              </w:rPr>
              <w:t>Long-term debt matures as follows:</w:t>
            </w: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gridSpan w:val="2"/>
            <w:vMerge w:val="restart"/>
          </w:tcPr>
          <w:p>
            <w:pPr>
              <w:spacing w:after="0"/>
              <w:rPr>
                <w:sz w:val="21"/>
                <w:szCs w:val="21"/>
                <w:color w:val="auto"/>
              </w:rPr>
            </w:pPr>
          </w:p>
        </w:tc>
        <w:tc>
          <w:tcPr>
            <w:tcW w:w="4980" w:type="dxa"/>
            <w:vAlign w:val="bottom"/>
          </w:tcPr>
          <w:p>
            <w:pPr>
              <w:spacing w:after="0"/>
              <w:rPr>
                <w:sz w:val="21"/>
                <w:szCs w:val="21"/>
                <w:color w:val="auto"/>
              </w:rPr>
            </w:pPr>
          </w:p>
        </w:tc>
        <w:tc>
          <w:tcPr>
            <w:tcW w:w="2120" w:type="dxa"/>
            <w:vAlign w:val="bottom"/>
            <w:gridSpan w:val="4"/>
          </w:tcPr>
          <w:p>
            <w:pPr>
              <w:spacing w:after="0"/>
              <w:rPr>
                <w:sz w:val="21"/>
                <w:szCs w:val="21"/>
                <w:color w:val="auto"/>
              </w:rPr>
            </w:pPr>
          </w:p>
        </w:tc>
        <w:tc>
          <w:tcPr>
            <w:tcW w:w="660" w:type="dxa"/>
            <w:vAlign w:val="bottom"/>
            <w:gridSpan w:val="3"/>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gridSpan w:val="2"/>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8"/>
              </w:rPr>
              <w:t>15,625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2016</w:t>
            </w:r>
          </w:p>
        </w:tc>
        <w:tc>
          <w:tcPr>
            <w:tcW w:w="21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w w:val="98"/>
              </w:rPr>
              <w:t>21,118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8"/>
              </w:rPr>
              <w:t>39,375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2018</w:t>
            </w:r>
          </w:p>
        </w:tc>
        <w:tc>
          <w:tcPr>
            <w:tcW w:w="21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w w:val="98"/>
              </w:rPr>
              <w:t>45,000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780" w:type="dxa"/>
            <w:vAlign w:val="bottom"/>
            <w:gridSpan w:val="7"/>
            <w:shd w:val="clear" w:color="auto" w:fill="CCEEFF"/>
          </w:tcPr>
          <w:p>
            <w:pPr>
              <w:jc w:val="right"/>
              <w:ind w:right="10"/>
              <w:spacing w:after="0"/>
              <w:rPr>
                <w:sz w:val="20"/>
                <w:szCs w:val="20"/>
                <w:color w:val="auto"/>
              </w:rPr>
            </w:pPr>
            <w:r>
              <w:rPr>
                <w:rFonts w:ascii="Arial" w:cs="Arial" w:eastAsia="Arial" w:hAnsi="Arial"/>
                <w:sz w:val="18"/>
                <w:szCs w:val="18"/>
                <w:color w:val="auto"/>
              </w:rPr>
              <w:t>$  233,750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Later years</w:t>
            </w:r>
          </w:p>
        </w:tc>
        <w:tc>
          <w:tcPr>
            <w:tcW w:w="2780" w:type="dxa"/>
            <w:vAlign w:val="bottom"/>
            <w:gridSpan w:val="7"/>
          </w:tcPr>
          <w:p>
            <w:pPr>
              <w:jc w:val="right"/>
              <w:ind w:right="10"/>
              <w:spacing w:after="0"/>
              <w:rPr>
                <w:sz w:val="20"/>
                <w:szCs w:val="20"/>
                <w:color w:val="auto"/>
              </w:rPr>
            </w:pPr>
            <w:r>
              <w:rPr>
                <w:rFonts w:ascii="Arial" w:cs="Arial" w:eastAsia="Arial" w:hAnsi="Arial"/>
                <w:sz w:val="18"/>
                <w:szCs w:val="18"/>
                <w:color w:val="auto"/>
              </w:rPr>
              <w:t>$1,545,027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auto"/>
        </w:rPr>
        <w:t>7 7/8% Senior Subordinated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22, 2010, Lamar Media issued $400,000 in aggregate principal amount of 7 7/8% Senior Subordinated Notes due 2018 (the “7 7/8% Notes”). The institutional private placement resulted in net proceeds to Lamar Media of approximately $392,000. On April 21, 2014, Lamar Media redeemed in full all $400,000 in aggregate principal amount of the 7 7/8% Notes. A loss of $20,847 was recorded as a result of this transaction, of which $5,095 was non-cash. No 7 7/8% Notes remained outstanding as of December 31, 2014.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7/8% Senior Subordinated Notes</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February 9, 2012, Lamar Media completed an institutional private placement of $500,000 aggregate principal amount of 5 7/8% Senior Subordinated Notes, due 2022 (the “5 7/8% Notes”). The institutional private placement resulted in net proceeds to Lamar Media of approximately $489,000.</w:t>
      </w:r>
    </w:p>
    <w:p>
      <w:pPr>
        <w:spacing w:after="0" w:line="124"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Lamar Media may redeem up to 35% of the aggregate principal amount of the 5 7/8% Notes, at any time and from time to time, at a price equal to 105.875% of the aggregate principal amount so redeemed, plus accrued and unpaid interest thereon, with the net cash proceeds of certain public equity offerings completed before February 1, 2015, provided that following the redemption, at least 65% of the 5 7/8% Notes that were originally issued remain outstanding. At any time prior to February 1, 2017, Lamar Media may redeem some or all of the 5 7/8% Notes at a price equal to 100% of the aggregate principal amount plus a make-whole premium. On or after February 1, 2017, Lamar Media may redeem the 5 7/8% Notes, in whole or in part, in cash at redemption prices specified in the 5 7/8% Notes. In addition, if the Company or Lamar Media undergoes a change of control, Lamar Media may be required to make an offer to purchase each holder’s 5 7/8% Notes at a price equal to 101% of the principal amount of the 5 7/8% Notes, plus accrued and unpaid interest, up to but not including the repurchase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Senior Subordinated Notes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On October 30, 2012, Lamar Media completed an institutional private placement of $535,000 aggregate principal amount of 5% Senior Subordinated Notes due 2023 (the “5% Notes”). The institutional private placement resulted in net proceeds to Lamar Media of approximately $527,100.</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Lamar Media may redeem up to 35% of the aggregate principal amount of the 5% Notes, at any time and from time to time, at a price equal to 105% of the aggregate principal amount so redeemed, plus accrued and unpaid interest thereon, with the net cash proceeds of certain public equity offerings completed before November 1, 2015, provided that following the redemption, at least 65% of the 5% Notes that were originally issued remain outstanding. At any time prior to May 1, 2018, Lamar Media may redeem some or all of the 5% Notes at a price equal to 100% of the aggregate principal amount plus a make-whole premium. On or after May 1, 2018, Lamar Media may redeem the 5% Notes, in whole or in part, in cash at redemption prices specified in the 5% Notes. In addition, if the Company or Lamar Media undergoes a change of control, Lamar Media may be required to make an offer to purchase each holder’s 5% Notes at a price equal to 101% of the principal amount of the 5% Notes, plus accrued and unpaid interest, up to but not including the repurchase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3/8% Senior Notes</w:t>
      </w:r>
    </w:p>
    <w:p>
      <w:pPr>
        <w:spacing w:after="0" w:line="11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 January 10, 2014, Lamar Media completed an institutional private placement of $510,000 aggregate principal amount of 5 3/8% Senior Notes due 2024 (the “5 3/8% Senior Notes”). The institutional private placement resulted in net proceeds to Lamar Media of approximately $502,300.</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Lamar Media may redeem up to 35% of the aggregate principal amount of the 5 3/8% Senior Notes, at any time and from time to time, at a price equal to 105 3/8% of the aggregate principal amount so redeemed, plus accrued and unpaid interest thereon, with the net cash proceeds of certain public equity offerings completed before January 15, 2017, provided that following the redemption, at least 65% of the 5 3/8% Senior Notes that were originally issued remain outstanding and any such redemption occurs within 120 days following the closing of any such public equity offering. At any time prior to January 15, 2019, Lamar Media may redeem some or all of the 5 3/8% Senior Notes at a price equal to 100% of the aggregate principal amount, plus accrued and unpaid interest thereon and a make-whole premium. On or after January 15, 2019, Lamar Media may redeem the 5 3/8% Senior Notes, in whole or in part, in cash at redemption prices specified in the 5 3/8% Senior Notes. In addition, if the Company or Lamar Media undergoes a change of control, Lamar Media may be required to make an offer to purchase each holder’s 5 3/8% Senior Notes at a price equal to 101% of the principal amount of the 5 3/8% Senior Notes, plus accrued and unpaid interest, up to but not including the repurchase 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January 10, 2014, Lamar Media paid in full the outstanding balance of the term loans then outstanding under its senior credit facility. The Company incurred a non-cash loss of $5,176 related to this transaction.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On February 3, 2014, Lamar Media entered into a Second Restatement Agreement (the “Second Restatement Agreement”) with the Company, certain of Lamar Media’s subsidiaries as Guarantors, JPMorgan Chase Bank, N.A., as Administrative Agent and the Lenders named therein, under which the parties agreed to amend and restate Lamar Media’s existing senior credit facility on the terms set forth in the Second Amended and Restated Credit Agreement attached as Exhibit A to the Second Restatement Agreement (such Second and Amended and Restated Credit Agreement together with the Second Restatement Agreement being herein referred to as the “senior credit facility”). The senior credit facility consists of a $400,000 revolving credit facility and a $500,000 incremental facility. Lamar Media is the borrower under the senior credit facility. We may also from time to time designate wholly owned subsidiaries as subsidiary borrowers under the incremental loan facility. Incremental loans may be in the form of additional term loan tranches or increases in the revolving credit facility. Our lenders have no obligation to make additional loans to us, or any designated subsidiary borrower, under the incremental facility, but may enter into such commitments in their sole discretion.</w:t>
      </w:r>
    </w:p>
    <w:p>
      <w:pPr>
        <w:spacing w:after="0" w:line="18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On April 18, 2014, Lamar Media entered into Amendment No. 1 to the Second Amended and Restated Credit Agreement (the “Amendment”) with Lamar Advertising, certain of Lamar Media’s subsidiaries as Guarantors, JPMorgan Chase Bank, N.A. as Administrative Agent and the Lenders named therein under which the parties agreed to amend Lamar Media’s existing senior credit facility on the terms set forth in the Amendment. The Amendment created a new $300,000 Term A Loan facility (the “Term A Loans”) and certain other amendments to the senior credit agreement. The Term A Loans are not incremental loans and do not reduce the existing $500,000 Incremental Loan facility. Lamar Media borrowed all $300,000 in Term A Loans on April 18, 2014. The net loan proceeds, together with borrowings under the revolving portion of the senior credit facility and cash on hand, were used to fund the redemption of all $400,000 in aggregate principal amount of Lamar Media’s 7 7/8% Notes due 2018 on April 21, 2014.</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Term A Loans began amortizing on June 30, 2014 in quarterly installments on each September 30, December 31, March 31, and June 30 thereafter, as follows: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4560" w:type="dxa"/>
            <w:vAlign w:val="bottom"/>
            <w:gridSpan w:val="3"/>
          </w:tcPr>
          <w:p>
            <w:pPr>
              <w:spacing w:after="0"/>
              <w:rPr>
                <w:sz w:val="20"/>
                <w:szCs w:val="20"/>
                <w:color w:val="auto"/>
              </w:rPr>
            </w:pPr>
            <w:r>
              <w:rPr>
                <w:rFonts w:ascii="Arial" w:cs="Arial" w:eastAsia="Arial" w:hAnsi="Arial"/>
                <w:sz w:val="14"/>
                <w:szCs w:val="14"/>
                <w:color w:val="auto"/>
              </w:rPr>
              <w:t>Principal Payment Date</w:t>
            </w:r>
          </w:p>
        </w:tc>
        <w:tc>
          <w:tcPr>
            <w:tcW w:w="3200" w:type="dxa"/>
            <w:vAlign w:val="bottom"/>
            <w:gridSpan w:val="4"/>
          </w:tcPr>
          <w:p>
            <w:pPr>
              <w:ind w:left="2080"/>
              <w:spacing w:after="0"/>
              <w:rPr>
                <w:sz w:val="20"/>
                <w:szCs w:val="20"/>
                <w:color w:val="auto"/>
              </w:rPr>
            </w:pPr>
            <w:r>
              <w:rPr>
                <w:rFonts w:ascii="Arial" w:cs="Arial" w:eastAsia="Arial" w:hAnsi="Arial"/>
                <w:sz w:val="14"/>
                <w:szCs w:val="14"/>
                <w:color w:val="auto"/>
              </w:rPr>
              <w:t>Principal Amount</w:t>
            </w: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00"/>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20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2015-March 31, 2016</w:t>
            </w:r>
          </w:p>
        </w:tc>
        <w:tc>
          <w:tcPr>
            <w:tcW w:w="20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w w:val="86"/>
              </w:rPr>
              <w:t>June 30,</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2016- March 31, 2017</w:t>
            </w:r>
          </w:p>
        </w:tc>
        <w:tc>
          <w:tcPr>
            <w:tcW w:w="2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6"/>
              </w:rPr>
              <w:t>June 30,</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2017-December 31, 2018</w:t>
            </w:r>
          </w:p>
        </w:tc>
        <w:tc>
          <w:tcPr>
            <w:tcW w:w="2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Term A Loan Maturity Date</w:t>
            </w:r>
          </w:p>
        </w:tc>
        <w:tc>
          <w:tcPr>
            <w:tcW w:w="2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Term A loans and revolving credit facility bear interest at rates based on the Adjusted LIBO Rate (“Eurodollar loans”) or the Adjusted Base Rate (“Base Rate loans”), at Lamar Media’s option. Eurodollar loans bear interest at a rate per annum equal to the Adjusted LIBO rate plus 2.25% (or the Adjusted LIBO Rate plus 2.00% at any time the Total Debt Ratio is less than or equal to 4.25 to 1; or the Adjusted LIBO Rate plus 1.75% at any time the Total Debt Ratio is less than or equal to 3.00 to 1). Base Rate Loans bear interest at a rate per annum equal to the Adjusted Base Rate plus 1.00% (or the Adjusted Base Rate plus 0.75% at any time the Total Debt Ratio is less than or equal to 3.00 to 1). The guarantees, covenants, events of default and other terms of the senior credit facility apply to the Term A Loans and revolving credit facility.</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2014, there was $65,000 outstanding under the revolving credit facility. Availability under the revolving facility is reduced by the amount of any letters of credit outstanding. Lamar Media had $6,846 letters of credit outstanding as of December 31, 2014 resulting in $328,154 of availability under its revolving facility. Revolving credit loans may be requested under the revolving credit facility at any time prior to its maturity on February 2, 2019, and bear interest, at Lamar Media’s option, at the Adjusted LIBO Rate or the Adjusted Base Rate plus applicable margins, such margins are set at an initial rate with the possibility of a step down based on Lamar Media’s ratio of debt to trailing four quarters EBITDA, as defined in the senior credit facility.</w:t>
      </w:r>
    </w:p>
    <w:p>
      <w:pPr>
        <w:spacing w:after="0" w:line="19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terms of Lamar Media’s senior credit facility and the indentures relating to Lamar Media’s outstanding notes restrict, among other things, the ability of Lamar Advertising and Lamar Media to:</w:t>
      </w:r>
    </w:p>
    <w:p>
      <w:pPr>
        <w:spacing w:after="0" w:line="7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senior credit facility contains provisions that would allow Lamar Media to conduct its affairs in a manner that would allow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Lamar Media’s ability to make distributions to Lamar Advertising is also restricted under the terms of these agreements. Under Lamar Media’s senior credit facility the Company must maintain a specified senior debt ratio at all times and in addition, must satisfy a total debt ratio in order to incur debt, make distributions or make certain investments.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applicable senior credit agreement provisions during the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Retirement Obligation</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Company’s asset retirement obligation includes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Additions to asset retirement obligations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expense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Liabilities settled</w:t>
            </w:r>
          </w:p>
        </w:tc>
        <w:tc>
          <w:tcPr>
            <w:tcW w:w="18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8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Additions to asset retirement obligations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expense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Liabilities settled</w:t>
            </w:r>
          </w:p>
        </w:tc>
        <w:tc>
          <w:tcPr>
            <w:tcW w:w="18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204,327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Depreciation and Amortization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includes all categories of depreciation and amortization on a separate line in its Statements of Operations. The amounts of depreciation and amortization expense excluded from the following operating expenses in its Statements of Operations are: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6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left="136"/>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expenses</w:t>
            </w:r>
          </w:p>
        </w:tc>
        <w:tc>
          <w:tcPr>
            <w:tcW w:w="2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$241,471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$283,280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$277,662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760" w:type="dxa"/>
            <w:vAlign w:val="bottom"/>
            <w:gridSpan w:val="3"/>
          </w:tcPr>
          <w:p>
            <w:pPr>
              <w:jc w:val="right"/>
              <w:ind w:right="220"/>
              <w:spacing w:after="0"/>
              <w:rPr>
                <w:sz w:val="20"/>
                <w:szCs w:val="20"/>
                <w:color w:val="auto"/>
              </w:rPr>
            </w:pPr>
            <w:r>
              <w:rPr>
                <w:rFonts w:ascii="Arial" w:cs="Arial" w:eastAsia="Arial" w:hAnsi="Arial"/>
                <w:sz w:val="18"/>
                <w:szCs w:val="18"/>
                <w:color w:val="auto"/>
              </w:rPr>
              <w:t>4,534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4,684</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3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12,430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12,615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14,284</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258,435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300,579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296,083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840" w:type="dxa"/>
            <w:vAlign w:val="bottom"/>
            <w:vMerge w:val="restart"/>
          </w:tcPr>
          <w:p>
            <w:pPr>
              <w:jc w:val="right"/>
              <w:ind w:right="1550"/>
              <w:spacing w:after="0"/>
              <w:rPr>
                <w:sz w:val="20"/>
                <w:szCs w:val="20"/>
                <w:color w:val="auto"/>
              </w:rPr>
            </w:pPr>
            <w:r>
              <w:rPr>
                <w:rFonts w:ascii="Arial" w:cs="Arial" w:eastAsia="Arial" w:hAnsi="Arial"/>
                <w:sz w:val="18"/>
                <w:szCs w:val="18"/>
                <w:color w:val="auto"/>
              </w:rPr>
              <w:t>59</w:t>
            </w: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has filed, for prior taxable years through its taxable year ended December 31, 2014, a consolidated U.S. federal tax return, which includes all of its wholly owned domestic subsidiaries. For its taxable year commencing January 1, 2014, the Company intends to file as a REIT, and its TRSs intend to file as C corporations. The Company also files tax returns in various states and countries. The Company’s state tax returns reflect different combinations of the Company’s subsidiaries and are dependent on the connection each subsidiary has with a particular state. The following information pertains to the Company’s income taxes on a consolidated basis.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(benefit) consists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Deferred</w:t>
            </w:r>
          </w:p>
        </w:tc>
        <w:tc>
          <w:tcPr>
            <w:tcW w:w="8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2014:</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8,721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(119,014)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(110,293)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2,632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(122,137)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(110,092)</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Year ended December 31, 2013:</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21,681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22,611</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(4,097)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18,749</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6,743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(1,253)</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income tax provision for the year ended December 31, 2014 is net of the deferred tax benefit due to the REIT conversion of $120,081. As of December 31, 2014 and 2013, the Company had income taxes payable of $308 and $848, respectively, included in accrued expenses. The U.S. and foreign components of earnings before income taxes are as follows: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7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0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$144,298</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$62,506</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Foreign</w:t>
            </w:r>
          </w:p>
        </w:tc>
        <w:tc>
          <w:tcPr>
            <w:tcW w:w="30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(872)</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474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(1,147)</w:t>
            </w:r>
          </w:p>
        </w:tc>
      </w:tr>
      <w:tr>
        <w:trPr>
          <w:trHeight w:val="27"/>
        </w:trPr>
        <w:tc>
          <w:tcPr>
            <w:tcW w:w="36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143,426</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62,980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16,132</w:t>
            </w:r>
          </w:p>
        </w:tc>
      </w:tr>
      <w:tr>
        <w:trPr>
          <w:trHeight w:val="20"/>
        </w:trPr>
        <w:tc>
          <w:tcPr>
            <w:tcW w:w="3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reconciliation of significant differences between the reported amount of income tax expense and the expected amount of income tax expense that would result from applying the U.S. federal statutory income tax rate of 35 percent to income before taxes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2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50,199</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Tax adjustment related to REIT (a)</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(44,891)</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2"/>
              </w:rPr>
              <w:t>State and local income taxes, net of federal income tax benefit</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Book expenses not deductible for tax purposes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2,061</w:t>
            </w:r>
          </w:p>
        </w:tc>
        <w:tc>
          <w:tcPr>
            <w:tcW w:w="600" w:type="dxa"/>
            <w:vAlign w:val="bottom"/>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Valuation allowance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(1,097)</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Rate change (b)</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Deferred tax adjustment due to REIT conversion</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(120,081)</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differences, net</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Income tax expense</w:t>
            </w:r>
          </w:p>
        </w:tc>
        <w:tc>
          <w:tcPr>
            <w:tcW w:w="2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(110,092</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22,841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60" w:type="dxa"/>
            <w:vAlign w:val="bottom"/>
            <w:vMerge w:val="restart"/>
          </w:tcPr>
          <w:p>
            <w:pPr>
              <w:jc w:val="right"/>
              <w:ind w:right="1890"/>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dividend paid deduction of $62,937.</w:t>
      </w:r>
    </w:p>
    <w:p>
      <w:pPr>
        <w:spacing w:after="0" w:line="23" w:lineRule="exact"/>
        <w:rPr>
          <w:rFonts w:ascii="Arial" w:cs="Arial" w:eastAsia="Arial" w:hAnsi="Arial"/>
          <w:sz w:val="18"/>
          <w:szCs w:val="18"/>
          <w:color w:val="auto"/>
        </w:rPr>
      </w:pPr>
    </w:p>
    <w:p>
      <w:pPr>
        <w:ind w:left="460" w:right="20" w:hanging="452"/>
        <w:spacing w:after="0" w:line="25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2013, the “Tax Burden Adjustment and Redistribution Act” was signed into law. Under the enacted legislation, the Puerto Rico corporate income tax rate was increased to 39% from 30%. As a result, a non-cash benefit of $2,479 to income tax expense was recorded for the increase of the Puerto Rico net deferred tax asset. Also in 2013, British Columbia Bill 2 was signed into law. The enacted legislation increased the general corporate income tax rate to 11% from 10%. As a result, a non-cash benefit of $86 to income tax expense was recorded for the increase of the Canadian net deferred tax asset.</w:t>
      </w:r>
    </w:p>
    <w:p>
      <w:pPr>
        <w:spacing w:after="0" w:line="19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tax effect of temporary differences that give rise to significant portions of the deferred tax assets and (liabilities) are presented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not deducted for tax purposes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Asset retirement obligation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 forwards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138,865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Tax credit carry forwards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Charitable contributions carry forward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partnerships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Gross deferred tax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17,555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254,620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(2,331)</w:t>
            </w:r>
          </w:p>
        </w:tc>
      </w:tr>
      <w:tr>
        <w:trPr>
          <w:trHeight w:val="230"/>
        </w:trPr>
        <w:tc>
          <w:tcPr>
            <w:tcW w:w="20" w:type="dxa"/>
            <w:vAlign w:val="bottom"/>
          </w:tcPr>
          <w:p>
            <w:pPr>
              <w:spacing w:after="0"/>
              <w:rPr>
                <w:sz w:val="20"/>
                <w:szCs w:val="20"/>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Net deferred tax assets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17,546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252,289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(45,160)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(4,321)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(314,382)</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Investment in partnerships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(1,519)</w:t>
            </w: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(4,321)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(361,061)</w:t>
            </w:r>
          </w:p>
        </w:tc>
      </w:tr>
      <w:tr>
        <w:trPr>
          <w:trHeight w:val="223"/>
        </w:trPr>
        <w:tc>
          <w:tcPr>
            <w:tcW w:w="20" w:type="dxa"/>
            <w:vAlign w:val="bottom"/>
          </w:tcPr>
          <w:p>
            <w:pPr>
              <w:spacing w:after="0"/>
              <w:rPr>
                <w:sz w:val="19"/>
                <w:szCs w:val="19"/>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Net deferred tax assets (liabilities)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(108,772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Classification in the consolidated balance sheets: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Current deferred tax assets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Noncurrent deferred tax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12,496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(119,150)</w:t>
            </w:r>
          </w:p>
        </w:tc>
      </w:tr>
      <w:tr>
        <w:trPr>
          <w:trHeight w:val="223"/>
        </w:trPr>
        <w:tc>
          <w:tcPr>
            <w:tcW w:w="20" w:type="dxa"/>
            <w:vAlign w:val="bottom"/>
          </w:tcPr>
          <w:p>
            <w:pPr>
              <w:spacing w:after="0"/>
              <w:rPr>
                <w:sz w:val="19"/>
                <w:szCs w:val="19"/>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Net deferred tax assets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(108,772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December 31, 2014, we have approximately $257,839 of U.S. net operating loss carry forwards to offset future taxable income. Of this amount, $6,063 is subject to an IRC §382 limitation. These carry forwards expire between 2020 through 2032. In addition, we have $4,822 of various credits available to offset future U.S. federal income tax.</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2014 we have approximately $449,691 of state net operating loss carry forwards before valuation allowances. These state 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are available to reduce future taxable income and expire at various times and amounts. In addition, we have $241 of various credits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offset future state income tax. The valuation allowance related to state net operating loss carry forwards as of December 31, 2014 and 2013 was $0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$2,323, respectively. The net change in the total valuation allowance for each of the years ended December 31, 2014, 2013, and 2012 was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$2,322, $1,087 and $332, respectively. The decrease in 2014 was primarily due to the adjustment of deferred tax assets and related valuation allowance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of REIT operations no longer subject to state income taxes at the REIT level, which had the effect of valuing these assets at an expected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 of 0%.</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During 2014, we generated $1,454 of Puerto Rico net operating losses. As of December 31, 2014, we had approximately $28,354 of Puerto Rico net operating losses available to offset future taxable income. These carry forwards expire between 2016 and 2024. In addition, we have $209 of alternative minimum tax credits available to offset future Puerto Rico income tax.</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 forwards governed by the tax code. Based on the current level of pretax earnings, the Company will generate the minimum amount of future taxable income to support the realization of the deferred tax assets. Additionally, the Company has deferred tax liabilities that will reverse during the same period and jurisdiction and are of the same character as the temporary differences giving rise to the deferred tax assets. As a result, management believes that it is more likely than not that we will realize the benefits of these deferred tax assets, net of the existing valuation allowances at December 31, 2014. The amount of the deferred tax asset considered realizable, however, could be reduced in the near term if estimates of future taxable income during the carry forward period are reduced.</w:t>
      </w:r>
    </w:p>
    <w:p>
      <w:pPr>
        <w:spacing w:after="0" w:line="183"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have not recognized a deferred tax liability of approximately $8,326 for the undistributed earnings of our Canadian operations that arose in 2014 and prior years as management considers these earnings to be indefinitely invested outside the U.S. As of December 31, 2014, the undistributed earnings of these subsidiaries were approximately $23,789.</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Under ASC 740, we provide for uncertain tax positions, and the related interest, and adjust recognized tax benefits and accrued interest accordingly. A reconciliation of the beginning and ending amount of unrecognized tax benefits is as 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Additions for tax positions related to current year</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tax positions related to prior years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Reductions for tax positions related to prior years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Lapse of statute of limitations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(41)</w:t>
            </w: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Additions for tax positions related to current year</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tax positions related to prior years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Reductions for tax positions related to prior years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Lapse of statute of limitations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(35)</w:t>
            </w: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300" w:right="400"/>
        <w:spacing w:after="0" w:line="449" w:lineRule="auto"/>
        <w:rPr>
          <w:sz w:val="20"/>
          <w:szCs w:val="20"/>
          <w:color w:val="auto"/>
        </w:rPr>
      </w:pPr>
      <w:r>
        <w:rPr>
          <w:rFonts w:ascii="Arial" w:cs="Arial" w:eastAsia="Arial" w:hAnsi="Arial"/>
          <w:sz w:val="18"/>
          <w:szCs w:val="18"/>
          <w:color w:val="auto"/>
        </w:rPr>
        <w:t>As of December 31, 2014, we do not have any unrecognized tax benefits that, if recognized in future periods, would impact our effective tax rate. 62</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before 2010 since the IRS has completed review of our income tax returns through 2009, or for any U.S. state income tax audit prior to 2002. With respect to Canada and Puerto Rico, we are no longer subject to income tax audits for years before 2009 and 2008,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Affiliates, as used within these statements, are persons or entities that are affiliated with Lamar Advertising Company or its subsidiaries through common ownership and directorate control.</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Prior to 1996, the Company entered into various related party transactions for the purchase and sale of advertising structures whereby any resulting gains were deferred at that date. As of December 31, 2014 and 2013, the deferred gains related to these transactions were $85, respectively, and are included in deferred income on the balance sheets. No gains related to these transactions have been realized in the Statements of Operations for the years ended December 31, 2014, 2013 and 2012.</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addition, the Company had receivables from employees of $246 and $126 at December 31, 2014 and 2013, respectively. These receivables are primarily relocation loans for employees. The Company does not have any receivables from its current executive officers.</w:t>
      </w:r>
    </w:p>
    <w:p>
      <w:pPr>
        <w:spacing w:after="0" w:line="17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June 2011, the Company entered into a service contract with Joule Energy LA, LLC (“Joule”), of which Ross L. Reilly was a member and owned 26.66% interest. Mr. Reilly sold his entire interest in Joule during 2014. Joule provides services related to the Company’s installation of solar arrays in the State of Louisiana, which services were completed in 2014. In addition, from time to time beginning in 2012, Joule provides lighting installation services for certain of Lamar Advertising’s billboards in the state of Louisiana. As of December 31, 2014, the aggregate amount paid to Joule under the service contract was approximately $1,914. Ross L. Reilly is the son of Kevin P. Reilly, Jr., our Chairman of the Board of Directors and President.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On July 16, 1999, the Board of Directors designated 5,720 shares of the 1,000,000 shares of previously undesignated preferred stock, par value $.001, as Series AA preferred stock. The Class A preferred stock, par value $638, was exchanged for the new Series AA preferred stock and no shares of Class A preferred stock are currently outstanding. The new Series AA preferred stock and the class A preferred stock rank senior to the Class A common stock and Class B common stock with respect to dividends and upon liquidation. Holders of Series AA preferred stock and Class A preferred stock are entitled to receive, on a pari passu basis, dividends at the rate of $15.95 per share per quarter when, as and if declared by the Board of Directors. The Series AA preferred stock and the Class A preferred stock are also entitled to receive, on a pari passu basis, $638 plus a further amount equal to any dividend accrued and unpaid to the date of distribution before any payments are made or assets distributed to the Class A common stock or Class B stock upon voluntary or involuntary liquidation, dissolution or winding up of the Company. The liquidation value of the outstanding Series AA preferred stock at December 31, 2014 was $3,649. The Series AA preferred stock and the Class A preferred stock are identical, except that the Series AA preferred stock is entitled to one vote per share and the Class A preferred stock is not entitled to vote.</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All of the outstanding shares of common stock are fully paid and nonassessable. In the event of the liquidation or dissolution of the Company, following any required distribution to the holders of outstanding shares of preferred stock, the holders of common stock are entitled to share pro rata in any balance of the corporate assets available for distribution to them. The Company may pay dividends if, when and as declared by the Board of Directors from funds legally available therefore, subject to the restrictions set forth in the Company’s existing indentures and the senior credit facility. Subject to the preferential rights of the holders of any class of preferred stock, holders of shares of common stock are entitled to receive such dividends as may be declared by the Company’s Board of directors out of funds legally available for such purpose. No dividend may be declared or paid in cash or property on any share of either class of common stock unless simultaneously the same dividend is declared or paid on each share of the other class of common stock, provided that, in the event of stock dividends, holders of a specific class of common stock shall be entitled to receive only additional shares of such class.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rights of the Class A and Class B common stock are equal in all respects, except holders of Class B common stock have ten votes per share on all matters in which the holders of common stock are entitled to vote and holders of Class A common stock have one vote per share on such matters. The Class B common stock will convert automatically into Class A common stock upon the sale or transfer to persons other than permitted transferees (as defined in the Company’s certificate of incorporation, as amended).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For the year ended December 31, 2014, the Company completed its REIT conversion and merger. In connection with the merger each share of the Company’s then outstanding 17,270,930 treasury shares valued at $896,818, ceased to exist and returned to unissued status through a $17 and $896,801 reduction of Class A common stock and additional paid-in capital, respectively.</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On December 11, 2014, the Company announced that its Board of Directors has authorized the repurchase of up to $250,000 of the Company’s Class A common stock (the “repurchase program”). There were no repurchases under the repurchase program for the year ended December 31,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Compensation Plans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Equity Incentive Plan. </w:t>
      </w:r>
      <w:r>
        <w:rPr>
          <w:rFonts w:ascii="Arial" w:cs="Arial" w:eastAsia="Arial" w:hAnsi="Arial"/>
          <w:sz w:val="18"/>
          <w:szCs w:val="18"/>
          <w:color w:val="auto"/>
        </w:rPr>
        <w:t>Lamar’s 1996 Equity Incentive Plan, as amended, (the “Incentive Plan”) has reserved 15.5 million shares of common stock for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to directors and employees, including options granted and common stock reserved for issuance under its performance-based incentive program. Options granted under the plan expire ten years from the grant date with vesting terms ranging from three to five years which primarily includes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February 2013, the plan was amended to eliminate the provision that limited the amount of Class A Common Stock, including shares retained from an award, that could be withheld to satisfy tax withholding obligations to the minimum tax obligations required by law (except with respect to option awards). In accordance with ASC 718, the Company is required to classify the awards affected by the amendment as liability-classified awards at fair value each period prior to their settlement. As of December 31, 2014 and 2013, the Company recorded a liability, in accrued expenses, of $13,283 and $6,757, respectively, related to its equity incentive awards affected by this amendment.</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use a Black-Scholes-Merton option pricing model to estimate the fair value of share-based awards. The Black-Scholes-Merton option pricing model incorporates various highly subjective assumptions, including expected term and expected volatility. We have reviewed our historical pattern of option exercises and have determined that meaningful differences in option exercise activity existed among vesting schedules. Therefore, for all stock options granted after January 1, 2006, we have categorized these awards into two groups of vesting 1) 5-year cliff vest and 2) 4-year graded vest, for valuation purposes. We have determined there were no meaningful differences in employee activity under our ESPP due to the nature of the plan.</w:t>
      </w:r>
    </w:p>
    <w:p>
      <w:pPr>
        <w:spacing w:after="0" w:line="17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estimate the expected term of options granted using an implied life derived from the results of a hypothetical mid-point settlement scenario, which incorporates our historical exercise, expiration and post-vesting employment termination patterns, while accommodating for partial life cycle effects. We believe these estimates will approximate future behavior.</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estimate the expected volatility of our Class A common stock at the grant date using a blend of 90% historical volatility of our Class A common stock and 10% implied volatility of publicly traded options with maturities greater than six months on our Class A common stock as of the option grant date. Our decision to use a blend of historical and implied volatility was based upon the volume of actively traded options on our common stock and our belief that historical volatility alone may not be completely representative of future stock price trends.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risk-free interest rate assumption is determined using the Federal Reserve nominal rates for U.S. Treasury zero-coupon bonds with maturities similar to those of the expected term of the award being valued. We assumed an expected dividend yield of 2%.</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estimate option forfeitures at the time of grant and periodically revise those estimates in subsequent periods if actual forfeitures differ from those estimates. We record stock-based compensation expense only for those awards expected to vest using an estimated forfeiture rate based on our historical forfeiture data.</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 Year</w:t>
            </w:r>
          </w:p>
        </w:tc>
        <w:tc>
          <w:tcPr>
            <w:tcW w:w="4740" w:type="dxa"/>
            <w:vAlign w:val="bottom"/>
          </w:tcPr>
          <w:p>
            <w:pPr>
              <w:spacing w:after="0"/>
              <w:rPr>
                <w:sz w:val="14"/>
                <w:szCs w:val="14"/>
                <w:color w:val="auto"/>
              </w:rPr>
            </w:pPr>
          </w:p>
        </w:tc>
        <w:tc>
          <w:tcPr>
            <w:tcW w:w="13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Dividend</w:t>
            </w: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9"/>
              </w:rPr>
              <w:t>Expected</w:t>
            </w:r>
          </w:p>
        </w:tc>
        <w:tc>
          <w:tcPr>
            <w:tcW w:w="16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Risk Free</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vMerge w:val="continue"/>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7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Volatility</w:t>
            </w:r>
          </w:p>
        </w:tc>
        <w:tc>
          <w:tcPr>
            <w:tcW w:w="8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Interest Rate</w:t>
            </w:r>
          </w:p>
        </w:tc>
        <w:tc>
          <w:tcPr>
            <w:tcW w:w="8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Lives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7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2013</w:t>
            </w:r>
          </w:p>
        </w:tc>
        <w:tc>
          <w:tcPr>
            <w:tcW w:w="6100" w:type="dxa"/>
            <w:vAlign w:val="bottom"/>
            <w:gridSpan w:val="3"/>
          </w:tcPr>
          <w:p>
            <w:pPr>
              <w:jc w:val="right"/>
              <w:ind w:right="64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51%</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47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1996 Plan for the year ended December 31, 2014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3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3,232,423</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87,000</w:t>
            </w: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51.04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(522,032)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31.12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(12,200)</w:t>
            </w: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43.89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28.13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Outstanding, end of year</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2,774,591</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5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1,622,891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27.54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At December 31, 2014 there was $17,017 of unrecognized compensation cost related to stock options granted which is expected to be recognized over a weighted-average period of 1.55 years.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Shares available for future stock option and restricted share grants to employees and directors under existing plans were 2,632,628 at December 31, 2014. The aggregate intrinsic value of options outstanding as of December 31, 2014 was $55,169, and the aggregate intrinsic value of options exercisable was $42,350. Total intrinsic value of options exercised was $10,806 for the year ended December 31, 2014.</w:t>
      </w:r>
    </w:p>
    <w:p>
      <w:pPr>
        <w:spacing w:after="0" w:line="181"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i w:val="1"/>
          <w:iCs w:val="1"/>
          <w:color w:val="auto"/>
        </w:rPr>
        <w:t xml:space="preserve">Stock Purchase Plan. </w:t>
      </w:r>
      <w:r>
        <w:rPr>
          <w:rFonts w:ascii="Arial" w:cs="Arial" w:eastAsia="Arial" w:hAnsi="Arial"/>
          <w:sz w:val="16"/>
          <w:szCs w:val="16"/>
          <w:color w:val="auto"/>
        </w:rPr>
        <w:t>In 2009 our board of directors adopted a new employee stock purchase plan, the 2009 Employee Stock Purchase Plan or 2009</w:t>
      </w:r>
      <w:r>
        <w:rPr>
          <w:rFonts w:ascii="Arial" w:cs="Arial" w:eastAsia="Arial" w:hAnsi="Arial"/>
          <w:sz w:val="16"/>
          <w:szCs w:val="16"/>
          <w:i w:val="1"/>
          <w:iCs w:val="1"/>
          <w:color w:val="auto"/>
        </w:rPr>
        <w:t xml:space="preserve"> </w:t>
      </w:r>
      <w:r>
        <w:rPr>
          <w:rFonts w:ascii="Arial" w:cs="Arial" w:eastAsia="Arial" w:hAnsi="Arial"/>
          <w:sz w:val="16"/>
          <w:szCs w:val="16"/>
          <w:color w:val="auto"/>
        </w:rPr>
        <w:t>ESPP, which was approved by our shareholders on May 28, 2009. The 2009 ESPP reserved 588,154 shares of Class A common stock for issuance to our employees, which included 88,154 shares of Class A common stock that had been available for issuance under our 2000 Employee Stock Purchase Plan or 2000 ESPP. The 2000 ESPP was terminated following the issuance of all shares that were subject to the offer that commenced under the 2000 ESPP on January 1, 2009 and ended June 30, 2009. The terms of the 2009 ESPP are substantially the same as the 2000 ESPP.</w:t>
      </w:r>
    </w:p>
    <w:p>
      <w:pPr>
        <w:spacing w:after="0" w:line="15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number of shares of Class A common stock available under the 2009 ESPP was automatically increased by 80,209 shares on January 1, 2014 pursuant to the automatic increase provisions of the 2009 ESPP. The following is a summary of 2009 ESPP share activity for the year ended December 31, 2014:</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future purchases, January 1, 2014</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327,689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Additional shares reserved under 2009 ESPP</w:t>
            </w:r>
          </w:p>
        </w:tc>
        <w:tc>
          <w:tcPr>
            <w:tcW w:w="700" w:type="dxa"/>
            <w:vAlign w:val="bottom"/>
          </w:tcPr>
          <w:p>
            <w:pPr>
              <w:jc w:val="right"/>
              <w:spacing w:after="0"/>
              <w:rPr>
                <w:sz w:val="20"/>
                <w:szCs w:val="20"/>
                <w:color w:val="auto"/>
              </w:rPr>
            </w:pPr>
            <w:r>
              <w:rPr>
                <w:rFonts w:ascii="Arial" w:cs="Arial" w:eastAsia="Arial" w:hAnsi="Arial"/>
                <w:sz w:val="18"/>
                <w:szCs w:val="18"/>
                <w:color w:val="auto"/>
              </w:rPr>
              <w:t>80,209</w:t>
            </w: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(100,450)</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Available for future purchases, December 31, 2014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307,448</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Performance-based compensation. </w:t>
      </w:r>
      <w:r>
        <w:rPr>
          <w:rFonts w:ascii="Arial" w:cs="Arial" w:eastAsia="Arial" w:hAnsi="Arial"/>
          <w:sz w:val="17"/>
          <w:szCs w:val="17"/>
          <w:color w:val="auto"/>
        </w:rPr>
        <w:t>Unrestricted shares of our Class A common stock may be awarded to key officers and employees under our 1996</w:t>
      </w:r>
      <w:r>
        <w:rPr>
          <w:rFonts w:ascii="Arial" w:cs="Arial" w:eastAsia="Arial" w:hAnsi="Arial"/>
          <w:sz w:val="17"/>
          <w:szCs w:val="17"/>
          <w:i w:val="1"/>
          <w:iCs w:val="1"/>
          <w:color w:val="auto"/>
        </w:rPr>
        <w:t xml:space="preserve"> </w:t>
      </w:r>
      <w:r>
        <w:rPr>
          <w:rFonts w:ascii="Arial" w:cs="Arial" w:eastAsia="Arial" w:hAnsi="Arial"/>
          <w:sz w:val="17"/>
          <w:szCs w:val="17"/>
          <w:color w:val="auto"/>
        </w:rPr>
        <w:t>Plan based on certain Company performance measures for fiscal 2014. The number of shares to be issued; if any, are dependent on the level of achievement of these performance measures as determined by the Company’s Compensation Committee based on our 2014 results and were issued in the first quarter of 2015. The shares subject to these awards can range from a minimum of 0% to a maximum of 100% of the target number of shares depending on the level at which the goals are attained. Based on the Company’s performance measures achieved through December 31, 2014, the Company has accrued $14,210 as compensation expense related to these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Benefit Plans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sponsors a partially self-insured group health insurance program. The Company is obligated to pay all claims under the program, which are in excess of premiums, up to program limits. The Company is also self-insured with respect to its income disability benefits and against casualty losses on advertising structures. Amounts for expected losses, including a provision for losses incurred but not reported, is included in accrued expenses in the accompanying consolidated financial statements. As of December 31, 2014, the Company maintained $6,624 in letters of credit with a bank to meet requirements of the Company’s worker’s compensation and general liability insurance carrier.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Profit Sharing Plan</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Company sponsors The Lamar Corporation Savings and Profit Sharing Plan covering eligible employees who have completed one year of service and are at least 21 years of age. The Company has the option to match 50% of employees’ contributions up to 5% of eligible compensation. Employees can contribute up to 100% of compensation. Full vesting on the Company’s matched contributions occurs after three years for contributions made after January 1, 2002. Annually, at the Company’s discretion, an additional profit sharing contribution may be made on behalf of each eligible employee. The Company matched contributions of $3,973, $3,581 and $3,184 for the years ended December 31, 2014, 2013 and 2012,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Company sponsors a Deferred Compensation Plan for the benefit of certain of its board-elected officers who meet specific age and years of service and other criteria. Officers that have attained the age of 30 and have a minimum of 10 years of service to the Company and satisfying additional eligibility guidelines are eligible for annual contributions to the Plan generally ranging from $3 to $8, depending on the employee’s length of service. The Company’s contributions to the Plan are maintained in a rabbi trust and, accordingly, the assets and liabilities of the Plan are reflected in the balance sheet of the Company in other assets and other liabilities. Upon termination, death or disability, participating employees are eligible to receive an amount equal to the fair market value of the assets in the employee’s deferred compensation account. For the years ended December 31, 2014, 2013 and 2012, the Company contributed $1,400, $1,323 and $1,260, respectively.</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December 8, 2005, the Company’s Board of Directors approved an amendment to the Lamar Deferred Compensation Plan in order to (1) to comply with the requirements of Section 409A of the Internal Revenue Code (“Section 409A”) applicable to deferred compensation and (2) to reflect changes in the administration of the Plan. The Company’s Board of Directors also approved the adoption of a grantor trust pursuant to which amounts may be set aside, but remain subject to claims of the Company’s creditors, for payments of liabilities under the new plan, including amounts contributed under the old plan. The plan was further amended in August 2007 to make certain amendments to reflect Section 409A regulations issued on April 10, 2007. An additional clarifying amendment was made to the plan in December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 and Contingencies</w:t>
      </w:r>
    </w:p>
    <w:p>
      <w:pPr>
        <w:spacing w:after="0" w:line="121"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The Company is involved in various other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Summarized Financial Information of Subsidiaries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Separate financial statements of each of the Company’s direct or indirect wholly owned subsidiaries that have guaranteed Lamar Media’s obligations with respect to its publicly issued notes (collectively, the “Guarantors”) are not included herein because the Company has no independent assets or operations, the guarantees are full and unconditional and joint and several, and the only subsidiaries that are not guarantors are in the aggregate minor.</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December 31, 2014 and December 31, 2013, Lamar Media was permitted under the terms of its outstanding senior subordinated and senior notes to make transfers to Lamar Advertising in the form of cash dividends, loans or advances in amounts up to $2,269,393 and $2,072,542, respectively.</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December 31, 2014, transfers to Lamar Advertising are permitted under Lamar Media’s senior credit facility and as defined therein, unless, after giving effect such distributions, (i) the total debt ratio is equal to or greater than 6.0 to 1 or (ii) the senior debt ratio is equal to or greater than 3.5 to 1. As of December 31, 2014, the total debt ratio was less than 6.0 to 1 and Lamar Media’s senior debt ratio was less than 3.5 to 1; therefore, dividends or distributions to Lamar Advertising were not subject to any additional restrictions under the senior credit facility. In addition, as of December 31, 2014 the senior credit facility allows Lamar Media to conduct its affairs in a manner that would allow Lamar Advertising to qualify and remain qualified for taxation as a REIT, including by allowing Lamar Media to make distributions to Lamar Advertising required for Lamar Advertising to qualify and remain qualified for taxation as a REIT, subject to certain restrictions.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of Financial Instruments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December 31, 2014 and 2013,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Investments and initial recognition of asset retirement obligations are reported at fair values. Fair values for investments held at cost are not readily available, but are estimated to approximate fair value. The estimated fair value of the Company’s long term debt (including current maturities) was $1,933,254, which exceeded both the gross and carrying amount of $1,899,895 as of December 31, 2014. The majority of the fair value is determined using observed prices of publicly traded debt (level 1 in the fair value hierarchy) and the remaining is valued based on quoted prices for similar debt (level 2 in the fair value hierarchy).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Information about Geographic Areas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Revenues from external customers attributable to foreign countries totaled $33,124, $34,013 and $32,761 for the years ended December 31, 2014, 2013 and 2012, respectively. Net carrying value of long lived assets located in foreign countries totaled $7,324 and $8,838 as of December 31, 2014 and 2013, respectively. All other revenues from external customers and long lived assets relate to domestic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New Accounting Pronouncements</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 January 2014, the FASB issued guidance on the accounting for service concession arrangements with public sector entities. This guidance specifies that an operating entity should not account for a service concession arrangement as a lease and the infrastructure used in a service concession arrangement should not be recognized as property, plant and equipment. This guidance applies when the public sector entity controls the services that the operating entity must provide within the infrastructure and also controls any residual interest in the infrastructure at the end of the term of the arrangement. We are currently evaluating the impact of this guidance, which is effective for reporting periods beginning after December 15, 2014, on our consolidated financial statements.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On May 28,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Financial Data (Unaudited)</w:t>
      </w:r>
    </w:p>
    <w:p>
      <w:pPr>
        <w:spacing w:after="0" w:line="12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The tables below represent the balances for the selected quarterly financial data of the Company for each reporting period in the years ended December 31, 2014 and 2013.</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Year 2014 Quarters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8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1"/>
              </w:rPr>
              <w:t>June 30</w:t>
            </w:r>
          </w:p>
        </w:tc>
        <w:tc>
          <w:tcPr>
            <w:tcW w:w="240" w:type="dxa"/>
            <w:vAlign w:val="bottom"/>
          </w:tcPr>
          <w:p>
            <w:pPr>
              <w:spacing w:after="0"/>
              <w:rPr>
                <w:sz w:val="12"/>
                <w:szCs w:val="12"/>
                <w:color w:val="auto"/>
              </w:rPr>
            </w:pPr>
          </w:p>
        </w:tc>
        <w:tc>
          <w:tcPr>
            <w:tcW w:w="13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December 31</w:t>
            </w:r>
          </w:p>
        </w:tc>
        <w:tc>
          <w:tcPr>
            <w:tcW w:w="100" w:type="dxa"/>
            <w:vAlign w:val="bottom"/>
          </w:tcPr>
          <w:p>
            <w:pPr>
              <w:spacing w:after="0"/>
              <w:rPr>
                <w:sz w:val="12"/>
                <w:szCs w:val="12"/>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$284,933</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330,433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334,998</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336,696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2820" w:type="dxa"/>
            <w:vAlign w:val="bottom"/>
            <w:gridSpan w:val="4"/>
          </w:tcPr>
          <w:p>
            <w:pPr>
              <w:jc w:val="right"/>
              <w:ind w:right="500"/>
              <w:spacing w:after="0"/>
              <w:rPr>
                <w:sz w:val="20"/>
                <w:szCs w:val="20"/>
                <w:color w:val="auto"/>
              </w:rPr>
            </w:pPr>
            <w:r>
              <w:rPr>
                <w:rFonts w:ascii="Arial" w:cs="Arial" w:eastAsia="Arial" w:hAnsi="Arial"/>
                <w:sz w:val="18"/>
                <w:szCs w:val="18"/>
                <w:color w:val="auto"/>
              </w:rPr>
              <w:t>$173,425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216,156</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222,610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221,600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applicable to common stock</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(4,928)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15,331</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34,959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207,791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 income per common share basic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0.16</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common share — diluted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392"/>
        </w:trPr>
        <w:tc>
          <w:tcPr>
            <w:tcW w:w="4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Year 2013 Quarters</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8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1"/>
              </w:rPr>
              <w:t>June 30</w:t>
            </w:r>
          </w:p>
        </w:tc>
        <w:tc>
          <w:tcPr>
            <w:tcW w:w="240" w:type="dxa"/>
            <w:vAlign w:val="bottom"/>
          </w:tcPr>
          <w:p>
            <w:pPr>
              <w:spacing w:after="0"/>
              <w:rPr>
                <w:sz w:val="12"/>
                <w:szCs w:val="12"/>
                <w:color w:val="auto"/>
              </w:rPr>
            </w:pPr>
          </w:p>
        </w:tc>
        <w:tc>
          <w:tcPr>
            <w:tcW w:w="13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December 31</w:t>
            </w:r>
          </w:p>
        </w:tc>
        <w:tc>
          <w:tcPr>
            <w:tcW w:w="100" w:type="dxa"/>
            <w:vAlign w:val="bottom"/>
          </w:tcPr>
          <w:p>
            <w:pPr>
              <w:spacing w:after="0"/>
              <w:rPr>
                <w:sz w:val="12"/>
                <w:szCs w:val="12"/>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$276,605</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327,744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321,141</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320,352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2820" w:type="dxa"/>
            <w:vAlign w:val="bottom"/>
            <w:gridSpan w:val="4"/>
          </w:tcPr>
          <w:p>
            <w:pPr>
              <w:jc w:val="right"/>
              <w:ind w:right="500"/>
              <w:spacing w:after="0"/>
              <w:rPr>
                <w:sz w:val="20"/>
                <w:szCs w:val="20"/>
                <w:color w:val="auto"/>
              </w:rPr>
            </w:pPr>
            <w:r>
              <w:rPr>
                <w:rFonts w:ascii="Arial" w:cs="Arial" w:eastAsia="Arial" w:hAnsi="Arial"/>
                <w:sz w:val="18"/>
                <w:szCs w:val="18"/>
                <w:color w:val="auto"/>
              </w:rPr>
              <w:t>$170,086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217,021</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211,501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210,390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applicable to common stock</w:t>
            </w:r>
          </w:p>
        </w:tc>
        <w:tc>
          <w:tcPr>
            <w:tcW w:w="28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(10,354)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23,031</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17,003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 income per common share basic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common share — diluted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r>
      <w:tr>
        <w:trPr>
          <w:trHeight w:val="608"/>
        </w:trPr>
        <w:tc>
          <w:tcPr>
            <w:tcW w:w="4300" w:type="dxa"/>
            <w:vAlign w:val="bottom"/>
          </w:tcPr>
          <w:p>
            <w:pPr>
              <w:spacing w:after="0"/>
              <w:rPr>
                <w:sz w:val="24"/>
                <w:szCs w:val="24"/>
                <w:color w:val="auto"/>
              </w:rPr>
            </w:pPr>
          </w:p>
        </w:tc>
        <w:tc>
          <w:tcPr>
            <w:tcW w:w="1640" w:type="dxa"/>
            <w:vAlign w:val="bottom"/>
          </w:tcPr>
          <w:p>
            <w:pPr>
              <w:jc w:val="right"/>
              <w:ind w:right="51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Charged to</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Beginning</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Costs and</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of Period</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Expenses</w:t>
            </w: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2014</w:t>
            </w:r>
          </w:p>
        </w:tc>
        <w:tc>
          <w:tcPr>
            <w:tcW w:w="2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Deducted in balance sheet from trade accounts receivable: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Deducted in balance sheet from intangible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1,900,026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96,139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1,995,092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Year ended December 31, 2013</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Deducted in balance sheet from trade accounts receivable: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7,615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6,034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6,034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Deducted in balance sheet from intangible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1,794,415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106,533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1,900,026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Deducted in balance sheet from trade accounts receivable: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5,484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Deducted in balance sheet from intangible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1,705,402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102,941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1,794,415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100" w:type="dxa"/>
            <w:vAlign w:val="bottom"/>
          </w:tcPr>
          <w:p>
            <w:pPr>
              <w:spacing w:after="0"/>
              <w:rPr>
                <w:sz w:val="24"/>
                <w:szCs w:val="24"/>
                <w:color w:val="auto"/>
              </w:rPr>
            </w:pPr>
          </w:p>
        </w:tc>
        <w:tc>
          <w:tcPr>
            <w:tcW w:w="2260" w:type="dxa"/>
            <w:vAlign w:val="bottom"/>
          </w:tcPr>
          <w:p>
            <w:pPr>
              <w:jc w:val="right"/>
              <w:ind w:right="147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(1)</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Encumbrances</w:t>
            </w: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Initial Cost(2)</w:t>
            </w:r>
          </w:p>
        </w:tc>
        <w:tc>
          <w:tcPr>
            <w:tcW w:w="3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Gross Carrying</w:t>
            </w:r>
          </w:p>
        </w:tc>
        <w:tc>
          <w:tcPr>
            <w:tcW w:w="36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Construction</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Acquisition</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(3)</w:t>
            </w:r>
          </w:p>
        </w:tc>
        <w:tc>
          <w:tcPr>
            <w:tcW w:w="3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20" w:type="dxa"/>
            <w:vAlign w:val="bottom"/>
            <w:tcBorders>
              <w:top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9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 to 20</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317,597 Displays</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7"/>
              </w:rPr>
              <w:t>$  2,520,644</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$(1,903,434)</w:t>
            </w: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Various</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Various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single asset exceeded 5% of the total gross carrying amount at December 31,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information is omitted, as it would be impracticable to compile such information on a site-by-site basis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sites under construction</w:t>
      </w:r>
    </w:p>
    <w:p>
      <w:pPr>
        <w:spacing w:after="0" w:line="21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summarizes activity for the Company’s real estate assets, which consists of advertising displays and the related accumulated depreciation.</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8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Gross real estate assets:</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$2,459,425</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$2,378,940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construction, acquisition, improvements to structures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98,857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Assets sold or written-off</w:t>
            </w: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(36,392)</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(1,246)</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Balance at the end of the year</w:t>
            </w: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2,520,644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2,459,425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$1,799,325</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$1,657,784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135,679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Assets sold or written-off</w:t>
            </w: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(30,994)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(19,213)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(576)</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Balance at the end of the year</w:t>
            </w: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1,903,434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1,799,325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jc w:val="right"/>
              <w:ind w:right="1310"/>
              <w:spacing w:after="0"/>
              <w:rPr>
                <w:sz w:val="20"/>
                <w:szCs w:val="20"/>
                <w:color w:val="auto"/>
              </w:rPr>
            </w:pPr>
            <w:r>
              <w:rPr>
                <w:rFonts w:ascii="Arial" w:cs="Arial" w:eastAsia="Arial" w:hAnsi="Arial"/>
                <w:sz w:val="18"/>
                <w:szCs w:val="18"/>
                <w:color w:val="auto"/>
              </w:rPr>
              <w:t>69</w:t>
            </w: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980" w:type="dxa"/>
            <w:vAlign w:val="bottom"/>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320" w:type="dxa"/>
            <w:vAlign w:val="bottom"/>
            <w:gridSpan w:val="8"/>
          </w:tcPr>
          <w:p>
            <w:pPr>
              <w:jc w:val="center"/>
              <w:ind w:right="2220"/>
              <w:spacing w:after="0"/>
              <w:rPr>
                <w:sz w:val="20"/>
                <w:szCs w:val="20"/>
                <w:color w:val="auto"/>
              </w:rPr>
            </w:pPr>
            <w:r>
              <w:rPr>
                <w:rFonts w:ascii="Arial" w:cs="Arial" w:eastAsia="Arial" w:hAnsi="Arial"/>
                <w:sz w:val="18"/>
                <w:szCs w:val="18"/>
                <w:b w:val="1"/>
                <w:bCs w:val="1"/>
                <w:color w:val="auto"/>
              </w:rPr>
              <w:t>LAMAR MEDIA CORP.</w:t>
            </w:r>
          </w:p>
        </w:tc>
        <w:tc>
          <w:tcPr>
            <w:tcW w:w="234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320" w:type="dxa"/>
            <w:vAlign w:val="bottom"/>
            <w:gridSpan w:val="8"/>
          </w:tcPr>
          <w:p>
            <w:pPr>
              <w:jc w:val="center"/>
              <w:ind w:right="2220"/>
              <w:spacing w:after="0"/>
              <w:rPr>
                <w:sz w:val="20"/>
                <w:szCs w:val="20"/>
                <w:color w:val="auto"/>
              </w:rPr>
            </w:pPr>
            <w:r>
              <w:rPr>
                <w:rFonts w:ascii="Arial" w:cs="Arial" w:eastAsia="Arial" w:hAnsi="Arial"/>
                <w:sz w:val="18"/>
                <w:szCs w:val="18"/>
                <w:b w:val="1"/>
                <w:bCs w:val="1"/>
                <w:color w:val="auto"/>
                <w:w w:val="98"/>
              </w:rPr>
              <w:t>AND SUBSIDIARIES</w:t>
            </w:r>
          </w:p>
        </w:tc>
        <w:tc>
          <w:tcPr>
            <w:tcW w:w="2340" w:type="dxa"/>
            <w:vAlign w:val="bottom"/>
          </w:tcPr>
          <w:p>
            <w:pPr>
              <w:spacing w:after="0"/>
              <w:rPr>
                <w:sz w:val="20"/>
                <w:szCs w:val="20"/>
                <w:color w:val="auto"/>
              </w:rPr>
            </w:pPr>
          </w:p>
        </w:tc>
      </w:tr>
      <w:tr>
        <w:trPr>
          <w:trHeight w:val="419"/>
        </w:trPr>
        <w:tc>
          <w:tcPr>
            <w:tcW w:w="49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Management’s Report on Internal Control Over Financial Reporting</w:t>
              </w:r>
            </w:hyperlink>
          </w:p>
        </w:tc>
        <w:tc>
          <w:tcPr>
            <w:tcW w:w="406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75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Report of Independent Registered Public Accounting Firm — Internal Control Over Financial Reporting</w:t>
              </w:r>
            </w:hyperlink>
          </w:p>
        </w:tc>
        <w:tc>
          <w:tcPr>
            <w:tcW w:w="144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70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Report of Independent Registered Public Accounting Firm — Consolidated Financial Statements</w:t>
              </w:r>
            </w:hyperlink>
          </w:p>
        </w:tc>
        <w:tc>
          <w:tcPr>
            <w:tcW w:w="19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Consolidated Balance Sheets as of December 31, 2014 and 2013</w:t>
              </w:r>
            </w:hyperlink>
          </w:p>
        </w:tc>
        <w:tc>
          <w:tcPr>
            <w:tcW w:w="432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89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Operations and Comprehensive Income for the years ended December 31, 2014, 2013 and 2012</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76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Consolidated Statements of Stockholder’s Equity for the years ended December 31, 2014, 2013 and 2012</w:t>
              </w:r>
            </w:hyperlink>
          </w:p>
        </w:tc>
        <w:tc>
          <w:tcPr>
            <w:tcW w:w="13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6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Cash Flows for the years ended December 31, 2014, 2013 and 2012</w:t>
              </w:r>
            </w:hyperlink>
          </w:p>
        </w:tc>
        <w:tc>
          <w:tcPr>
            <w:tcW w:w="206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Notes to Consolidated Financial Statements</w:t>
              </w:r>
            </w:hyperlink>
          </w:p>
        </w:tc>
        <w:tc>
          <w:tcPr>
            <w:tcW w:w="582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78-83</w:t>
            </w:r>
          </w:p>
        </w:tc>
      </w:tr>
      <w:tr>
        <w:trPr>
          <w:trHeight w:val="196"/>
        </w:trPr>
        <w:tc>
          <w:tcPr>
            <w:tcW w:w="77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Schedule II — Valuation and Qualifying Accounts for the years ended December 31, 2014, 2013 and 2012</w:t>
              </w:r>
            </w:hyperlink>
          </w:p>
        </w:tc>
        <w:tc>
          <w:tcPr>
            <w:tcW w:w="12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8980" w:type="dxa"/>
            <w:vAlign w:val="bottom"/>
            <w:gridSpan w:val="1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Schedule III — Schedule of Real Estate and Accumulated Depreciation as of December 31, 2014</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385"/>
        </w:trPr>
        <w:tc>
          <w:tcPr>
            <w:tcW w:w="6920" w:type="dxa"/>
            <w:vAlign w:val="bottom"/>
            <w:tcBorders>
              <w:top w:val="single" w:sz="8" w:color="0000EE"/>
            </w:tcBorders>
            <w:gridSpan w:val="5"/>
          </w:tcPr>
          <w:p>
            <w:pPr>
              <w:jc w:val="center"/>
              <w:ind w:left="4410"/>
              <w:spacing w:after="0"/>
              <w:rPr>
                <w:sz w:val="20"/>
                <w:szCs w:val="20"/>
                <w:color w:val="auto"/>
              </w:rPr>
            </w:pPr>
            <w:r>
              <w:rPr>
                <w:rFonts w:ascii="Arial" w:cs="Arial" w:eastAsia="Arial" w:hAnsi="Arial"/>
                <w:sz w:val="18"/>
                <w:szCs w:val="18"/>
                <w:color w:val="auto"/>
                <w:w w:val="89"/>
              </w:rPr>
              <w:t>70</w:t>
            </w: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1320"/>
          </w:cols>
          <w:pgMar w:left="240" w:top="446"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management of Lamar Media Corp. is responsible for establishing and maintaining adequate internal control over financial reporting, as such term is defined in Rule 13a-15(f) and 15d-15(f) under the Exchange Act.</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Lamar Media’s management assessed the effectiveness of Lamar Media’s internal control over financial reporting as of December 31, 2014.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Internal-Control Integrated Framework (1992)</w:t>
      </w:r>
      <w:r>
        <w:rPr>
          <w:rFonts w:ascii="Arial" w:cs="Arial" w:eastAsia="Arial" w:hAnsi="Arial"/>
          <w:sz w:val="18"/>
          <w:szCs w:val="18"/>
          <w:color w:val="auto"/>
        </w:rPr>
        <w:t>. Based on this assessment, Lamar Media’s management has concluded that, as of December 31, 2014, Lamar Media’s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is effective based on those criteria. The effectiveness of Lamar Media’s internal control over financial reporting as of December 31, 2014 has been audited by KPMG LLP, an independent registered public accounting firm, as stated in their report, which is included in Item 8 to this Annual Report.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Media Corp.:</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We have audited Lamar Media Corp.’s internal control over financial reporting as of December 31, 2014,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(1992) </w:t>
      </w:r>
      <w:r>
        <w:rPr>
          <w:rFonts w:ascii="Arial" w:cs="Arial" w:eastAsia="Arial" w:hAnsi="Arial"/>
          <w:sz w:val="18"/>
          <w:szCs w:val="18"/>
          <w:color w:val="auto"/>
        </w:rPr>
        <w:t>issued by the Committee of Sponsoring Organizations of the Treadway Commission (COSO). Lamar Media Corp.’s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 xml:space="preserve">In our opinion, Lamar Media Corp.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Lamar Media Corp. and subsidiaries as of December 31, 2014 and 2013, and the related consolidated statements of operations and comprehensive income, stockholder’s equity, and cash flows for each of the years in the three-year period ended December 31, 2014, and the financial statement schedules, and our report dated February 26, 2015 expressed an unqualified opinion on those consolidated financial statements and schedules.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Media Corp.:</w:t>
      </w:r>
    </w:p>
    <w:p>
      <w:pPr>
        <w:spacing w:after="0" w:line="211"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We have audited the accompanying consolidated balance sheets of Lamar Media Corp. and subsidiaries as of December 31, 2014 and 2013, and the related consolidated statements of operations and comprehensive income, stockholder’s equity, and cash flows for each of the years in the three-year period ended December 31, 2014. In connection with our audits of the consolidated financial statements, we also have audited financial statement schedules II and</w:t>
      </w:r>
    </w:p>
    <w:p>
      <w:pPr>
        <w:ind w:right="220" w:firstLine="8"/>
        <w:spacing w:after="0" w:line="261"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consolidated financial statements and financial statement schedules are the responsibility of the Company’s management. Our responsibility is to express an opinion on these consolidated financial statements and financial statement schedules based on our audits.</w:t>
      </w:r>
    </w:p>
    <w:p>
      <w:pPr>
        <w:spacing w:after="0" w:line="18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Lamar Media Corp. and subsidiaries as of December 31, 2014 and 2013, and the results of their operations and their cash flows for each of the years in the three-year period ended December 31, 2014, in conformity with U.S. generally accepted accounting principles. Also in our opinion, the related financial statement schedules, when considered in relation to the basic consolidated financial statements taken as a whole, present fairly, in all material respects, the information set forth therein.</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Lamar Media Corp.’s internal control over financial reporting as of December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 and our report dated February 26, 2015, expressed an unqualified opinion on the effectiveness of the Company’s internal control over financial reporting.</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ind w:left="404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25,535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Receivables, net of allowance for doubtful accounts of $7,957 and $7,615 as of 2014 and 2013,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169,610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 assets (note 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272,644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3,110,385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3,036,456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(2,026,745)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(1,914,527)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property, plant and equipment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1,083,640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1,121,929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120" w:type="dxa"/>
            <w:vAlign w:val="bottom"/>
            <w:gridSpan w:val="2"/>
          </w:tcPr>
          <w:p>
            <w:pPr>
              <w:spacing w:after="0"/>
              <w:rPr>
                <w:sz w:val="20"/>
                <w:szCs w:val="20"/>
                <w:color w:val="auto"/>
              </w:rPr>
            </w:pPr>
            <w:r>
              <w:rPr>
                <w:rFonts w:ascii="Arial" w:cs="Arial" w:eastAsia="Arial" w:hAnsi="Arial"/>
                <w:sz w:val="18"/>
                <w:szCs w:val="18"/>
                <w:color w:val="auto"/>
              </w:rPr>
              <w:t>Goodwill (note 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1,502,616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1,493,401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366,518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w w:val="98"/>
              </w:rPr>
              <w:t>Deferred financing costs, net of accumulated amortization of $5,476 and $15,893 as of 2014 and 2013,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30,771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(note 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3,300,460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3,383,261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Trade 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16,368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 (note 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Accrued expenses (note 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105,007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1,884,270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1,882,867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 liabilities (note 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204,327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2,333,569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2,498,771</w:t>
            </w:r>
          </w:p>
        </w:tc>
        <w:tc>
          <w:tcPr>
            <w:tcW w:w="0" w:type="dxa"/>
            <w:vAlign w:val="bottom"/>
          </w:tcPr>
          <w:p>
            <w:pPr>
              <w:spacing w:after="0"/>
              <w:rPr>
                <w:sz w:val="1"/>
                <w:szCs w:val="1"/>
                <w:color w:val="auto"/>
              </w:rPr>
            </w:pPr>
          </w:p>
        </w:tc>
      </w:tr>
      <w:tr>
        <w:trPr>
          <w:trHeight w:val="331"/>
        </w:trPr>
        <w:tc>
          <w:tcPr>
            <w:tcW w:w="91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Common stock, $.01 par value, authorized 3,000 shares; 100 shares issued and outstanding at 2014 and 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2,682,216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2,644,015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(1,717,779)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(1,763,392)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966,891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3,300,460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3,383,261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revenues</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1,287,060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1,245,842</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1,179,736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(income):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453,269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436,844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 (exclusive of 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Corporate expenses (exclusive of 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68,733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300,579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Gain on disposition of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(13,817)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1,008,045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1,022,070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964,874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279,015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26,023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14,345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Other-than-temporary impairment of investment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146,277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135,244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Income tax (benefit) expense (note 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(143,264)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22,977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285,622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Common</w:t>
            </w:r>
          </w:p>
        </w:tc>
        <w:tc>
          <w:tcPr>
            <w:tcW w:w="4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Accumulated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40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$2,579,318</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4"/>
              </w:rPr>
              <w:t>5,326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$(1,806,532)</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$ 778,112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Contribution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380"/>
              <w:spacing w:after="0"/>
              <w:rPr>
                <w:sz w:val="20"/>
                <w:szCs w:val="20"/>
                <w:color w:val="auto"/>
              </w:rPr>
            </w:pPr>
            <w:r>
              <w:rPr>
                <w:rFonts w:ascii="Arial" w:cs="Arial" w:eastAsia="Arial" w:hAnsi="Arial"/>
                <w:sz w:val="18"/>
                <w:szCs w:val="18"/>
                <w:color w:val="auto"/>
              </w:rPr>
              <w:t>26,839</w:t>
            </w:r>
          </w:p>
        </w:tc>
        <w:tc>
          <w:tcPr>
            <w:tcW w:w="1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8,115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to parent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(1,113)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Balance, December 31, 2012</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2,606,157</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84"/>
              </w:rPr>
              <w:t>5,978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(1,799,530)</w:t>
            </w:r>
          </w:p>
        </w:tc>
        <w:tc>
          <w:tcPr>
            <w:tcW w:w="3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 from parent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37,858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Foreign currency translations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(2,111)</w:t>
            </w: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40,338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Dividend to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(4,200)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2,644,015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3,867</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(1,763,392)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Contribution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380"/>
              <w:spacing w:after="0"/>
              <w:rPr>
                <w:sz w:val="20"/>
                <w:szCs w:val="20"/>
                <w:color w:val="auto"/>
              </w:rPr>
            </w:pPr>
            <w:r>
              <w:rPr>
                <w:rFonts w:ascii="Arial" w:cs="Arial" w:eastAsia="Arial" w:hAnsi="Arial"/>
                <w:sz w:val="18"/>
                <w:szCs w:val="18"/>
                <w:color w:val="auto"/>
              </w:rPr>
              <w:t>38,201</w:t>
            </w:r>
          </w:p>
        </w:tc>
        <w:tc>
          <w:tcPr>
            <w:tcW w:w="1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287,035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287,035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to parent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(241,422)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(241,422)</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Balance, December 31, 2014</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2,682,216</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4"/>
              </w:rPr>
              <w:t>2,454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(1,717,779</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$ 966,891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287,035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40,338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258,435</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300,579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24,120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Amortization included in interest expense</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4,777</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on disposition of assets and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Other-than-temporary impairment of investment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4,069</w:t>
            </w: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26,023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Deferred income tax (benefit) expense</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(155,528)</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18,885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5,947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(13,553)</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8,491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(14,306)</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Cash flows provided by operating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434,580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377,375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369,357</w:t>
            </w:r>
          </w:p>
        </w:tc>
        <w:tc>
          <w:tcPr>
            <w:tcW w:w="0" w:type="dxa"/>
            <w:vAlign w:val="bottom"/>
          </w:tcPr>
          <w:p>
            <w:pPr>
              <w:spacing w:after="0"/>
              <w:rPr>
                <w:sz w:val="1"/>
                <w:szCs w:val="1"/>
                <w:color w:val="auto"/>
              </w:rPr>
            </w:pPr>
          </w:p>
        </w:tc>
      </w:tr>
      <w:tr>
        <w:trPr>
          <w:trHeight w:val="331"/>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(107,573)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(105,650)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(65,021)</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notes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4,462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Proceeds from disposition of assets and investments</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4,135</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(163,997)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(191,869)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(303,399)</w:t>
            </w:r>
          </w:p>
        </w:tc>
        <w:tc>
          <w:tcPr>
            <w:tcW w:w="0" w:type="dxa"/>
            <w:vAlign w:val="bottom"/>
          </w:tcPr>
          <w:p>
            <w:pPr>
              <w:spacing w:after="0"/>
              <w:rPr>
                <w:sz w:val="1"/>
                <w:szCs w:val="1"/>
                <w:color w:val="auto"/>
              </w:rPr>
            </w:pPr>
          </w:p>
        </w:tc>
      </w:tr>
      <w:tr>
        <w:trPr>
          <w:trHeight w:val="331"/>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received from revolving credit facility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325,000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Payments on revolving credit facility</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(410,000)</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(11,750)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Proceeds received from senior credit facility</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300,000</w:t>
            </w: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(17,442)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Proceeds received from note offering</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510,000</w:t>
            </w: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 on senior subordinated notes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(415,752)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(360,383)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Payment on senior credit facility</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(352,106)</w:t>
            </w: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Dividends to parent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(241,422)</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Contributions from parent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38,201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1060"/>
              <w:spacing w:after="0"/>
              <w:rPr>
                <w:sz w:val="20"/>
                <w:szCs w:val="20"/>
                <w:color w:val="auto"/>
              </w:rPr>
            </w:pPr>
            <w:r>
              <w:rPr>
                <w:rFonts w:ascii="Arial" w:cs="Arial" w:eastAsia="Arial" w:hAnsi="Arial"/>
                <w:sz w:val="18"/>
                <w:szCs w:val="18"/>
                <w:color w:val="auto"/>
              </w:rPr>
              <w:t>Cash flows used in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(276,365</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(209,865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in cash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1060"/>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(25,699)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32,712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33,377</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25,535</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94,646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140,048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state and federal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45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Business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Lamar Media Corp. is a wholly owned subsidiary of Lamar Advertising Company. Lamar Media Corp. is engaged in the outdoor advertising business operating approximately 144,000 outdoor advertising displays in 44 states. Lamar Media’s operating strategy is to be the leading provider of outdoor advertising services in the markets it serves.</w:t>
      </w:r>
    </w:p>
    <w:p>
      <w:pPr>
        <w:spacing w:after="0" w:line="18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Lamar Media operates a logo sign business in 23 states throughout the United States as well as the province of Ontario,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on bus shelters, benches and buses in the markets it serves.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Certain footnotes are not provided for the accompanying financial statements as the information in notes 2, 4, 6, 9, 10, 13, 14, 15, 16, 17, 18, 19 and 20 and portions of notes 1 and 12 to the consolidated financial statements of Lamar Advertising Company included elsewhere in this filing are substantially equivalent to that required for the consolidated financial statements of Lamar Media Corp. Earnings per share data is not provided for the operating results of Lamar Media Corp. as it is a wholly owned subsidiary of Lamar Advertising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accompanying consolidated financial statements include Lamar Media Corp., its wholly owned subsidiaries, The Lamar Company, LLC, Lamar Central Outdoor, Inc., Lamar Oklahoma Holding Co., Inc., Lamar Advertising Southwest, Inc., Lamar DOA Tennessee Holdings, Inc., and Interstate Logos, LLC. and their majority-owned subsidiaries. All inter-company transactions and balances have been eliminated in consolidation.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Non-cash Financing and Investing Activities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the years ended December 31, 2014 and 2013, the Company had non-cash investing activities of $1,900 and $4,982 related to capital expenditures and acquisitions of outdoor advertising assets. There were no significant non-cash financing activities during the years ended December 31, 2014 and December 31,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intangible assets at December 31, 2014 and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Life</w:t>
            </w: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8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Gross Carrying</w:t>
            </w:r>
          </w:p>
        </w:tc>
        <w:tc>
          <w:tcPr>
            <w:tcW w:w="6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Amortizable Intangible Assets:</w:t>
            </w: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rPr>
                <w:sz w:val="20"/>
                <w:szCs w:val="20"/>
                <w:color w:val="auto"/>
              </w:rPr>
            </w:pPr>
            <w:r>
              <w:rPr>
                <w:rFonts w:ascii="Arial" w:cs="Arial" w:eastAsia="Arial" w:hAnsi="Arial"/>
                <w:sz w:val="18"/>
                <w:szCs w:val="18"/>
                <w:color w:val="auto"/>
              </w:rPr>
              <w:t>Customer lists and contracts</w:t>
            </w:r>
          </w:p>
        </w:tc>
        <w:tc>
          <w:tcPr>
            <w:tcW w:w="9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7—10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499,311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470,170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220" w:type="dxa"/>
            <w:vAlign w:val="bottom"/>
            <w:gridSpan w:val="4"/>
          </w:tcPr>
          <w:p>
            <w:pPr>
              <w:jc w:val="right"/>
              <w:ind w:right="340"/>
              <w:spacing w:after="0"/>
              <w:rPr>
                <w:sz w:val="20"/>
                <w:szCs w:val="20"/>
                <w:color w:val="auto"/>
              </w:rPr>
            </w:pPr>
            <w:r>
              <w:rPr>
                <w:rFonts w:ascii="Arial" w:cs="Arial" w:eastAsia="Arial" w:hAnsi="Arial"/>
                <w:sz w:val="18"/>
                <w:szCs w:val="18"/>
                <w:color w:val="auto"/>
              </w:rPr>
              <w:t>492,299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463,188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Non-competition agreement</w:t>
            </w: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3—15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64,062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63,933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62,914</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rPr>
                <w:sz w:val="20"/>
                <w:szCs w:val="20"/>
                <w:color w:val="auto"/>
              </w:rPr>
            </w:pPr>
            <w:r>
              <w:rPr>
                <w:rFonts w:ascii="Arial" w:cs="Arial" w:eastAsia="Arial" w:hAnsi="Arial"/>
                <w:sz w:val="18"/>
                <w:szCs w:val="18"/>
                <w:color w:val="auto"/>
              </w:rPr>
              <w:t>Site locations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1,531,161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1,194,709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1,495,635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1,106,945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5—15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13,408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13,463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4"/>
              </w:rPr>
              <w:t>2,107,997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$1,741,479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2,065,330</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1,646,411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Unamortizable Intangible Assets: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36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1,755,283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252,667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1,746,068</w:t>
            </w:r>
          </w:p>
        </w:tc>
        <w:tc>
          <w:tcPr>
            <w:tcW w:w="34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252,667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900" w:type="dxa"/>
            <w:vAlign w:val="bottom"/>
            <w:gridSpan w:val="12"/>
          </w:tcPr>
          <w:p>
            <w:pPr>
              <w:ind w:left="460"/>
              <w:spacing w:after="0"/>
              <w:rPr>
                <w:sz w:val="20"/>
                <w:szCs w:val="20"/>
                <w:color w:val="auto"/>
              </w:rPr>
            </w:pPr>
            <w:r>
              <w:rPr>
                <w:rFonts w:ascii="Arial" w:cs="Arial" w:eastAsia="Arial" w:hAnsi="Arial"/>
                <w:sz w:val="18"/>
                <w:szCs w:val="18"/>
                <w:color w:val="auto"/>
                <w:w w:val="97"/>
              </w:rPr>
              <w:t>The changes in the gross carrying amount of goodwill for the year ended December 31, 2014 are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3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5"/>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$1,746,068</w:t>
            </w:r>
          </w:p>
        </w:tc>
        <w:tc>
          <w:tcPr>
            <w:tcW w:w="12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9,457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adjustments and other</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Impairment losses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1,755,283</w:t>
            </w:r>
          </w:p>
        </w:tc>
        <w:tc>
          <w:tcPr>
            <w:tcW w:w="12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accrued expenses at December 31, 2014 and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Payroll</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4"/>
              </w:rPr>
              <w:t>$ 13,852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2"/>
              </w:rPr>
              <w:t>$ 11,311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tcPr>
          <w:p>
            <w:pPr>
              <w:ind w:left="400"/>
              <w:spacing w:after="0"/>
              <w:rPr>
                <w:sz w:val="20"/>
                <w:szCs w:val="20"/>
                <w:color w:val="auto"/>
              </w:rPr>
            </w:pPr>
            <w:r>
              <w:rPr>
                <w:rFonts w:ascii="Arial" w:cs="Arial" w:eastAsia="Arial" w:hAnsi="Arial"/>
                <w:sz w:val="18"/>
                <w:szCs w:val="18"/>
                <w:color w:val="auto"/>
                <w:w w:val="87"/>
              </w:rPr>
              <w:t>29,281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23,451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lease expense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w w:val="87"/>
              </w:rPr>
              <w:t>35,903</w:t>
            </w:r>
          </w:p>
        </w:tc>
        <w:tc>
          <w:tcPr>
            <w:tcW w:w="1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37,346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w w:val="87"/>
              </w:rPr>
              <w:t>25,971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23,524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105,007</w:t>
            </w:r>
          </w:p>
        </w:tc>
        <w:tc>
          <w:tcPr>
            <w:tcW w:w="1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95,632</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(5) Long-term Debt</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00" w:type="dxa"/>
            <w:vAlign w:val="bottom"/>
            <w:gridSpan w:val="4"/>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4"/>
          </w:tcPr>
          <w:p>
            <w:pPr>
              <w:ind w:left="460"/>
              <w:spacing w:after="0"/>
              <w:rPr>
                <w:sz w:val="20"/>
                <w:szCs w:val="20"/>
                <w:color w:val="auto"/>
              </w:rPr>
            </w:pPr>
            <w:r>
              <w:rPr>
                <w:rFonts w:ascii="Arial" w:cs="Arial" w:eastAsia="Arial" w:hAnsi="Arial"/>
                <w:sz w:val="18"/>
                <w:szCs w:val="18"/>
                <w:color w:val="auto"/>
              </w:rPr>
              <w:t>Long-term debt consists of the following at December 31, 2014 and 2013:</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Credit Agreement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353,750</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502,106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7 7/8% Senior Subordinated Notes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95"/>
              </w:rPr>
              <w:t>400,000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7/8% Senior Subordinated Notes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500,000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500,000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5% Senior Subordinated Notes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535,000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95"/>
              </w:rPr>
              <w:t>535,000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3/8% Senior Notes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510,000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notes with various rates and terms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1,899,895</w:t>
            </w:r>
          </w:p>
        </w:tc>
        <w:tc>
          <w:tcPr>
            <w:tcW w:w="80" w:type="dxa"/>
            <w:vAlign w:val="bottom"/>
            <w:shd w:val="clear" w:color="auto" w:fill="CCEEFF"/>
          </w:tcPr>
          <w:p>
            <w:pPr>
              <w:spacing w:after="0"/>
              <w:rPr>
                <w:sz w:val="18"/>
                <w:szCs w:val="18"/>
                <w:color w:val="auto"/>
              </w:rPr>
            </w:pPr>
          </w:p>
        </w:tc>
        <w:tc>
          <w:tcPr>
            <w:tcW w:w="118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1,938,802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(15,625)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7"/>
          </w:tcPr>
          <w:p>
            <w:pPr>
              <w:jc w:val="right"/>
              <w:ind w:right="60"/>
              <w:spacing w:after="0"/>
              <w:rPr>
                <w:sz w:val="20"/>
                <w:szCs w:val="20"/>
                <w:color w:val="auto"/>
              </w:rPr>
            </w:pPr>
            <w:r>
              <w:rPr>
                <w:rFonts w:ascii="Arial" w:cs="Arial" w:eastAsia="Arial" w:hAnsi="Arial"/>
                <w:sz w:val="18"/>
                <w:szCs w:val="18"/>
                <w:color w:val="auto"/>
              </w:rPr>
              <w:t>(55,935)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excluding current maturities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1,884,270</w:t>
            </w:r>
          </w:p>
        </w:tc>
        <w:tc>
          <w:tcPr>
            <w:tcW w:w="80" w:type="dxa"/>
            <w:vAlign w:val="bottom"/>
            <w:shd w:val="clear" w:color="auto" w:fill="CCEEFF"/>
          </w:tcPr>
          <w:p>
            <w:pPr>
              <w:spacing w:after="0"/>
              <w:rPr>
                <w:sz w:val="18"/>
                <w:szCs w:val="18"/>
                <w:color w:val="auto"/>
              </w:rPr>
            </w:pPr>
          </w:p>
        </w:tc>
        <w:tc>
          <w:tcPr>
            <w:tcW w:w="1180" w:type="dxa"/>
            <w:vAlign w:val="bottom"/>
            <w:gridSpan w:val="8"/>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1,882,867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4"/>
            <w:vMerge w:val="restart"/>
          </w:tcPr>
          <w:p>
            <w:pPr>
              <w:ind w:left="460"/>
              <w:spacing w:after="0"/>
              <w:rPr>
                <w:sz w:val="20"/>
                <w:szCs w:val="20"/>
                <w:color w:val="auto"/>
              </w:rPr>
            </w:pPr>
            <w:r>
              <w:rPr>
                <w:rFonts w:ascii="Arial" w:cs="Arial" w:eastAsia="Arial" w:hAnsi="Arial"/>
                <w:sz w:val="18"/>
                <w:szCs w:val="18"/>
                <w:color w:val="auto"/>
              </w:rPr>
              <w:t>Long-term debt matures as follows:</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4"/>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vMerge w:val="restart"/>
          </w:tcPr>
          <w:p>
            <w:pPr>
              <w:spacing w:after="0"/>
              <w:rPr>
                <w:sz w:val="21"/>
                <w:szCs w:val="21"/>
                <w:color w:val="auto"/>
              </w:rPr>
            </w:pPr>
          </w:p>
        </w:tc>
        <w:tc>
          <w:tcPr>
            <w:tcW w:w="920" w:type="dxa"/>
            <w:vAlign w:val="bottom"/>
            <w:gridSpan w:val="2"/>
            <w:vMerge w:val="restart"/>
          </w:tcPr>
          <w:p>
            <w:pPr>
              <w:spacing w:after="0"/>
              <w:rPr>
                <w:sz w:val="21"/>
                <w:szCs w:val="21"/>
                <w:color w:val="auto"/>
              </w:rPr>
            </w:pPr>
          </w:p>
        </w:tc>
        <w:tc>
          <w:tcPr>
            <w:tcW w:w="4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48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15,625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2016</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5"/>
          </w:tcPr>
          <w:p>
            <w:pPr>
              <w:jc w:val="right"/>
              <w:ind w:right="10"/>
              <w:spacing w:after="0"/>
              <w:rPr>
                <w:sz w:val="20"/>
                <w:szCs w:val="20"/>
                <w:color w:val="auto"/>
              </w:rPr>
            </w:pPr>
            <w:r>
              <w:rPr>
                <w:rFonts w:ascii="Arial" w:cs="Arial" w:eastAsia="Arial" w:hAnsi="Arial"/>
                <w:sz w:val="18"/>
                <w:szCs w:val="18"/>
                <w:color w:val="auto"/>
              </w:rPr>
              <w:t>21,118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39,375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5"/>
          </w:tcPr>
          <w:p>
            <w:pPr>
              <w:jc w:val="right"/>
              <w:ind w:right="10"/>
              <w:spacing w:after="0"/>
              <w:rPr>
                <w:sz w:val="20"/>
                <w:szCs w:val="20"/>
                <w:color w:val="auto"/>
              </w:rPr>
            </w:pPr>
            <w:r>
              <w:rPr>
                <w:rFonts w:ascii="Arial" w:cs="Arial" w:eastAsia="Arial" w:hAnsi="Arial"/>
                <w:sz w:val="18"/>
                <w:szCs w:val="18"/>
                <w:color w:val="auto"/>
              </w:rPr>
              <w:t>45,000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233,750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Later years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6"/>
          </w:tcPr>
          <w:p>
            <w:pPr>
              <w:jc w:val="right"/>
              <w:ind w:right="10"/>
              <w:spacing w:after="0"/>
              <w:rPr>
                <w:sz w:val="20"/>
                <w:szCs w:val="20"/>
                <w:color w:val="auto"/>
              </w:rPr>
            </w:pPr>
            <w:r>
              <w:rPr>
                <w:rFonts w:ascii="Arial" w:cs="Arial" w:eastAsia="Arial" w:hAnsi="Arial"/>
                <w:sz w:val="18"/>
                <w:szCs w:val="18"/>
                <w:color w:val="auto"/>
                <w:w w:val="88"/>
              </w:rPr>
              <w:t>$1,545,027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(6) Income Taxes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4"/>
          </w:tcPr>
          <w:p>
            <w:pPr>
              <w:ind w:left="460"/>
              <w:spacing w:after="0"/>
              <w:rPr>
                <w:sz w:val="20"/>
                <w:szCs w:val="20"/>
                <w:color w:val="auto"/>
              </w:rPr>
            </w:pPr>
            <w:r>
              <w:rPr>
                <w:rFonts w:ascii="Arial" w:cs="Arial" w:eastAsia="Arial" w:hAnsi="Arial"/>
                <w:sz w:val="18"/>
                <w:szCs w:val="18"/>
                <w:color w:val="auto"/>
              </w:rPr>
              <w:t>Income tax expense (benefit) consists of the following:</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gridSpan w:val="4"/>
          </w:tcPr>
          <w:p>
            <w:pPr>
              <w:ind w:left="40"/>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5"/>
          </w:tcPr>
          <w:p>
            <w:pPr>
              <w:jc w:val="right"/>
              <w:ind w:right="145"/>
              <w:spacing w:after="0"/>
              <w:rPr>
                <w:sz w:val="20"/>
                <w:szCs w:val="20"/>
                <w:color w:val="auto"/>
              </w:rPr>
            </w:pPr>
            <w:r>
              <w:rPr>
                <w:rFonts w:ascii="Arial" w:cs="Arial" w:eastAsia="Arial" w:hAnsi="Arial"/>
                <w:sz w:val="14"/>
                <w:szCs w:val="14"/>
                <w:b w:val="1"/>
                <w:bCs w:val="1"/>
                <w:color w:val="auto"/>
              </w:rPr>
              <w:t>Deferred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6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2014:</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U.S. federal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8,993</w:t>
            </w:r>
          </w:p>
        </w:tc>
        <w:tc>
          <w:tcPr>
            <w:tcW w:w="1260" w:type="dxa"/>
            <w:vAlign w:val="bottom"/>
            <w:gridSpan w:val="7"/>
          </w:tcPr>
          <w:p>
            <w:pPr>
              <w:jc w:val="right"/>
              <w:spacing w:after="0"/>
              <w:rPr>
                <w:sz w:val="20"/>
                <w:szCs w:val="20"/>
                <w:color w:val="auto"/>
              </w:rPr>
            </w:pPr>
            <w:r>
              <w:rPr>
                <w:rFonts w:ascii="Arial" w:cs="Arial" w:eastAsia="Arial" w:hAnsi="Arial"/>
                <w:sz w:val="18"/>
                <w:szCs w:val="18"/>
                <w:color w:val="auto"/>
              </w:rPr>
              <w:t>(151,191)</w:t>
            </w:r>
          </w:p>
        </w:tc>
        <w:tc>
          <w:tcPr>
            <w:tcW w:w="1200" w:type="dxa"/>
            <w:vAlign w:val="bottom"/>
            <w:gridSpan w:val="9"/>
          </w:tcPr>
          <w:p>
            <w:pPr>
              <w:jc w:val="right"/>
              <w:ind w:right="40"/>
              <w:spacing w:after="0"/>
              <w:rPr>
                <w:sz w:val="20"/>
                <w:szCs w:val="20"/>
                <w:color w:val="auto"/>
              </w:rPr>
            </w:pPr>
            <w:r>
              <w:rPr>
                <w:rFonts w:ascii="Arial" w:cs="Arial" w:eastAsia="Arial" w:hAnsi="Arial"/>
                <w:sz w:val="18"/>
                <w:szCs w:val="18"/>
                <w:color w:val="auto"/>
              </w:rPr>
              <w:t>(142,198)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2,579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(4,124)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5"/>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12,264</w:t>
            </w:r>
          </w:p>
        </w:tc>
        <w:tc>
          <w:tcPr>
            <w:tcW w:w="6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(155,528)</w:t>
            </w:r>
          </w:p>
        </w:tc>
        <w:tc>
          <w:tcPr>
            <w:tcW w:w="120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(143,264)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80" w:type="dxa"/>
            <w:vAlign w:val="bottom"/>
            <w:gridSpan w:val="3"/>
            <w:vMerge w:val="restart"/>
          </w:tcPr>
          <w:p>
            <w:pPr>
              <w:spacing w:after="0"/>
              <w:rPr>
                <w:sz w:val="20"/>
                <w:szCs w:val="20"/>
                <w:color w:val="auto"/>
              </w:rPr>
            </w:pPr>
            <w:r>
              <w:rPr>
                <w:rFonts w:ascii="Arial" w:cs="Arial" w:eastAsia="Arial" w:hAnsi="Arial"/>
                <w:sz w:val="18"/>
                <w:szCs w:val="18"/>
                <w:color w:val="auto"/>
              </w:rPr>
              <w:t>Year ended December 31, 2013:</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568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930</w:t>
            </w:r>
          </w:p>
        </w:tc>
        <w:tc>
          <w:tcPr>
            <w:tcW w:w="6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w w:val="87"/>
              </w:rPr>
              <w:t>21,798</w:t>
            </w:r>
          </w:p>
        </w:tc>
        <w:tc>
          <w:tcPr>
            <w:tcW w:w="560" w:type="dxa"/>
            <w:vAlign w:val="bottom"/>
            <w:gridSpan w:val="4"/>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4"/>
              </w:rPr>
              <w:t>22,728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State and local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1,609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45"/>
              <w:spacing w:after="0"/>
              <w:rPr>
                <w:sz w:val="20"/>
                <w:szCs w:val="20"/>
                <w:color w:val="auto"/>
              </w:rPr>
            </w:pPr>
            <w:r>
              <w:rPr>
                <w:rFonts w:ascii="Arial" w:cs="Arial" w:eastAsia="Arial" w:hAnsi="Arial"/>
                <w:sz w:val="18"/>
                <w:szCs w:val="18"/>
                <w:color w:val="auto"/>
                <w:w w:val="88"/>
              </w:rPr>
              <w:t>1,184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5"/>
          </w:tcPr>
          <w:p>
            <w:pPr>
              <w:jc w:val="right"/>
              <w:ind w:right="10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1,553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(4,097)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4,092</w:t>
            </w:r>
          </w:p>
        </w:tc>
        <w:tc>
          <w:tcPr>
            <w:tcW w:w="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18,885</w:t>
            </w:r>
          </w:p>
        </w:tc>
        <w:tc>
          <w:tcPr>
            <w:tcW w:w="18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22,977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U.S. federal</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3"/>
          </w:tcPr>
          <w:p>
            <w:pPr>
              <w:jc w:val="right"/>
              <w:ind w:right="45"/>
              <w:spacing w:after="0"/>
              <w:rPr>
                <w:sz w:val="20"/>
                <w:szCs w:val="20"/>
                <w:color w:val="auto"/>
              </w:rPr>
            </w:pPr>
            <w:r>
              <w:rPr>
                <w:rFonts w:ascii="Arial" w:cs="Arial" w:eastAsia="Arial" w:hAnsi="Arial"/>
                <w:sz w:val="18"/>
                <w:szCs w:val="18"/>
                <w:color w:val="auto"/>
                <w:w w:val="88"/>
              </w:rPr>
              <w:t>6,859</w:t>
            </w:r>
          </w:p>
        </w:tc>
        <w:tc>
          <w:tcPr>
            <w:tcW w:w="560" w:type="dxa"/>
            <w:vAlign w:val="bottom"/>
            <w:gridSpan w:val="4"/>
          </w:tcPr>
          <w:p>
            <w:pPr>
              <w:jc w:val="right"/>
              <w:ind w:right="37"/>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100"/>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820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1,103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4"/>
              </w:rPr>
              <w:t>(1,253)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1,927</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w w:val="88"/>
              </w:rPr>
              <w:t>6,426</w:t>
            </w:r>
          </w:p>
        </w:tc>
        <w:tc>
          <w:tcPr>
            <w:tcW w:w="560" w:type="dxa"/>
            <w:vAlign w:val="bottom"/>
            <w:gridSpan w:val="4"/>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8,353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0500"/>
          </w:cols>
          <w:pgMar w:left="240" w:top="459" w:right="1159" w:bottom="1440" w:gutter="0" w:footer="0" w:header="0"/>
        </w:sectPr>
      </w:pPr>
    </w:p>
    <w:p>
      <w:pPr>
        <w:ind w:left="562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500"/>
          </w:cols>
          <w:pgMar w:left="240" w:top="459" w:right="11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income tax provision for the year ended December 31, 2014 is net of the deferred tax benefit due to REIT conversion of approximately $153,472.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2014 and December 31, 2013, the Company had income taxes payable of $308 and $630, respectively, included in accrued expenses.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U.S. and foreign components of earnings before income taxes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7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0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$144,643</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$62,841</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Foreign</w:t>
            </w:r>
          </w:p>
        </w:tc>
        <w:tc>
          <w:tcPr>
            <w:tcW w:w="30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(872)</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474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(1,147)</w:t>
            </w:r>
          </w:p>
        </w:tc>
      </w:tr>
      <w:tr>
        <w:trPr>
          <w:trHeight w:val="27"/>
        </w:trPr>
        <w:tc>
          <w:tcPr>
            <w:tcW w:w="36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143,771</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63,315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16,468</w:t>
            </w:r>
          </w:p>
        </w:tc>
      </w:tr>
      <w:tr>
        <w:trPr>
          <w:trHeight w:val="20"/>
        </w:trPr>
        <w:tc>
          <w:tcPr>
            <w:tcW w:w="3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 reconciliation of significant differences between the reported amount of income tax expense and the expected amount of income tax expense that would result from applying the U.S. federal statutory income tax rate of 35 percent to income before taxes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50,320</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$22,160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Tax adjustment related to REIT (a)</w:t>
            </w:r>
          </w:p>
        </w:tc>
        <w:tc>
          <w:tcPr>
            <w:tcW w:w="8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(45,012)</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Book expenses not deductible for tax purposes</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1,058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(1,094)</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(354)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Rate Change (b)</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Deferred tax adjustment due to REIT conversion</w:t>
            </w:r>
          </w:p>
        </w:tc>
        <w:tc>
          <w:tcPr>
            <w:tcW w:w="8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(153,472)</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differences,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(143,264</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22,977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8,353</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dividend paid deduction of $63,058.</w:t>
      </w:r>
    </w:p>
    <w:p>
      <w:pPr>
        <w:spacing w:after="0" w:line="23" w:lineRule="exact"/>
        <w:rPr>
          <w:rFonts w:ascii="Arial" w:cs="Arial" w:eastAsia="Arial" w:hAnsi="Arial"/>
          <w:sz w:val="18"/>
          <w:szCs w:val="18"/>
          <w:color w:val="auto"/>
        </w:rPr>
      </w:pPr>
    </w:p>
    <w:p>
      <w:pPr>
        <w:ind w:left="460" w:hanging="452"/>
        <w:spacing w:after="0" w:line="25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2013, the “Tax Burden Adjustment and Redistribution Act” was signed into law. Under the enacted legislation, the Puerto Rico corporate income tax rate was increased to 39% from 30%. As a result, a non-cash benefit of $2,479 to income tax expense was recorded for the increase of the Puerto Rico net deferred tax asset. Also in 2013, British Columbia Bill 2 was signed into law. The enacted legislation increased the general corporate income tax rate to 11% from 10%. As a result, a non-cash benefit of $86 to income tax expense was recorded for the increase of the Canadian net deferred tax asset.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tax effect of temporary differences that give rise to significant portions of the deferred tax assets and (liabilities) are presented below:</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not deducted for tax purposes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Asset retirement obligation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 forwards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Tax credit carry forwards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Charitable contributions carry forward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partnership</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Gross deferred tax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17,555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220,022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w:t>
            </w:r>
          </w:p>
        </w:tc>
      </w:tr>
      <w:tr>
        <w:trPr>
          <w:trHeight w:val="230"/>
        </w:trPr>
        <w:tc>
          <w:tcPr>
            <w:tcW w:w="20" w:type="dxa"/>
            <w:vAlign w:val="bottom"/>
          </w:tcPr>
          <w:p>
            <w:pPr>
              <w:spacing w:after="0"/>
              <w:rPr>
                <w:sz w:val="20"/>
                <w:szCs w:val="20"/>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Net deferred tax assets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17,546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218,262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(45,160)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(4,321)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(313,746)</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Investment in partnerships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(1,519)</w:t>
            </w: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(4,321)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(360,425)</w:t>
            </w:r>
          </w:p>
        </w:tc>
      </w:tr>
      <w:tr>
        <w:trPr>
          <w:trHeight w:val="223"/>
        </w:trPr>
        <w:tc>
          <w:tcPr>
            <w:tcW w:w="20" w:type="dxa"/>
            <w:vAlign w:val="bottom"/>
          </w:tcPr>
          <w:p>
            <w:pPr>
              <w:spacing w:after="0"/>
              <w:rPr>
                <w:sz w:val="19"/>
                <w:szCs w:val="19"/>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Net deferred tax assets (liabilities)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(142,163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Classification in the consolidated balance sheets: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Current deferred tax assets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Noncurrent deferred tax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12,496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(152,541)</w:t>
            </w:r>
          </w:p>
        </w:tc>
      </w:tr>
      <w:tr>
        <w:trPr>
          <w:trHeight w:val="223"/>
        </w:trPr>
        <w:tc>
          <w:tcPr>
            <w:tcW w:w="20" w:type="dxa"/>
            <w:vAlign w:val="bottom"/>
          </w:tcPr>
          <w:p>
            <w:pPr>
              <w:spacing w:after="0"/>
              <w:rPr>
                <w:sz w:val="19"/>
                <w:szCs w:val="19"/>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Net deferred tax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(142,163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December 31, 2014, we have approximately $122,078 of U.S. net operating loss carry forwards to offset future taxable income. Of this amount, $6,063 is subject to an IRC §382 limitation. These carry forwards expire between 2020 and 2032. In addition, we have $19,593 of various credits available to offset future U.S. federal income tax.</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2014, we have approximately $411,970 state net operating loss carry forwards before valuation allowances. These state net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are available to reduce future taxable income and expire at various times and amounts. In addition, we have $241 of various credits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offset future state income tax. The valuation allowance for these deferred tax assets as of December 31, 2014 and December 31, 2013 was $0 and $1,751,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net change in the total valuation allowance for each of the years ended December 31, 2014, 2013, and 2012 was a decrease of $1,751,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$1,085 and $356, respectively. The decrease in 2014 was primarily due to the adjustment of deferred tax assets and related to valuation allowance for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of REIT operations no longer subject to state income taxes at the REIT level, which had the effect of valuing these assets at an expected rate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2014, we generated $1,454 of Puerto Rico net operating losses. As of December 31, 2014, we had approximately $28,354 of Puerto Rico net operating losses available to offset future taxable income. These carry forwards expire between 2016 and 2024. In addition, we have $209 of alternative minimum tax credits available to offset future Puerto Rico income tax.</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 forwards governed by the tax code. Based on the current level of pretax earnings for financial reporting purposes, we will generate the minimum amount of future taxable income to support the realization of the deferred tax assets. Additionally, the Company has deferred tax liabilities that will reverse during the same period and jurisdiction and is of the same character as the temporary differences giving rise to the deferred tax assets.</w:t>
      </w:r>
    </w:p>
    <w:p>
      <w:pPr>
        <w:sectPr>
          <w:pgSz w:w="11900" w:h="16838" w:orient="portrait"/>
          <w:cols w:equalWidth="0" w:num="1">
            <w:col w:w="11360"/>
          </w:cols>
          <w:pgMar w:left="240" w:top="459" w:right="299" w:bottom="1440" w:gutter="0" w:footer="0" w:header="0"/>
        </w:sectPr>
      </w:pP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60"/>
          </w:cols>
          <w:pgMar w:left="240" w:top="459" w:right="29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4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a result, management believes that it is more likely than not that we will realize the benefits of these deferred tax assets, net of the existing valuation allowances at December 31, 2014. The amount of the deferred tax asset considered realizable, however, could be reduced in the near term if estimates of future taxable income during the carry forward period are reduced.</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have not recognized a deferred tax liability of approximately $8,326 for the undistributed earnings of our Canadian operations that arose in 2014 and prior years as management considers these earnings to be indefinitely invested outside the U.S. As of December 31, 2014, the undistributed earnings of these subsidiaries were approximately $23,789.</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ASC 740, we provide for uncertain tax positions, and the related interest, and adjust recognized tax benefits and accrued interest accordingly. A reconciliation of the beginning and ending amount of unrecognized tax benefits is as 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Additions for tax positions related to current year</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tax positions related to prior years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Reductions for tax positions related to prior years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Lapse of statute of limitations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(41)</w:t>
            </w: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Additions for tax positions related to current year</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tax positions related to prior years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Reductions for tax positions related to prior years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Lapse of statute of limitations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(35)</w:t>
            </w: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2014, we do not have any unrecognized tax benefits that, if recognized in future periods, would impact our effective tax rate.</w:t>
      </w:r>
    </w:p>
    <w:p>
      <w:pPr>
        <w:spacing w:after="0" w:line="2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before 2010 since the IRS has completed review of our income tax returns through 2009, or for any U.S. state income tax audit prior to 2002. With respect to Canada and Puerto Rico, we are no longer subject to income tax audits for years before 2009 and 2008,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Affiliates, as used within these statements, are persons or entities that are affiliated with Lamar Media Corp. or its subsidiaries through common ownership and directorate control.</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2014 and December 31, 2013, there was a payable to Lamar Advertising Company, its parent, in the amount of $6,955 and $7,665, respectively.</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Effective December 31, 2014 and December 31, 2013, Lamar Advertising Company contributed $38,201 and $37,858 respectively, to Lamar Media which resulted in an increase in Lamar Media’s additional paid-in capital.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Quarterly Financial Data (Unaudited)</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tables below represent the balances for the selected quarterly financial data of the Company for each reporting period in the years ended December 31, 2014 and 2013.</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Year 2014 Quarters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March 31</w:t>
            </w:r>
          </w:p>
        </w:tc>
        <w:tc>
          <w:tcPr>
            <w:tcW w:w="9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June 30</w:t>
            </w:r>
          </w:p>
        </w:tc>
        <w:tc>
          <w:tcPr>
            <w:tcW w:w="240" w:type="dxa"/>
            <w:vAlign w:val="bottom"/>
          </w:tcPr>
          <w:p>
            <w:pPr>
              <w:spacing w:after="0"/>
              <w:rPr>
                <w:sz w:val="12"/>
                <w:szCs w:val="12"/>
                <w:color w:val="auto"/>
              </w:rPr>
            </w:pPr>
          </w:p>
        </w:tc>
        <w:tc>
          <w:tcPr>
            <w:tcW w:w="13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December 31</w:t>
            </w:r>
          </w:p>
        </w:tc>
        <w:tc>
          <w:tcPr>
            <w:tcW w:w="100" w:type="dxa"/>
            <w:vAlign w:val="bottom"/>
          </w:tcPr>
          <w:p>
            <w:pPr>
              <w:spacing w:after="0"/>
              <w:rPr>
                <w:sz w:val="12"/>
                <w:szCs w:val="12"/>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$284,933</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$330,433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334,998</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336,696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2900" w:type="dxa"/>
            <w:vAlign w:val="bottom"/>
            <w:gridSpan w:val="3"/>
          </w:tcPr>
          <w:p>
            <w:pPr>
              <w:ind w:left="1720"/>
              <w:spacing w:after="0"/>
              <w:rPr>
                <w:sz w:val="20"/>
                <w:szCs w:val="20"/>
                <w:color w:val="auto"/>
              </w:rPr>
            </w:pPr>
            <w:r>
              <w:rPr>
                <w:rFonts w:ascii="Arial" w:cs="Arial" w:eastAsia="Arial" w:hAnsi="Arial"/>
                <w:sz w:val="18"/>
                <w:szCs w:val="18"/>
                <w:color w:val="auto"/>
              </w:rPr>
              <w:t>$173,425</w:t>
            </w: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$216,156</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222,610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221,600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90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  (4,778)</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$ 15,480</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35,103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241,230</w:t>
            </w:r>
          </w:p>
        </w:tc>
      </w:tr>
      <w:tr>
        <w:trPr>
          <w:trHeight w:val="392"/>
        </w:trPr>
        <w:tc>
          <w:tcPr>
            <w:tcW w:w="4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Year 2013 Quarters</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March 31</w:t>
            </w:r>
          </w:p>
        </w:tc>
        <w:tc>
          <w:tcPr>
            <w:tcW w:w="9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June 30</w:t>
            </w:r>
          </w:p>
        </w:tc>
        <w:tc>
          <w:tcPr>
            <w:tcW w:w="240" w:type="dxa"/>
            <w:vAlign w:val="bottom"/>
          </w:tcPr>
          <w:p>
            <w:pPr>
              <w:spacing w:after="0"/>
              <w:rPr>
                <w:sz w:val="12"/>
                <w:szCs w:val="12"/>
                <w:color w:val="auto"/>
              </w:rPr>
            </w:pPr>
          </w:p>
        </w:tc>
        <w:tc>
          <w:tcPr>
            <w:tcW w:w="13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December 31</w:t>
            </w:r>
          </w:p>
        </w:tc>
        <w:tc>
          <w:tcPr>
            <w:tcW w:w="100" w:type="dxa"/>
            <w:vAlign w:val="bottom"/>
          </w:tcPr>
          <w:p>
            <w:pPr>
              <w:spacing w:after="0"/>
              <w:rPr>
                <w:sz w:val="12"/>
                <w:szCs w:val="12"/>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$276,605</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$327,744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321,141</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320,352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2900" w:type="dxa"/>
            <w:vAlign w:val="bottom"/>
            <w:gridSpan w:val="3"/>
          </w:tcPr>
          <w:p>
            <w:pPr>
              <w:ind w:left="1720"/>
              <w:spacing w:after="0"/>
              <w:rPr>
                <w:sz w:val="20"/>
                <w:szCs w:val="20"/>
                <w:color w:val="auto"/>
              </w:rPr>
            </w:pPr>
            <w:r>
              <w:rPr>
                <w:rFonts w:ascii="Arial" w:cs="Arial" w:eastAsia="Arial" w:hAnsi="Arial"/>
                <w:sz w:val="18"/>
                <w:szCs w:val="18"/>
                <w:color w:val="auto"/>
              </w:rPr>
              <w:t>$170,086</w:t>
            </w: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$217,021</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211,501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210,390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90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 (10,212)</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$ 23,178</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10,228</w:t>
            </w:r>
          </w:p>
        </w:tc>
      </w:tr>
      <w:tr>
        <w:trPr>
          <w:trHeight w:val="365"/>
        </w:trPr>
        <w:tc>
          <w:tcPr>
            <w:tcW w:w="4220" w:type="dxa"/>
            <w:vAlign w:val="bottom"/>
          </w:tcPr>
          <w:p>
            <w:pPr>
              <w:spacing w:after="0"/>
              <w:rPr>
                <w:sz w:val="24"/>
                <w:szCs w:val="24"/>
                <w:color w:val="auto"/>
              </w:rPr>
            </w:pPr>
          </w:p>
        </w:tc>
        <w:tc>
          <w:tcPr>
            <w:tcW w:w="1720" w:type="dxa"/>
            <w:vAlign w:val="bottom"/>
          </w:tcPr>
          <w:p>
            <w:pPr>
              <w:ind w:left="940"/>
              <w:spacing w:after="0"/>
              <w:rPr>
                <w:sz w:val="20"/>
                <w:szCs w:val="20"/>
                <w:color w:val="auto"/>
              </w:rPr>
            </w:pPr>
            <w:r>
              <w:rPr>
                <w:rFonts w:ascii="Arial" w:cs="Arial" w:eastAsia="Arial" w:hAnsi="Arial"/>
                <w:sz w:val="18"/>
                <w:szCs w:val="18"/>
                <w:color w:val="auto"/>
              </w:rPr>
              <w:t>83</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Charged to</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Costs and</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Period</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Expenses</w:t>
            </w: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2014</w:t>
            </w:r>
          </w:p>
        </w:tc>
        <w:tc>
          <w:tcPr>
            <w:tcW w:w="2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Deducted in balance sheet from trade accounts receivable: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Deducted in balance sheet from intangible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1,899,080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96,139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1,994,146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Year Ended December 31, 2013</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Deducted in balance sheet from trade accounts receivable: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7,615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6,034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6,034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Deducted in balance sheet from intangible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1,793,476</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106,533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1,899,080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Deducted in balance sheet from trade accounts receivable: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5,484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Deducted in balance sheet from intangible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1,704,492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102,941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1,793,476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100" w:type="dxa"/>
            <w:vAlign w:val="bottom"/>
          </w:tcPr>
          <w:p>
            <w:pPr>
              <w:spacing w:after="0"/>
              <w:rPr>
                <w:sz w:val="24"/>
                <w:szCs w:val="24"/>
                <w:color w:val="auto"/>
              </w:rPr>
            </w:pPr>
          </w:p>
        </w:tc>
        <w:tc>
          <w:tcPr>
            <w:tcW w:w="2260" w:type="dxa"/>
            <w:vAlign w:val="bottom"/>
          </w:tcPr>
          <w:p>
            <w:pPr>
              <w:jc w:val="right"/>
              <w:ind w:right="147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(1)</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Encumbrances</w:t>
            </w: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Initial Cost(2)</w:t>
            </w:r>
          </w:p>
        </w:tc>
        <w:tc>
          <w:tcPr>
            <w:tcW w:w="3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Gross Carrying</w:t>
            </w:r>
          </w:p>
        </w:tc>
        <w:tc>
          <w:tcPr>
            <w:tcW w:w="36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Construction</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Acquisition</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(3)</w:t>
            </w:r>
          </w:p>
        </w:tc>
        <w:tc>
          <w:tcPr>
            <w:tcW w:w="3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shd w:val="clear" w:color="auto" w:fill="CCEEFF"/>
          </w:tcPr>
          <w:p>
            <w:pPr>
              <w:spacing w:after="0"/>
              <w:rPr>
                <w:sz w:val="16"/>
                <w:szCs w:val="16"/>
                <w:color w:val="auto"/>
              </w:rPr>
            </w:pPr>
          </w:p>
        </w:tc>
        <w:tc>
          <w:tcPr>
            <w:tcW w:w="25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5 to 20</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317,597 Displays</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7"/>
              </w:rPr>
              <w:t>$  2,520,644</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$(1,903,434)</w:t>
            </w: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Various</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Various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single asset exceeded 5% of the total gross carrying amount at December 31,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information is omitted, as it would be impracticable to compile such information on a site-by-site basis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sites under construction</w:t>
      </w:r>
    </w:p>
    <w:p>
      <w:pPr>
        <w:spacing w:after="0" w:line="21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summarizes activity for the Company’s real estate assets, which consists of advertising displays and the related accumulated depreciation.</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8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Gross real estate assets:</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$2,459,425</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$2,378,940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construction, acquisition, improvements to structures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98,857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Assets sold or written-off</w:t>
            </w: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(36,392)</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(1,246)</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Balance at the end of the year</w:t>
            </w: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2,520,644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2,459,425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$1,799,325</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$1,657,784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135,679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Assets sold or written-off</w:t>
            </w: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(30,994)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(19,213)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(576)</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Balance at the end of the year</w:t>
            </w: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1,903,434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1,799,325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jc w:val="right"/>
              <w:ind w:right="1310"/>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80"/>
        <w:spacing w:after="0" w:line="378"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 Lamar Advertising Company</w:t>
      </w: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such term is defined in Rules 13a-15(e) and 15d-15(e) promulgated under the Securities Exchange Act of 1934, as amended. Based on this evaluation, the principal executive officer and principal financial officer of the Company and Lamar Media concluded, as of December 31, 2014, that these disclosure controls and procedures are effective and designed to ensure that the information required to be disclosed in the Company’s and Lamar Media’s reports filed or submitted under the Securities Exchange Act of 1934 is recorded, processed, summarized and reported within the requisite time periods.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Company’s Management Report on Internal Control Over Financial Reporting is set forth on page 43 of this combined Annual Report and is incorporated herein by reference.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Lamar Media’s Management Report on Internal Control Over Financial Reporting is set forth on page 71 of this combined Annual Report and is incorporated herein by reference.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were no changes in the Company’s or Lamar Media’s internal control over financial reporting identified in connection with the evaluation of the Company’s and Lamar Media’s internal controls performed during the fourth fiscal quarter that has materially affected, or is reasonably likely to materially affect, the Company’s or Lamar Media’s internal control over financial reporting.</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20"/>
          </w:cols>
          <w:pgMar w:left="24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2015 Annual Meeting of Stockholders to be filed with the SEC within 120 days after the end of the fiscal year ended December 31, 2014.</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 Code of Business Conduct and Ethics (the “code of ethics”) that applies to all of our directors, officers and employees. The code of ethics is filed as an exhibit that is incorporated by reference into this Annual Report. In addition, if we make any substantive amendments to the code of ethics or grant any wavier, including any implicit wavier, from a provision of the code to any of our executive officers or directors, we will disclose the nature of such amendment or waiver in a report on Form 8-K.</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2015 Annual Meeting of Stockholders to be filed with the SEC within 120 days after the end of the fiscal year ended December 31, 2014.</w:t>
      </w:r>
    </w:p>
    <w:p>
      <w:pPr>
        <w:spacing w:after="0" w:line="315" w:lineRule="exact"/>
        <w:rPr>
          <w:sz w:val="20"/>
          <w:szCs w:val="20"/>
          <w:color w:val="auto"/>
        </w:rPr>
      </w:pPr>
    </w:p>
    <w:p>
      <w:pPr>
        <w:ind w:left="1140" w:right="3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2015 Annual Meeting of Stockholders to be filed with the SEC within 120 days after the end of the fiscal year ended December 31, 2014.</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2015 Annual Meeting of Stockholders to be filed with the SEC within 120 days after the end of the fiscal year ended December 31, 2014.</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2015 Annual Meeting of Stockholders to be filed with the SEC within 120 days after the end of the fiscal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ind w:left="760" w:hanging="296"/>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are listed under Part II, Item 8 of this Annual Report.</w:t>
      </w:r>
    </w:p>
    <w:p>
      <w:pPr>
        <w:spacing w:after="0" w:line="225"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 schedules are included under Part II, Item 8 of this Annual Report.</w:t>
      </w:r>
    </w:p>
    <w:p>
      <w:pPr>
        <w:spacing w:after="0" w:line="225"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exhibits filed as part of this report are listed on the Exhibit Index immediately following the signature page hereto, which Exhibit Index is incorporated herein by reference.</w:t>
      </w:r>
    </w:p>
    <w:p>
      <w:pPr>
        <w:spacing w:after="0" w:line="170" w:lineRule="exact"/>
        <w:rPr>
          <w:sz w:val="20"/>
          <w:szCs w:val="20"/>
          <w:color w:val="auto"/>
        </w:rPr>
      </w:pPr>
    </w:p>
    <w:p>
      <w:pPr>
        <w:ind w:left="5620" w:right="1320" w:hanging="5156"/>
        <w:spacing w:after="0" w:line="449" w:lineRule="auto"/>
        <w:tabs>
          <w:tab w:leader="none" w:pos="7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 required by Item 601 of Regulation S-K are listed on the Exhibit Index immediately following the signature page hereto. 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LAMAR ADVERTISING COMPANY</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February 25, 2015</w:t>
      </w:r>
      <w:r>
        <w:rPr>
          <w:sz w:val="20"/>
          <w:szCs w:val="20"/>
          <w:color w:val="auto"/>
        </w:rPr>
        <w:tab/>
      </w:r>
      <w:r>
        <w:rPr>
          <w:rFonts w:ascii="Arial" w:cs="Arial" w:eastAsia="Arial" w:hAnsi="Arial"/>
          <w:sz w:val="17"/>
          <w:szCs w:val="17"/>
          <w:color w:val="auto"/>
        </w:rPr>
        <w:t>By:  /s/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50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2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(Principal Executive Officer)</w:t>
            </w:r>
          </w:p>
        </w:tc>
        <w:tc>
          <w:tcPr>
            <w:tcW w:w="102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Sean E. Reilly</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Keith A. Istre</w:t>
            </w: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02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Keith A. Istre</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Kevin P. Reilly, Jr.</w:t>
            </w: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President and Director</w:t>
            </w:r>
          </w:p>
        </w:tc>
        <w:tc>
          <w:tcPr>
            <w:tcW w:w="102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Kevin P. Reilly, Jr.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Wendell S. Reilly</w:t>
            </w: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02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Wendell S. Reilly</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Stephen P. Mumblow</w:t>
            </w: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02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Stephen P. Mumblow</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Maxwell Hamilton</w:t>
            </w: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02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John Maxwell Hamilton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Reifenheiser</w:t>
            </w: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02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Thomas Reifenheiser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Anna Reilly</w:t>
            </w: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02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Anna Reilly</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E. Koerner, III</w:t>
            </w: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02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John E. Koerner, III</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4"/>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00" w:type="dxa"/>
            <w:vAlign w:val="bottom"/>
          </w:tcPr>
          <w:p>
            <w:pPr>
              <w:ind w:left="134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LAMAR MEDIA CORP.</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February 25, 2015</w:t>
      </w:r>
      <w:r>
        <w:rPr>
          <w:sz w:val="20"/>
          <w:szCs w:val="20"/>
          <w:color w:val="auto"/>
        </w:rPr>
        <w:tab/>
      </w:r>
      <w:r>
        <w:rPr>
          <w:rFonts w:ascii="Arial" w:cs="Arial" w:eastAsia="Arial" w:hAnsi="Arial"/>
          <w:sz w:val="17"/>
          <w:szCs w:val="17"/>
          <w:color w:val="auto"/>
        </w:rPr>
        <w:t>By:  /s/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50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8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Reilly, Jr.</w:t>
            </w: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President and Director</w:t>
            </w: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80" w:type="dxa"/>
            <w:vAlign w:val="bottom"/>
            <w:gridSpan w:val="3"/>
          </w:tcPr>
          <w:p>
            <w:pPr>
              <w:jc w:val="center"/>
              <w:ind w:left="454"/>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Kevin P. Reilly, Jr.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Sean E. Reilly</w:t>
            </w: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 (Principal Executive Officer)</w:t>
            </w:r>
          </w:p>
        </w:tc>
        <w:tc>
          <w:tcPr>
            <w:tcW w:w="1080" w:type="dxa"/>
            <w:vAlign w:val="bottom"/>
            <w:gridSpan w:val="3"/>
          </w:tcPr>
          <w:p>
            <w:pPr>
              <w:jc w:val="center"/>
              <w:ind w:left="454"/>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Sean E. Reilly</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Keith A. Istre</w:t>
            </w: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Chief Financial and Accounting Officer and Director (Principal</w:t>
            </w:r>
          </w:p>
        </w:tc>
        <w:tc>
          <w:tcPr>
            <w:tcW w:w="1080" w:type="dxa"/>
            <w:vAlign w:val="bottom"/>
            <w:gridSpan w:val="3"/>
          </w:tcPr>
          <w:p>
            <w:pPr>
              <w:jc w:val="center"/>
              <w:ind w:left="454"/>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Keith A. Istre</w:t>
            </w:r>
          </w:p>
        </w:tc>
        <w:tc>
          <w:tcPr>
            <w:tcW w:w="5460" w:type="dxa"/>
            <w:vAlign w:val="bottom"/>
            <w:gridSpan w:val="3"/>
          </w:tcPr>
          <w:p>
            <w:pPr>
              <w:ind w:left="280"/>
              <w:spacing w:after="0"/>
              <w:rPr>
                <w:sz w:val="20"/>
                <w:szCs w:val="20"/>
                <w:color w:val="auto"/>
              </w:rPr>
            </w:pPr>
            <w:r>
              <w:rPr>
                <w:rFonts w:ascii="Arial" w:cs="Arial" w:eastAsia="Arial" w:hAnsi="Arial"/>
                <w:sz w:val="18"/>
                <w:szCs w:val="18"/>
                <w:color w:val="auto"/>
              </w:rPr>
              <w:t>Financial and Accounting Officer)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 Brent McCoy</w:t>
            </w: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of Business Development and Director</w:t>
            </w:r>
          </w:p>
        </w:tc>
        <w:tc>
          <w:tcPr>
            <w:tcW w:w="1080" w:type="dxa"/>
            <w:vAlign w:val="bottom"/>
            <w:gridSpan w:val="3"/>
          </w:tcPr>
          <w:p>
            <w:pPr>
              <w:jc w:val="center"/>
              <w:ind w:left="454"/>
              <w:spacing w:after="0"/>
              <w:rPr>
                <w:sz w:val="20"/>
                <w:szCs w:val="20"/>
                <w:color w:val="auto"/>
              </w:rPr>
            </w:pPr>
            <w:r>
              <w:rPr>
                <w:rFonts w:ascii="Arial" w:cs="Arial" w:eastAsia="Arial" w:hAnsi="Arial"/>
                <w:sz w:val="18"/>
                <w:szCs w:val="18"/>
                <w:color w:val="auto"/>
                <w:w w:val="89"/>
              </w:rPr>
              <w:t>2/25/15</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C. Brent McCoy</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4"/>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00" w:type="dxa"/>
            <w:vAlign w:val="bottom"/>
          </w:tcPr>
          <w:p>
            <w:pPr>
              <w:ind w:left="134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360"/>
          </w:cols>
          <w:pgMar w:left="240" w:top="459" w:right="299" w:bottom="1440" w:gutter="0" w:footer="0" w:header="0"/>
        </w:sect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85"/>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320" w:type="dxa"/>
            <w:vAlign w:val="bottom"/>
            <w:gridSpan w:val="3"/>
          </w:tcPr>
          <w:p>
            <w:pPr>
              <w:ind w:left="23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660" w:type="dxa"/>
            <w:vAlign w:val="bottom"/>
          </w:tcPr>
          <w:p>
            <w:pPr>
              <w:ind w:left="100"/>
              <w:spacing w:after="0"/>
              <w:rPr>
                <w:sz w:val="20"/>
                <w:szCs w:val="20"/>
                <w:color w:val="auto"/>
              </w:rPr>
            </w:pPr>
            <w:r>
              <w:rPr>
                <w:rFonts w:ascii="Arial" w:cs="Arial" w:eastAsia="Arial" w:hAnsi="Arial"/>
                <w:sz w:val="18"/>
                <w:szCs w:val="18"/>
                <w:color w:val="auto"/>
              </w:rPr>
              <w:t>2(a)</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6"/>
              </w:rPr>
              <w:t>Agreement and Plan of Merger by and between Lamar Advertising</w:t>
            </w:r>
          </w:p>
        </w:tc>
      </w:tr>
      <w:tr>
        <w:trPr>
          <w:trHeight w:val="216"/>
        </w:trPr>
        <w:tc>
          <w:tcPr>
            <w:tcW w:w="660" w:type="dxa"/>
            <w:vAlign w:val="bottom"/>
          </w:tcPr>
          <w:p>
            <w:pPr>
              <w:spacing w:after="0"/>
              <w:rPr>
                <w:sz w:val="18"/>
                <w:szCs w:val="18"/>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5"/>
              </w:rPr>
              <w:t>Company and Lamar Advertising REIT Company dated August 27,</w:t>
            </w:r>
          </w:p>
        </w:tc>
      </w:tr>
      <w:tr>
        <w:trPr>
          <w:trHeight w:val="230"/>
        </w:trPr>
        <w:tc>
          <w:tcPr>
            <w:tcW w:w="66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2014.</w:t>
            </w:r>
          </w:p>
        </w:tc>
        <w:tc>
          <w:tcPr>
            <w:tcW w:w="10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0"/>
        </w:trPr>
        <w:tc>
          <w:tcPr>
            <w:tcW w:w="660" w:type="dxa"/>
            <w:vAlign w:val="bottom"/>
          </w:tcPr>
          <w:p>
            <w:pPr>
              <w:ind w:left="100"/>
              <w:spacing w:after="0"/>
              <w:rPr>
                <w:sz w:val="20"/>
                <w:szCs w:val="20"/>
                <w:color w:val="auto"/>
              </w:rPr>
            </w:pPr>
            <w:r>
              <w:rPr>
                <w:rFonts w:ascii="Arial" w:cs="Arial" w:eastAsia="Arial" w:hAnsi="Arial"/>
                <w:sz w:val="18"/>
                <w:szCs w:val="18"/>
                <w:color w:val="auto"/>
              </w:rPr>
              <w:t>3(a)</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0"/>
              </w:rPr>
              <w:t>Amended and Restated Certificate of Incorporation of the Company, as</w:t>
            </w:r>
          </w:p>
        </w:tc>
      </w:tr>
      <w:tr>
        <w:trPr>
          <w:trHeight w:val="216"/>
        </w:trPr>
        <w:tc>
          <w:tcPr>
            <w:tcW w:w="660" w:type="dxa"/>
            <w:vAlign w:val="bottom"/>
          </w:tcPr>
          <w:p>
            <w:pPr>
              <w:spacing w:after="0"/>
              <w:rPr>
                <w:sz w:val="18"/>
                <w:szCs w:val="18"/>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filed with the Secretary of the State of Delaware effective as of</w:t>
            </w:r>
          </w:p>
        </w:tc>
      </w:tr>
      <w:tr>
        <w:trPr>
          <w:trHeight w:val="230"/>
        </w:trPr>
        <w:tc>
          <w:tcPr>
            <w:tcW w:w="660" w:type="dxa"/>
            <w:vAlign w:val="bottom"/>
          </w:tcPr>
          <w:p>
            <w:pPr>
              <w:spacing w:after="0"/>
              <w:rPr>
                <w:sz w:val="20"/>
                <w:szCs w:val="20"/>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November 18, 2014.</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3(b)</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Certificate of Merger, effective as of November 18, 2014.</w:t>
            </w:r>
          </w:p>
        </w:tc>
      </w:tr>
      <w:tr>
        <w:trPr>
          <w:trHeight w:val="742"/>
        </w:trPr>
        <w:tc>
          <w:tcPr>
            <w:tcW w:w="660" w:type="dxa"/>
            <w:vAlign w:val="bottom"/>
          </w:tcPr>
          <w:p>
            <w:pPr>
              <w:ind w:left="100"/>
              <w:spacing w:after="0"/>
              <w:rPr>
                <w:sz w:val="20"/>
                <w:szCs w:val="20"/>
                <w:color w:val="auto"/>
              </w:rPr>
            </w:pPr>
            <w:r>
              <w:rPr>
                <w:rFonts w:ascii="Arial" w:cs="Arial" w:eastAsia="Arial" w:hAnsi="Arial"/>
                <w:sz w:val="18"/>
                <w:szCs w:val="18"/>
                <w:color w:val="auto"/>
              </w:rPr>
              <w:t>3(c)</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Amended and Restated Bylaws of the Company, adopted as of</w:t>
            </w:r>
          </w:p>
        </w:tc>
      </w:tr>
      <w:tr>
        <w:trPr>
          <w:trHeight w:val="230"/>
        </w:trPr>
        <w:tc>
          <w:tcPr>
            <w:tcW w:w="660" w:type="dxa"/>
            <w:vAlign w:val="bottom"/>
          </w:tcPr>
          <w:p>
            <w:pPr>
              <w:spacing w:after="0"/>
              <w:rPr>
                <w:sz w:val="20"/>
                <w:szCs w:val="20"/>
                <w:color w:val="auto"/>
              </w:rPr>
            </w:pP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November 18, 2014.</w:t>
            </w:r>
          </w:p>
        </w:tc>
      </w:tr>
      <w:tr>
        <w:trPr>
          <w:trHeight w:val="540"/>
        </w:trPr>
        <w:tc>
          <w:tcPr>
            <w:tcW w:w="660" w:type="dxa"/>
            <w:vAlign w:val="bottom"/>
          </w:tcPr>
          <w:p>
            <w:pPr>
              <w:ind w:left="100"/>
              <w:spacing w:after="0"/>
              <w:rPr>
                <w:sz w:val="20"/>
                <w:szCs w:val="20"/>
                <w:color w:val="auto"/>
              </w:rPr>
            </w:pPr>
            <w:r>
              <w:rPr>
                <w:rFonts w:ascii="Arial" w:cs="Arial" w:eastAsia="Arial" w:hAnsi="Arial"/>
                <w:sz w:val="18"/>
                <w:szCs w:val="18"/>
                <w:color w:val="auto"/>
              </w:rPr>
              <w:t>3(d)</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4"/>
              </w:rPr>
              <w:t>Amended and Restated Certificate of Incorporation of Lamar Media.</w:t>
            </w:r>
          </w:p>
        </w:tc>
      </w:tr>
      <w:tr>
        <w:trPr>
          <w:trHeight w:val="756"/>
        </w:trPr>
        <w:tc>
          <w:tcPr>
            <w:tcW w:w="660" w:type="dxa"/>
            <w:vAlign w:val="bottom"/>
          </w:tcPr>
          <w:p>
            <w:pPr>
              <w:ind w:left="100"/>
              <w:spacing w:after="0"/>
              <w:rPr>
                <w:sz w:val="20"/>
                <w:szCs w:val="20"/>
                <w:color w:val="auto"/>
              </w:rPr>
            </w:pPr>
            <w:r>
              <w:rPr>
                <w:rFonts w:ascii="Arial" w:cs="Arial" w:eastAsia="Arial" w:hAnsi="Arial"/>
                <w:sz w:val="18"/>
                <w:szCs w:val="18"/>
                <w:color w:val="auto"/>
              </w:rPr>
              <w:t>3(e)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Amended and Restated Bylaws of Lamar Media.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860"/>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Previously filed as Exhibit 2.1 to the Company’s Current Report on Form 8-K (File No. 0-30242) filed on September 2, 2014 and incorporated herein by reference.</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Previously filed as Exhibit 3.1 to the Company’s Current Report on Form 8-K (File No. 1-36756) filed on November 19, 2014 and incorporated herein by reference.</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Previously filed as Exhibit 3.2 to the Company’s Current Report on Form 8-K (File No. 1-36756) filed on November 19, 2014 and incorporated herein by reference.</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Previously filed as Exhibit 3.3 to the Company’s Current Report on Form 8-K (File No. 1-36756) filed on November 19, 2014 and incorporated herein by reference.</w:t>
      </w:r>
    </w:p>
    <w:p>
      <w:pPr>
        <w:spacing w:after="0" w:line="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Previously filed as Exhibit 3.2 to Lamar Media’s Quarterly Report on Form 10-Q for the period ended March 31, 2007 (File No. 0-30242) filed on May 10, 2007 and incorporated herein by reference.</w:t>
      </w:r>
    </w:p>
    <w:p>
      <w:pPr>
        <w:spacing w:after="0" w:line="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Previously filed as Exhibit 3.1 to Lamar Media’s Quarterly Report on Form 10-Q for the period ended September 30, 1999 (File No. 1-12407) filed on November 12, 1999 and incorporated herein by reference.</w:t>
      </w:r>
    </w:p>
    <w:p>
      <w:pPr>
        <w:spacing w:after="0" w:line="79" w:lineRule="exact"/>
        <w:rPr>
          <w:sz w:val="20"/>
          <w:szCs w:val="20"/>
          <w:color w:val="auto"/>
        </w:rPr>
      </w:pPr>
    </w:p>
    <w:p>
      <w:pPr>
        <w:sectPr>
          <w:pgSz w:w="11900" w:h="16838" w:orient="portrait"/>
          <w:cols w:equalWidth="0" w:num="2">
            <w:col w:w="6060" w:space="220"/>
            <w:col w:w="5080"/>
          </w:cols>
          <w:pgMar w:left="240" w:top="459" w:right="299" w:bottom="1440" w:gutter="0" w:footer="0" w:header="0"/>
          <w:type w:val="continuous"/>
        </w:sectPr>
      </w:pPr>
    </w:p>
    <w:p>
      <w:pPr>
        <w:ind w:left="940" w:hanging="751"/>
        <w:spacing w:after="0" w:line="277" w:lineRule="auto"/>
        <w:tabs>
          <w:tab w:leader="none" w:pos="920" w:val="left"/>
        </w:tabs>
        <w:rPr>
          <w:sz w:val="20"/>
          <w:szCs w:val="20"/>
          <w:color w:val="auto"/>
        </w:rPr>
      </w:pPr>
      <w:r>
        <w:rPr>
          <w:rFonts w:ascii="Arial" w:cs="Arial" w:eastAsia="Arial" w:hAnsi="Arial"/>
          <w:sz w:val="18"/>
          <w:szCs w:val="18"/>
          <w:color w:val="auto"/>
        </w:rPr>
        <w:t>4(a)(1)</w:t>
        <w:tab/>
        <w:t>Specimen certificate for the shares of Class A common stock of the Company.</w:t>
      </w:r>
    </w:p>
    <w:p>
      <w:pPr>
        <w:spacing w:after="0" w:line="20" w:lineRule="exact"/>
        <w:rPr>
          <w:sz w:val="20"/>
          <w:szCs w:val="20"/>
          <w:color w:val="auto"/>
        </w:rPr>
      </w:pPr>
      <w:r>
        <w:rPr>
          <w:sz w:val="20"/>
          <w:szCs w:val="20"/>
          <w:color w:val="auto"/>
        </w:rPr>
        <w:br w:type="column"/>
      </w:r>
    </w:p>
    <w:p>
      <w:pPr>
        <w:ind w:right="220"/>
        <w:spacing w:after="0" w:line="264" w:lineRule="auto"/>
        <w:rPr>
          <w:sz w:val="20"/>
          <w:szCs w:val="20"/>
          <w:color w:val="auto"/>
        </w:rPr>
      </w:pPr>
      <w:r>
        <w:rPr>
          <w:rFonts w:ascii="Arial" w:cs="Arial" w:eastAsia="Arial" w:hAnsi="Arial"/>
          <w:sz w:val="18"/>
          <w:szCs w:val="18"/>
          <w:color w:val="auto"/>
        </w:rPr>
        <w:t>Previously filed as Exhibit 4.2 to the Company’s Current Report on Form 8-K (File No. 1-36756) filed on November 19, 2014 and incorporated herein by reference.</w:t>
      </w:r>
    </w:p>
    <w:p>
      <w:pPr>
        <w:spacing w:after="0" w:line="73" w:lineRule="exact"/>
        <w:rPr>
          <w:sz w:val="20"/>
          <w:szCs w:val="20"/>
          <w:color w:val="auto"/>
        </w:rPr>
      </w:pPr>
    </w:p>
    <w:p>
      <w:pPr>
        <w:sectPr>
          <w:pgSz w:w="11900" w:h="16838" w:orient="portrait"/>
          <w:cols w:equalWidth="0" w:num="2">
            <w:col w:w="5800" w:space="480"/>
            <w:col w:w="5080"/>
          </w:cols>
          <w:pgMar w:left="240" w:top="459" w:right="299" w:bottom="1440" w:gutter="0" w:footer="0" w:header="0"/>
          <w:type w:val="continuous"/>
        </w:sectPr>
      </w:pPr>
    </w:p>
    <w:p>
      <w:pPr>
        <w:ind w:left="940" w:hanging="751"/>
        <w:spacing w:after="0" w:line="277" w:lineRule="auto"/>
        <w:tabs>
          <w:tab w:leader="none" w:pos="920" w:val="left"/>
        </w:tabs>
        <w:rPr>
          <w:sz w:val="20"/>
          <w:szCs w:val="20"/>
          <w:color w:val="auto"/>
        </w:rPr>
      </w:pPr>
      <w:r>
        <w:rPr>
          <w:rFonts w:ascii="Arial" w:cs="Arial" w:eastAsia="Arial" w:hAnsi="Arial"/>
          <w:sz w:val="18"/>
          <w:szCs w:val="18"/>
          <w:color w:val="auto"/>
        </w:rPr>
        <w:t>4(a)(2)</w:t>
        <w:tab/>
        <w:t>Specimen certificate for the shares of Class B common stock of the Company.</w:t>
      </w:r>
    </w:p>
    <w:p>
      <w:pPr>
        <w:spacing w:after="0" w:line="20" w:lineRule="exact"/>
        <w:rPr>
          <w:sz w:val="20"/>
          <w:szCs w:val="20"/>
          <w:color w:val="auto"/>
        </w:rPr>
      </w:pPr>
      <w:r>
        <w:rPr>
          <w:sz w:val="20"/>
          <w:szCs w:val="20"/>
          <w:color w:val="auto"/>
        </w:rPr>
        <w:br w:type="column"/>
      </w:r>
    </w:p>
    <w:p>
      <w:pPr>
        <w:ind w:right="220"/>
        <w:spacing w:after="0" w:line="264" w:lineRule="auto"/>
        <w:rPr>
          <w:sz w:val="20"/>
          <w:szCs w:val="20"/>
          <w:color w:val="auto"/>
        </w:rPr>
      </w:pPr>
      <w:r>
        <w:rPr>
          <w:rFonts w:ascii="Arial" w:cs="Arial" w:eastAsia="Arial" w:hAnsi="Arial"/>
          <w:sz w:val="18"/>
          <w:szCs w:val="18"/>
          <w:color w:val="auto"/>
        </w:rPr>
        <w:t>Previously filed as Exhibit 4.3 to the Company’s Current Report on Form 8-K (File No. 1-36756) filed on November 19, 2014 and incorporated herein by reference.</w:t>
      </w:r>
    </w:p>
    <w:p>
      <w:pPr>
        <w:spacing w:after="0" w:line="73" w:lineRule="exact"/>
        <w:rPr>
          <w:sz w:val="20"/>
          <w:szCs w:val="20"/>
          <w:color w:val="auto"/>
        </w:rPr>
      </w:pPr>
    </w:p>
    <w:p>
      <w:pPr>
        <w:sectPr>
          <w:pgSz w:w="11900" w:h="16838" w:orient="portrait"/>
          <w:cols w:equalWidth="0" w:num="2">
            <w:col w:w="5780" w:space="500"/>
            <w:col w:w="5080"/>
          </w:cols>
          <w:pgMar w:left="240" w:top="459" w:right="299" w:bottom="1440" w:gutter="0" w:footer="0" w:header="0"/>
          <w:type w:val="continuous"/>
        </w:sectPr>
      </w:pPr>
    </w:p>
    <w:p>
      <w:pPr>
        <w:ind w:left="940" w:hanging="751"/>
        <w:spacing w:after="0" w:line="259" w:lineRule="auto"/>
        <w:tabs>
          <w:tab w:leader="none" w:pos="920" w:val="left"/>
        </w:tabs>
        <w:rPr>
          <w:sz w:val="20"/>
          <w:szCs w:val="20"/>
          <w:color w:val="auto"/>
        </w:rPr>
      </w:pPr>
      <w:r>
        <w:rPr>
          <w:rFonts w:ascii="Arial" w:cs="Arial" w:eastAsia="Arial" w:hAnsi="Arial"/>
          <w:sz w:val="18"/>
          <w:szCs w:val="18"/>
          <w:color w:val="auto"/>
        </w:rPr>
        <w:t>4(b)(1)</w:t>
        <w:tab/>
        <w:t>Indenture, dated as of August 16, 2005, among Lamar Media, the guarantors named therein and The Bank of New York Trust Company, N.A., as Trustee, relating to Lamar Media’s 6 5/8% Senior Subordinated Notes due 2015.</w:t>
      </w:r>
    </w:p>
    <w:p>
      <w:pPr>
        <w:spacing w:after="0" w:line="79"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4(b)(2)</w:t>
      </w:r>
      <w:r>
        <w:rPr>
          <w:sz w:val="20"/>
          <w:szCs w:val="20"/>
          <w:color w:val="auto"/>
        </w:rPr>
        <w:tab/>
      </w:r>
      <w:r>
        <w:rPr>
          <w:rFonts w:ascii="Arial" w:cs="Arial" w:eastAsia="Arial" w:hAnsi="Arial"/>
          <w:sz w:val="16"/>
          <w:szCs w:val="16"/>
          <w:color w:val="auto"/>
        </w:rPr>
        <w:t>Form of 6 5/8% Senior Subordinated Exchange Notes due 2015.</w:t>
      </w:r>
    </w:p>
    <w:p>
      <w:pPr>
        <w:spacing w:after="0" w:line="20" w:lineRule="exact"/>
        <w:rPr>
          <w:sz w:val="20"/>
          <w:szCs w:val="20"/>
          <w:color w:val="auto"/>
        </w:rPr>
      </w:pPr>
      <w:r>
        <w:rPr>
          <w:sz w:val="20"/>
          <w:szCs w:val="20"/>
          <w:color w:val="auto"/>
        </w:rPr>
        <w:br w:type="column"/>
      </w:r>
    </w:p>
    <w:p>
      <w:pPr>
        <w:ind w:right="220"/>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(File No. 0-30242) filed on August 18, 2005 and incorporated herein by reference.</w:t>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(1-12407) filed on August 18, 2005 and incorporated herein by reference.</w:t>
      </w:r>
    </w:p>
    <w:p>
      <w:pPr>
        <w:spacing w:after="0" w:line="73" w:lineRule="exact"/>
        <w:rPr>
          <w:sz w:val="20"/>
          <w:szCs w:val="20"/>
          <w:color w:val="auto"/>
        </w:rPr>
      </w:pPr>
    </w:p>
    <w:p>
      <w:pPr>
        <w:sectPr>
          <w:pgSz w:w="11900" w:h="16838" w:orient="portrait"/>
          <w:cols w:equalWidth="0" w:num="2">
            <w:col w:w="6160" w:space="120"/>
            <w:col w:w="5080"/>
          </w:cols>
          <w:pgMar w:left="240" w:top="459" w:right="29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4(b)(3)</w:t>
        <w:tab/>
        <w:t>First Supplemental Indenture to the Indenture dated as of August 16, 2005 among Lamar Media, the guarantors named therein and The Bank of New York Trust Company, N.A., as Trustee, dated as of December 11, 2006, relating to Lamar Media’s 6 5/8% Senior Subordinated Notes due 2015.</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Previously filed as Exhibit 99.2 to the Company’s Current Report on Form 8-K (File No. 0-30242) filed on December 14, 2006 and incorporated herein by reference.</w:t>
      </w:r>
    </w:p>
    <w:p>
      <w:pPr>
        <w:spacing w:after="0" w:line="505" w:lineRule="exact"/>
        <w:rPr>
          <w:sz w:val="20"/>
          <w:szCs w:val="20"/>
          <w:color w:val="auto"/>
        </w:rPr>
      </w:pPr>
    </w:p>
    <w:p>
      <w:pPr>
        <w:sectPr>
          <w:pgSz w:w="11900" w:h="16838" w:orient="portrait"/>
          <w:cols w:equalWidth="0" w:num="2">
            <w:col w:w="6100" w:space="180"/>
            <w:col w:w="5080"/>
          </w:cols>
          <w:pgMar w:left="240" w:top="459" w:right="29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4(b)(4)</w:t>
        <w:tab/>
        <w:t>Release of Guaranty under the Indenture dated as of August 16, 2005 among Lamar Media, the guarantors named therein and The Bank of New York Trust Company, N.A., as Trustee, by the Trustee, dated as of December 30, 2005, relating to Lamar Media’s 6 5/8% Senior Subordinated Notes due 2015.</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br w:type="column"/>
      </w:r>
    </w:p>
    <w:p>
      <w:pPr>
        <w:jc w:val="both"/>
        <w:ind w:right="60"/>
        <w:spacing w:after="0" w:line="312" w:lineRule="auto"/>
        <w:rPr>
          <w:sz w:val="20"/>
          <w:szCs w:val="20"/>
          <w:color w:val="auto"/>
        </w:rPr>
      </w:pPr>
      <w:r>
        <w:rPr>
          <w:rFonts w:ascii="Arial" w:cs="Arial" w:eastAsia="Arial" w:hAnsi="Arial"/>
          <w:sz w:val="16"/>
          <w:szCs w:val="16"/>
          <w:color w:val="auto"/>
        </w:rPr>
        <w:t>Previously filed as Exhibit 4.20 to Lamar Media’s Annual Report on Form 10-K for the year ended December 31, 2005 (File No. 1-12407) filed on March 15, 2006 and incorporated herein by reference.</w:t>
      </w:r>
    </w:p>
    <w:p>
      <w:pPr>
        <w:sectPr>
          <w:pgSz w:w="11900" w:h="16838" w:orient="portrait"/>
          <w:cols w:equalWidth="0" w:num="2">
            <w:col w:w="6060" w:space="220"/>
            <w:col w:w="5080"/>
          </w:cols>
          <w:pgMar w:left="240" w:top="459" w:right="299" w:bottom="1440" w:gutter="0" w:footer="0" w:header="0"/>
          <w:type w:val="continuous"/>
        </w:sectPr>
      </w:pPr>
    </w:p>
    <w:bookmarkStart w:id="93" w:name="page94"/>
    <w:bookmarkEnd w:id="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24" w:lineRule="exact"/>
        <w:rPr>
          <w:sz w:val="20"/>
          <w:szCs w:val="20"/>
          <w:color w:val="auto"/>
        </w:rPr>
      </w:pPr>
    </w:p>
    <w:p>
      <w:pPr>
        <w:ind w:left="100" w:firstLine="12"/>
        <w:spacing w:after="0" w:line="259" w:lineRule="auto"/>
        <w:rPr>
          <w:sz w:val="20"/>
          <w:szCs w:val="20"/>
          <w:color w:val="auto"/>
        </w:rPr>
      </w:pPr>
      <w:r>
        <w:rPr>
          <w:rFonts w:ascii="Arial" w:cs="Arial" w:eastAsia="Arial" w:hAnsi="Arial"/>
          <w:sz w:val="14"/>
          <w:szCs w:val="14"/>
          <w:b w:val="1"/>
          <w:bCs w:val="1"/>
          <w:color w:val="auto"/>
        </w:rPr>
        <w:t xml:space="preserve">EXHIBIT </w:t>
      </w:r>
      <w:r>
        <w:rPr>
          <w:rFonts w:ascii="Arial" w:cs="Arial" w:eastAsia="Arial" w:hAnsi="Arial"/>
          <w:sz w:val="14"/>
          <w:szCs w:val="14"/>
          <w:b w:val="1"/>
          <w:bCs w:val="1"/>
          <w:u w:val="single" w:color="auto"/>
          <w:color w:val="auto"/>
        </w:rPr>
        <w:t>NUMBER</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4(b)(5)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Supplemental Indenture to the Indenture dated as of August 16, 2005 among Lamar Media, the guarantors named therein and The Bank of New York Trust Company, N.A., as Trustee, dated as of February 21, 2008, relating to Lamar Media’s 6 5/8% Senior Subordinated Notes due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Previously filed as Exhibit 4(g)(5) to Lamar Media’s Registration Statement on Form S-4 (File No. 333-161261) filed on August 11, 2009 and incorporated herein by reference.</w:t>
      </w:r>
    </w:p>
    <w:p>
      <w:pPr>
        <w:spacing w:after="0" w:line="489" w:lineRule="exact"/>
        <w:rPr>
          <w:sz w:val="20"/>
          <w:szCs w:val="20"/>
          <w:color w:val="auto"/>
        </w:rPr>
      </w:pPr>
    </w:p>
    <w:p>
      <w:pPr>
        <w:sectPr>
          <w:pgSz w:w="11900" w:h="16838" w:orient="portrait"/>
          <w:cols w:equalWidth="0" w:num="3">
            <w:col w:w="740" w:space="200"/>
            <w:col w:w="5180" w:space="160"/>
            <w:col w:w="5120"/>
          </w:cols>
          <w:pgMar w:left="240" w:top="459" w:right="25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4(b)(6)</w:t>
        <w:tab/>
        <w:t>Supplemental Indenture to the Indenture dated as of August 16, 2005 among Lamar Media, the guarantors named therein and the Bank of New York Trust Company, N.A., as trustee, dated as of January 12, 2009, relating to Lamar Media’s 6 5/8% Senior Subordinated Notes due 2015.</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6"/>
          <w:szCs w:val="16"/>
          <w:color w:val="auto"/>
        </w:rPr>
        <w:t>Previously filed as Exhibit 4(d)(6) to the Company’s Annual Report on Form 10-K for the year ended December 31, 2009 (File No. 0-30242) filed on February 26, 2010 and incorporated herein by reference.</w:t>
      </w:r>
    </w:p>
    <w:p>
      <w:pPr>
        <w:spacing w:after="0" w:line="470" w:lineRule="exact"/>
        <w:rPr>
          <w:sz w:val="20"/>
          <w:szCs w:val="20"/>
          <w:color w:val="auto"/>
        </w:rPr>
      </w:pPr>
    </w:p>
    <w:p>
      <w:pPr>
        <w:sectPr>
          <w:pgSz w:w="11900" w:h="16838" w:orient="portrait"/>
          <w:cols w:equalWidth="0" w:num="2">
            <w:col w:w="6120" w:space="160"/>
            <w:col w:w="5120"/>
          </w:cols>
          <w:pgMar w:left="240" w:top="459" w:right="25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4(b)(7)</w:t>
        <w:tab/>
        <w:t>Supplemental Indenture to the Indenture dated as of August 16, 2005 among Lamar Media, the guarantors named therein and the Bank of New York Trust Company, N.A., as trustee, dated as of October 20, 2011, relating to Lamar Media’s 6 5/8% Senior Subordinated Notes due 2015.</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6"/>
          <w:szCs w:val="16"/>
          <w:color w:val="auto"/>
        </w:rPr>
        <w:t>Previously filed as Exhibit 4(d)(7) to the Company’s Annual Report on Form 10-K for the year ended December 31, 2011 (File No. 0-30242) filed on February 27, 2012 and incorporated herein by reference.</w:t>
      </w:r>
    </w:p>
    <w:p>
      <w:pPr>
        <w:spacing w:after="0" w:line="470" w:lineRule="exact"/>
        <w:rPr>
          <w:sz w:val="20"/>
          <w:szCs w:val="20"/>
          <w:color w:val="auto"/>
        </w:rPr>
      </w:pPr>
    </w:p>
    <w:p>
      <w:pPr>
        <w:sectPr>
          <w:pgSz w:w="11900" w:h="16838" w:orient="portrait"/>
          <w:cols w:equalWidth="0" w:num="2">
            <w:col w:w="6100" w:space="180"/>
            <w:col w:w="5120"/>
          </w:cols>
          <w:pgMar w:left="240" w:top="459" w:right="25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4(b)(8)</w:t>
        <w:tab/>
        <w:t>Supplemental Indenture to the Indenture dated as of August 16, 2005 among Lamar Media, the guarantors named therein and the Bank of New York Trust Company, N.A., as trustee, dated as of October 20, 2011, relating to Lamar Media’s 6 5/8% Senior Subordinated Notes due 2015.</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6"/>
          <w:szCs w:val="16"/>
          <w:color w:val="auto"/>
        </w:rPr>
        <w:t>Previously filed as Exhibit 4(d)(8) to the Company’s Annual Report on Form 10-K for the year ended December 31, 2011 (File No. 0-30242) filed on February 27, 2012 and incorporated herein by reference.</w:t>
      </w:r>
    </w:p>
    <w:p>
      <w:pPr>
        <w:spacing w:after="0" w:line="470" w:lineRule="exact"/>
        <w:rPr>
          <w:sz w:val="20"/>
          <w:szCs w:val="20"/>
          <w:color w:val="auto"/>
        </w:rPr>
      </w:pPr>
    </w:p>
    <w:p>
      <w:pPr>
        <w:sectPr>
          <w:pgSz w:w="11900" w:h="16838" w:orient="portrait"/>
          <w:cols w:equalWidth="0" w:num="2">
            <w:col w:w="6100" w:space="180"/>
            <w:col w:w="5120"/>
          </w:cols>
          <w:pgMar w:left="240" w:top="459" w:right="25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4(b)(9)</w:t>
        <w:tab/>
        <w:t>Supplemental Indenture to the Indenture dated as of August 16, 2005 among Lamar Media, the guarantors named therein and the Bank of New York Trust Company, N.A., as trustee, dated as of October 20, 2011, relating to Lamar Media’s 6 5/8% Senior Subordinated Notes due 2015.</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6"/>
          <w:szCs w:val="16"/>
          <w:color w:val="auto"/>
        </w:rPr>
        <w:t>Previously filed as Exhibit 4(d)(9) to the Company’s Annual Report on Form 10-K for the year ended December 31, 2011 (File No. 0-30242) filed on February 27, 2012 and incorporated herein by reference.</w:t>
      </w:r>
    </w:p>
    <w:p>
      <w:pPr>
        <w:spacing w:after="0" w:line="470" w:lineRule="exact"/>
        <w:rPr>
          <w:sz w:val="20"/>
          <w:szCs w:val="20"/>
          <w:color w:val="auto"/>
        </w:rPr>
      </w:pPr>
    </w:p>
    <w:p>
      <w:pPr>
        <w:sectPr>
          <w:pgSz w:w="11900" w:h="16838" w:orient="portrait"/>
          <w:cols w:equalWidth="0" w:num="2">
            <w:col w:w="6100" w:space="180"/>
            <w:col w:w="5120"/>
          </w:cols>
          <w:pgMar w:left="240" w:top="459" w:right="259" w:bottom="1440" w:gutter="0" w:footer="0" w:header="0"/>
          <w:type w:val="continuous"/>
        </w:sectPr>
      </w:pPr>
    </w:p>
    <w:p>
      <w:pPr>
        <w:ind w:left="940" w:hanging="751"/>
        <w:spacing w:after="0" w:line="259" w:lineRule="auto"/>
        <w:tabs>
          <w:tab w:leader="none" w:pos="920" w:val="left"/>
        </w:tabs>
        <w:rPr>
          <w:sz w:val="20"/>
          <w:szCs w:val="20"/>
          <w:color w:val="auto"/>
        </w:rPr>
      </w:pPr>
      <w:r>
        <w:rPr>
          <w:rFonts w:ascii="Arial" w:cs="Arial" w:eastAsia="Arial" w:hAnsi="Arial"/>
          <w:sz w:val="18"/>
          <w:szCs w:val="18"/>
          <w:color w:val="auto"/>
        </w:rPr>
        <w:t>4(c)(1)</w:t>
        <w:tab/>
        <w:t>Indenture, dated as of August 17, 2006, among Lamar Media, the guarantors named therein and The Bank of New York Trust Company, N.A., as Trustee, relating to Lamar Media’s 6 5/8% Senior Subordinated Notes due 2015 – Series B.</w:t>
      </w:r>
    </w:p>
    <w:p>
      <w:pPr>
        <w:spacing w:after="0" w:line="79" w:lineRule="exact"/>
        <w:rPr>
          <w:sz w:val="20"/>
          <w:szCs w:val="20"/>
          <w:color w:val="auto"/>
        </w:rPr>
      </w:pPr>
    </w:p>
    <w:p>
      <w:pPr>
        <w:ind w:left="940" w:hanging="751"/>
        <w:spacing w:after="0" w:line="277" w:lineRule="auto"/>
        <w:tabs>
          <w:tab w:leader="none" w:pos="920" w:val="left"/>
        </w:tabs>
        <w:rPr>
          <w:sz w:val="20"/>
          <w:szCs w:val="20"/>
          <w:color w:val="auto"/>
        </w:rPr>
      </w:pPr>
      <w:r>
        <w:rPr>
          <w:rFonts w:ascii="Arial" w:cs="Arial" w:eastAsia="Arial" w:hAnsi="Arial"/>
          <w:sz w:val="18"/>
          <w:szCs w:val="18"/>
          <w:color w:val="auto"/>
        </w:rPr>
        <w:t>4(c)(2)</w:t>
        <w:tab/>
        <w:t>Form of 6 5/8% Senior Subordinated Exchange Notes due 2015 – Series B.</w:t>
      </w:r>
    </w:p>
    <w:p>
      <w:pPr>
        <w:spacing w:after="0" w:line="279" w:lineRule="exact"/>
        <w:rPr>
          <w:sz w:val="20"/>
          <w:szCs w:val="20"/>
          <w:color w:val="auto"/>
        </w:rPr>
      </w:pPr>
    </w:p>
    <w:p>
      <w:pPr>
        <w:ind w:left="940" w:right="40" w:hanging="751"/>
        <w:spacing w:after="0" w:line="257" w:lineRule="auto"/>
        <w:tabs>
          <w:tab w:leader="none" w:pos="920" w:val="left"/>
        </w:tabs>
        <w:rPr>
          <w:sz w:val="20"/>
          <w:szCs w:val="20"/>
          <w:color w:val="auto"/>
        </w:rPr>
      </w:pPr>
      <w:r>
        <w:rPr>
          <w:rFonts w:ascii="Arial" w:cs="Arial" w:eastAsia="Arial" w:hAnsi="Arial"/>
          <w:sz w:val="18"/>
          <w:szCs w:val="18"/>
          <w:color w:val="auto"/>
        </w:rPr>
        <w:t>4(c)(3)</w:t>
        <w:tab/>
        <w:t>Supplemental Indenture to the Indenture dated as of August 17, 2006 among Lamar Media, the guarantors named therein and The Bank of New York Trust Company, N.A., as Trustee, dated as of February 21, 2008, relating to Lamar Media’s 6 5/8% Senior Subordinated Notes due 2015 – Series B.</w:t>
      </w:r>
    </w:p>
    <w:p>
      <w:pPr>
        <w:spacing w:after="0" w:line="20" w:lineRule="exact"/>
        <w:rPr>
          <w:sz w:val="20"/>
          <w:szCs w:val="20"/>
          <w:color w:val="auto"/>
        </w:rPr>
      </w:pPr>
      <w:r>
        <w:rPr>
          <w:sz w:val="20"/>
          <w:szCs w:val="20"/>
          <w:color w:val="auto"/>
        </w:rPr>
        <w:br w:type="column"/>
      </w:r>
    </w:p>
    <w:p>
      <w:pPr>
        <w:ind w:right="260"/>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(File No. 0-30242) filed on August 18, 2006 and incorporated herein by reference.</w:t>
      </w:r>
    </w:p>
    <w:p>
      <w:pPr>
        <w:spacing w:after="0" w:line="2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(File No. 0-30242) filed on August 18, 2006 and incorporated herein by reference.</w:t>
      </w:r>
    </w:p>
    <w:p>
      <w:pPr>
        <w:spacing w:after="0" w:line="73"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Previously filed as Exhibit 4(h)(3) to Lamar Media’s Registration Statement on Form S-4 (File No. 333-161261) filed on August 11, 2009 and incorporated herein by reference.</w:t>
      </w:r>
    </w:p>
    <w:p>
      <w:pPr>
        <w:spacing w:after="0" w:line="489" w:lineRule="exact"/>
        <w:rPr>
          <w:sz w:val="20"/>
          <w:szCs w:val="20"/>
          <w:color w:val="auto"/>
        </w:rPr>
      </w:pPr>
    </w:p>
    <w:p>
      <w:pPr>
        <w:sectPr>
          <w:pgSz w:w="11900" w:h="16838" w:orient="portrait"/>
          <w:cols w:equalWidth="0" w:num="2">
            <w:col w:w="6160" w:space="120"/>
            <w:col w:w="5120"/>
          </w:cols>
          <w:pgMar w:left="240" w:top="459" w:right="25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4(c)(4)</w:t>
        <w:tab/>
        <w:t>Supplemental Indenture to the Indenture dated as of August 17, 2006 among Lamar Media, the guarantors named therein and the Bank of New York Trust Company, N.A., as trustee, dated as of January 12, 2009, relating to Lamar Media’s 6 5/8% Senior Subordinated Notes due 2015 — Series B.</w:t>
      </w:r>
    </w:p>
    <w:p>
      <w:pPr>
        <w:spacing w:after="0" w:line="80" w:lineRule="exact"/>
        <w:rPr>
          <w:sz w:val="20"/>
          <w:szCs w:val="20"/>
          <w:color w:val="auto"/>
        </w:rPr>
      </w:pPr>
    </w:p>
    <w:p>
      <w:pPr>
        <w:ind w:left="940" w:right="20" w:hanging="751"/>
        <w:spacing w:after="0" w:line="257" w:lineRule="auto"/>
        <w:tabs>
          <w:tab w:leader="none" w:pos="920" w:val="left"/>
        </w:tabs>
        <w:rPr>
          <w:sz w:val="20"/>
          <w:szCs w:val="20"/>
          <w:color w:val="auto"/>
        </w:rPr>
      </w:pPr>
      <w:r>
        <w:rPr>
          <w:rFonts w:ascii="Arial" w:cs="Arial" w:eastAsia="Arial" w:hAnsi="Arial"/>
          <w:sz w:val="18"/>
          <w:szCs w:val="18"/>
          <w:color w:val="auto"/>
        </w:rPr>
        <w:t>4(c)(5)</w:t>
        <w:tab/>
        <w:t>Supplemental Indenture to the Indenture dated as of August 17, 2006 among Lamar Media, the guarantors named therein and the Bank of New York Trust Company, N.A., as trustee, dated as of October 20, 2011, relating to Lamar Media’s 6 5/8% Senior Subordinated Notes due 2015 — Series B.</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6"/>
          <w:szCs w:val="16"/>
          <w:color w:val="auto"/>
        </w:rPr>
        <w:t>Previously filed as Exhibit 4(e)(4) to the Company’s Annual Report on Form 10-K for the year ended December 31, 2009 (File No. 0-30242) filed on February 26, 2010 and incorporated herein by reference.</w:t>
      </w:r>
    </w:p>
    <w:p>
      <w:pPr>
        <w:spacing w:after="0" w:line="200" w:lineRule="exact"/>
        <w:rPr>
          <w:sz w:val="20"/>
          <w:szCs w:val="20"/>
          <w:color w:val="auto"/>
        </w:rPr>
      </w:pPr>
    </w:p>
    <w:p>
      <w:pPr>
        <w:spacing w:after="0" w:line="2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Previously filed as Exhibit 4(e)(5) to the Company’s Annual Report on Form 10-K for the year ended December 31, 2011 (File No. 0-30242) filed on February 27, 2012 and incorporated herein by reference.</w:t>
      </w:r>
    </w:p>
    <w:p>
      <w:pPr>
        <w:sectPr>
          <w:pgSz w:w="11900" w:h="16838" w:orient="portrait"/>
          <w:cols w:equalWidth="0" w:num="2">
            <w:col w:w="6120" w:space="160"/>
            <w:col w:w="5120"/>
          </w:cols>
          <w:pgMar w:left="240" w:top="459" w:right="259" w:bottom="1440" w:gutter="0" w:footer="0" w:header="0"/>
          <w:type w:val="continuous"/>
        </w:sectPr>
      </w:pPr>
    </w:p>
    <w:bookmarkStart w:id="94" w:name="page95"/>
    <w:bookmarkEnd w:id="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24" w:lineRule="exact"/>
        <w:rPr>
          <w:sz w:val="20"/>
          <w:szCs w:val="20"/>
          <w:color w:val="auto"/>
        </w:rPr>
      </w:pPr>
    </w:p>
    <w:p>
      <w:pPr>
        <w:ind w:left="100" w:firstLine="12"/>
        <w:spacing w:after="0" w:line="259" w:lineRule="auto"/>
        <w:rPr>
          <w:sz w:val="20"/>
          <w:szCs w:val="20"/>
          <w:color w:val="auto"/>
        </w:rPr>
      </w:pPr>
      <w:r>
        <w:rPr>
          <w:rFonts w:ascii="Arial" w:cs="Arial" w:eastAsia="Arial" w:hAnsi="Arial"/>
          <w:sz w:val="14"/>
          <w:szCs w:val="14"/>
          <w:b w:val="1"/>
          <w:bCs w:val="1"/>
          <w:color w:val="auto"/>
        </w:rPr>
        <w:t xml:space="preserve">EXHIBIT </w:t>
      </w:r>
      <w:r>
        <w:rPr>
          <w:rFonts w:ascii="Arial" w:cs="Arial" w:eastAsia="Arial" w:hAnsi="Arial"/>
          <w:sz w:val="14"/>
          <w:szCs w:val="14"/>
          <w:b w:val="1"/>
          <w:bCs w:val="1"/>
          <w:u w:val="single" w:color="auto"/>
          <w:color w:val="auto"/>
        </w:rPr>
        <w:t>NUMBER</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4(c)(6)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Supplemental Indenture to the Indenture dated as of August 17, 2006 among Lamar Media, the guarantors named therein and the Bank of New York Trust Company, N.A., as trustee, dated as of October 20, 2011, relating to Lamar Media’s 6 5/8% Senior Subordinated Notes due 2015 — Series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Previously filed as Exhibit 4(e)(6) to the Company’s Annual Report on Form 10-K for the year ended December 31, 2011 (File No. 0-30242) filed on February 27, 2012 and incorporated herein by reference.</w:t>
      </w:r>
    </w:p>
    <w:p>
      <w:pPr>
        <w:spacing w:after="0" w:line="470" w:lineRule="exact"/>
        <w:rPr>
          <w:sz w:val="20"/>
          <w:szCs w:val="20"/>
          <w:color w:val="auto"/>
        </w:rPr>
      </w:pPr>
    </w:p>
    <w:p>
      <w:pPr>
        <w:sectPr>
          <w:pgSz w:w="11900" w:h="16838" w:orient="portrait"/>
          <w:cols w:equalWidth="0" w:num="3">
            <w:col w:w="740" w:space="200"/>
            <w:col w:w="5160" w:space="180"/>
            <w:col w:w="5120"/>
          </w:cols>
          <w:pgMar w:left="240" w:top="459" w:right="25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4(c)(7)</w:t>
        <w:tab/>
        <w:t>Supplemental Indenture to the Indenture dated as of August 17, 2006 among Lamar Media, the guarantors named therein and the Bank of New York Trust Company, N.A., as trustee, dated as of October 20, 2011, relating to Lamar Media’s 6 5/8% Senior Subordinated Notes due 2015 — Series B.</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6"/>
          <w:szCs w:val="16"/>
          <w:color w:val="auto"/>
        </w:rPr>
        <w:t>Previously filed as Exhibit 4(e)(7) to the Company’s Annual Report on Form 10-K for the year ended December 31, 2011 (File No. 0-30242) filed on February 27, 2012 and incorporated herein by reference.</w:t>
      </w:r>
    </w:p>
    <w:p>
      <w:pPr>
        <w:spacing w:after="0" w:line="470" w:lineRule="exact"/>
        <w:rPr>
          <w:sz w:val="20"/>
          <w:szCs w:val="20"/>
          <w:color w:val="auto"/>
        </w:rPr>
      </w:pPr>
    </w:p>
    <w:p>
      <w:pPr>
        <w:sectPr>
          <w:pgSz w:w="11900" w:h="16838" w:orient="portrait"/>
          <w:cols w:equalWidth="0" w:num="2">
            <w:col w:w="6100" w:space="180"/>
            <w:col w:w="5120"/>
          </w:cols>
          <w:pgMar w:left="240" w:top="459" w:right="259" w:bottom="1440" w:gutter="0" w:footer="0" w:header="0"/>
          <w:type w:val="continuous"/>
        </w:sectPr>
      </w:pPr>
    </w:p>
    <w:p>
      <w:pPr>
        <w:ind w:left="940" w:hanging="751"/>
        <w:spacing w:after="0" w:line="259" w:lineRule="auto"/>
        <w:tabs>
          <w:tab w:leader="none" w:pos="920" w:val="left"/>
        </w:tabs>
        <w:rPr>
          <w:sz w:val="20"/>
          <w:szCs w:val="20"/>
          <w:color w:val="auto"/>
        </w:rPr>
      </w:pPr>
      <w:r>
        <w:rPr>
          <w:rFonts w:ascii="Arial" w:cs="Arial" w:eastAsia="Arial" w:hAnsi="Arial"/>
          <w:sz w:val="18"/>
          <w:szCs w:val="18"/>
          <w:color w:val="auto"/>
        </w:rPr>
        <w:t>4(d)(1)</w:t>
        <w:tab/>
        <w:t>Indenture, dated as of October 11, 2007, among Lamar Media, the guarantors named therein and The Bank of New York Trust Company, N.A., as Trustee, relating to Lamar Media’s 6 5/8% Senior Subordinated Notes due 2015 – Series C.</w:t>
      </w:r>
    </w:p>
    <w:p>
      <w:pPr>
        <w:spacing w:after="0" w:line="79" w:lineRule="exact"/>
        <w:rPr>
          <w:sz w:val="20"/>
          <w:szCs w:val="20"/>
          <w:color w:val="auto"/>
        </w:rPr>
      </w:pPr>
    </w:p>
    <w:p>
      <w:pPr>
        <w:ind w:left="940" w:right="500" w:hanging="751"/>
        <w:spacing w:after="0" w:line="277" w:lineRule="auto"/>
        <w:tabs>
          <w:tab w:leader="none" w:pos="920" w:val="left"/>
        </w:tabs>
        <w:rPr>
          <w:sz w:val="20"/>
          <w:szCs w:val="20"/>
          <w:color w:val="auto"/>
        </w:rPr>
      </w:pPr>
      <w:r>
        <w:rPr>
          <w:rFonts w:ascii="Arial" w:cs="Arial" w:eastAsia="Arial" w:hAnsi="Arial"/>
          <w:sz w:val="18"/>
          <w:szCs w:val="18"/>
          <w:color w:val="auto"/>
        </w:rPr>
        <w:t>4(d)(2)</w:t>
        <w:tab/>
        <w:t>Form of 6 5/8% Senior Subordinated Exchange Notes due 2015 – Series C.</w:t>
      </w:r>
    </w:p>
    <w:p>
      <w:pPr>
        <w:spacing w:after="0" w:line="20" w:lineRule="exact"/>
        <w:rPr>
          <w:sz w:val="20"/>
          <w:szCs w:val="20"/>
          <w:color w:val="auto"/>
        </w:rPr>
      </w:pPr>
      <w:r>
        <w:rPr>
          <w:sz w:val="20"/>
          <w:szCs w:val="20"/>
          <w:color w:val="auto"/>
        </w:rPr>
        <w:br w:type="column"/>
      </w:r>
    </w:p>
    <w:p>
      <w:pPr>
        <w:ind w:right="260"/>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(File No. 0-30242) filed on October 16, 2007 and incorporated herein by reference.</w:t>
      </w:r>
    </w:p>
    <w:p>
      <w:pPr>
        <w:spacing w:after="0" w:line="2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(File No. 0-30242) filed on October 16, 2007 and incorporated herein by reference.</w:t>
      </w:r>
    </w:p>
    <w:p>
      <w:pPr>
        <w:spacing w:after="0" w:line="73" w:lineRule="exact"/>
        <w:rPr>
          <w:sz w:val="20"/>
          <w:szCs w:val="20"/>
          <w:color w:val="auto"/>
        </w:rPr>
      </w:pPr>
    </w:p>
    <w:p>
      <w:pPr>
        <w:sectPr>
          <w:pgSz w:w="11900" w:h="16838" w:orient="portrait"/>
          <w:cols w:equalWidth="0" w:num="2">
            <w:col w:w="6160" w:space="120"/>
            <w:col w:w="5120"/>
          </w:cols>
          <w:pgMar w:left="240" w:top="459" w:right="25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4(d)(3)</w:t>
        <w:tab/>
        <w:t>Supplemental Indenture to the Indenture dated as of October 11, 2007 among Lamar Media, the guarantors named therein and The Bank of New York Trust Company, N.A., as Trustee, dated as of February 21, 2008, relating to Lamar Media’s 6 5/8% Senior Subordinated Notes due 2015 – Series C.</w:t>
      </w:r>
    </w:p>
    <w:p>
      <w:pPr>
        <w:spacing w:after="0" w:line="80" w:lineRule="exact"/>
        <w:rPr>
          <w:sz w:val="20"/>
          <w:szCs w:val="20"/>
          <w:color w:val="auto"/>
        </w:r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4(d)(4)</w:t>
        <w:tab/>
        <w:t>Supplemental Indenture to the Indenture dated as of October 11, 2007 among Lamar Media, the guarantors named therein and the Bank of New York Trust Company, N.A., as trustee, dated as of January 12, 2009, relating to Lamar Media’s 6 5/8% Senior Subordinated Notes due 2015 — Series C.</w:t>
      </w:r>
    </w:p>
    <w:p>
      <w:pPr>
        <w:spacing w:after="0" w:line="80" w:lineRule="exact"/>
        <w:rPr>
          <w:sz w:val="20"/>
          <w:szCs w:val="20"/>
          <w:color w:val="auto"/>
        </w:rPr>
      </w:pPr>
    </w:p>
    <w:p>
      <w:pPr>
        <w:ind w:left="940" w:right="20" w:hanging="751"/>
        <w:spacing w:after="0" w:line="257" w:lineRule="auto"/>
        <w:tabs>
          <w:tab w:leader="none" w:pos="920" w:val="left"/>
        </w:tabs>
        <w:rPr>
          <w:sz w:val="20"/>
          <w:szCs w:val="20"/>
          <w:color w:val="auto"/>
        </w:rPr>
      </w:pPr>
      <w:r>
        <w:rPr>
          <w:rFonts w:ascii="Arial" w:cs="Arial" w:eastAsia="Arial" w:hAnsi="Arial"/>
          <w:sz w:val="18"/>
          <w:szCs w:val="18"/>
          <w:color w:val="auto"/>
        </w:rPr>
        <w:t>4(d)(5)</w:t>
        <w:tab/>
        <w:t>Supplemental Indenture to the Indenture dated as of October 11, 2007 among Lamar Media, the guarantors named therein and the Bank of New York Trust Company, N.A., as trustee, dated as of October 20, 2011, relating to Lamar Media’s 6 5/8% Senior Subordinated Notes due 2015 — Series C.</w:t>
      </w:r>
    </w:p>
    <w:p>
      <w:pPr>
        <w:spacing w:after="0" w:line="80" w:lineRule="exact"/>
        <w:rPr>
          <w:sz w:val="20"/>
          <w:szCs w:val="20"/>
          <w:color w:val="auto"/>
        </w:rPr>
      </w:pPr>
    </w:p>
    <w:p>
      <w:pPr>
        <w:ind w:left="940" w:right="20" w:hanging="751"/>
        <w:spacing w:after="0" w:line="257" w:lineRule="auto"/>
        <w:tabs>
          <w:tab w:leader="none" w:pos="920" w:val="left"/>
        </w:tabs>
        <w:rPr>
          <w:sz w:val="20"/>
          <w:szCs w:val="20"/>
          <w:color w:val="auto"/>
        </w:rPr>
      </w:pPr>
      <w:r>
        <w:rPr>
          <w:rFonts w:ascii="Arial" w:cs="Arial" w:eastAsia="Arial" w:hAnsi="Arial"/>
          <w:sz w:val="18"/>
          <w:szCs w:val="18"/>
          <w:color w:val="auto"/>
        </w:rPr>
        <w:t>4(d)(6)</w:t>
        <w:tab/>
        <w:t>Supplemental Indenture to the Indenture dated as of October 11, 2007 among Lamar Media, the guarantors named therein and the Bank of New York Trust Company, N.A., as trustee, dated as of October 20, 2011, relating to Lamar Media’s 6 5/8% Senior Subordinated Notes due 2015 — Series C.</w:t>
      </w:r>
    </w:p>
    <w:p>
      <w:pPr>
        <w:spacing w:after="0" w:line="80" w:lineRule="exact"/>
        <w:rPr>
          <w:sz w:val="20"/>
          <w:szCs w:val="20"/>
          <w:color w:val="auto"/>
        </w:rPr>
      </w:pPr>
    </w:p>
    <w:p>
      <w:pPr>
        <w:ind w:left="940" w:right="20" w:hanging="751"/>
        <w:spacing w:after="0" w:line="257" w:lineRule="auto"/>
        <w:tabs>
          <w:tab w:leader="none" w:pos="920" w:val="left"/>
        </w:tabs>
        <w:rPr>
          <w:sz w:val="20"/>
          <w:szCs w:val="20"/>
          <w:color w:val="auto"/>
        </w:rPr>
      </w:pPr>
      <w:r>
        <w:rPr>
          <w:rFonts w:ascii="Arial" w:cs="Arial" w:eastAsia="Arial" w:hAnsi="Arial"/>
          <w:sz w:val="18"/>
          <w:szCs w:val="18"/>
          <w:color w:val="auto"/>
        </w:rPr>
        <w:t>4(d)(7)</w:t>
        <w:tab/>
        <w:t>Supplemental Indenture to the Indenture dated as of October 11, 2007 among Lamar Media, the guarantors named therein and the Bank of New York Trust Company, N.A., as trustee, dated as of October 20, 2011, relating to Lamar Media’s 6 5/8% Senior Subordinated Notes due 2015 — Series C.</w:t>
      </w:r>
    </w:p>
    <w:p>
      <w:pPr>
        <w:spacing w:after="0" w:line="80" w:lineRule="exact"/>
        <w:rPr>
          <w:sz w:val="20"/>
          <w:szCs w:val="20"/>
          <w:color w:val="auto"/>
        </w:rPr>
      </w:pPr>
    </w:p>
    <w:p>
      <w:pPr>
        <w:ind w:left="940" w:right="200" w:hanging="751"/>
        <w:spacing w:after="0" w:line="259" w:lineRule="auto"/>
        <w:tabs>
          <w:tab w:leader="none" w:pos="920" w:val="left"/>
        </w:tabs>
        <w:rPr>
          <w:sz w:val="20"/>
          <w:szCs w:val="20"/>
          <w:color w:val="auto"/>
        </w:rPr>
      </w:pPr>
      <w:r>
        <w:rPr>
          <w:rFonts w:ascii="Arial" w:cs="Arial" w:eastAsia="Arial" w:hAnsi="Arial"/>
          <w:sz w:val="18"/>
          <w:szCs w:val="18"/>
          <w:color w:val="auto"/>
        </w:rPr>
        <w:t>4(e)(1)</w:t>
        <w:tab/>
        <w:t>Indenture, dated as of March 27, 2009, among Lamar Media, the guarantors named therein and The Bank of New York Mellon Trust Company, N.A., as Trustee, relating to Lamar Media’s 9 3/4% Senior Notes due 2014.</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ind w:right="340"/>
        <w:spacing w:after="0" w:line="286" w:lineRule="auto"/>
        <w:rPr>
          <w:sz w:val="20"/>
          <w:szCs w:val="20"/>
          <w:color w:val="auto"/>
        </w:rPr>
      </w:pPr>
      <w:r>
        <w:rPr>
          <w:rFonts w:ascii="Arial" w:cs="Arial" w:eastAsia="Arial" w:hAnsi="Arial"/>
          <w:sz w:val="17"/>
          <w:szCs w:val="17"/>
          <w:color w:val="auto"/>
        </w:rPr>
        <w:t>Previously filed as Exhibit 4(i)(3) to Lamar Media’s Registration Statement on Form S-4 (File No. 333-161261) filed on August 11, 2009 and incorporated herein by reference.</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Previously filed as Exhibit 4(f)(4) to the Company’s Annual Report on Form 10-K for the year ended December 31, 2009 (File No. 0-30242) filed on February 26, 2010 and incorporated herein by reference.</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Previously filed as Exhibit 4(f)(5) to the Company’s Annual Report on Form 10-K for the year ended December 31, 2011 (File No. 0-30242) filed on February 27, 2012 and incorporated herein by reference.</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Previously filed as Exhibit 4(f)(6) to the Company’s Annual Report on Form 10-K for the year ended December 31, 2011 (File No. 0-30242) filed on February 27, 2012 and incorporated herein by reference.</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Previously filed as Exhibit 4(f)(7) to the Company’s Annual Report on Form 10-K for the year ended December 31, 2011 (File No. 0-30242) filed on February 27, 2012 and incorporated herein by reference.</w:t>
      </w:r>
    </w:p>
    <w:p>
      <w:pPr>
        <w:spacing w:after="0" w:line="200" w:lineRule="exact"/>
        <w:rPr>
          <w:sz w:val="20"/>
          <w:szCs w:val="20"/>
          <w:color w:val="auto"/>
        </w:rPr>
      </w:pPr>
    </w:p>
    <w:p>
      <w:pPr>
        <w:spacing w:after="0" w:line="2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(File No. 0-30242) filed on March 27, 2009 and incorporated herein by reference.</w:t>
      </w:r>
    </w:p>
    <w:p>
      <w:pPr>
        <w:sectPr>
          <w:pgSz w:w="11900" w:h="16838" w:orient="portrait"/>
          <w:cols w:equalWidth="0" w:num="2">
            <w:col w:w="6120" w:space="160"/>
            <w:col w:w="5120"/>
          </w:cols>
          <w:pgMar w:left="240" w:top="459" w:right="25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38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91"/>
        </w:trPr>
        <w:tc>
          <w:tcPr>
            <w:tcW w:w="660" w:type="dxa"/>
            <w:vAlign w:val="bottom"/>
          </w:tcPr>
          <w:p>
            <w:pPr>
              <w:ind w:left="100"/>
              <w:spacing w:after="0"/>
              <w:rPr>
                <w:sz w:val="20"/>
                <w:szCs w:val="20"/>
                <w:color w:val="auto"/>
              </w:rPr>
            </w:pPr>
            <w:r>
              <w:rPr>
                <w:rFonts w:ascii="Arial" w:cs="Arial" w:eastAsia="Arial" w:hAnsi="Arial"/>
                <w:sz w:val="18"/>
                <w:szCs w:val="18"/>
                <w:color w:val="auto"/>
                <w:w w:val="99"/>
              </w:rPr>
              <w:t>4(e)(2)</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w w:val="89"/>
              </w:rPr>
              <w:t>Form of 9 3/4% Senior Exchange Notes due 2014.</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40" w:hanging="859"/>
        <w:spacing w:after="0" w:line="257" w:lineRule="auto"/>
        <w:tabs>
          <w:tab w:leader="none" w:pos="1020" w:val="left"/>
        </w:tabs>
        <w:rPr>
          <w:sz w:val="20"/>
          <w:szCs w:val="20"/>
          <w:color w:val="auto"/>
        </w:rPr>
      </w:pPr>
      <w:r>
        <w:rPr>
          <w:rFonts w:ascii="Arial" w:cs="Arial" w:eastAsia="Arial" w:hAnsi="Arial"/>
          <w:sz w:val="18"/>
          <w:szCs w:val="18"/>
          <w:color w:val="auto"/>
        </w:rPr>
        <w:t>4(e)(3)</w:t>
      </w:r>
      <w:r>
        <w:rPr>
          <w:sz w:val="20"/>
          <w:szCs w:val="20"/>
          <w:color w:val="auto"/>
        </w:rPr>
        <w:tab/>
      </w:r>
      <w:r>
        <w:rPr>
          <w:rFonts w:ascii="Arial" w:cs="Arial" w:eastAsia="Arial" w:hAnsi="Arial"/>
          <w:sz w:val="18"/>
          <w:szCs w:val="18"/>
          <w:color w:val="auto"/>
        </w:rPr>
        <w:t>Supplemental Indenture to the Indenture dated as of March 27, 2009 among Lamar Media, the guarantors named therein and The Bank of New York Mellon Trust Company, N.A., as trustee, dated as of October 20, 2011, relating to Lamar Media’s 9 3/4% Senior Notes due 2014.</w:t>
      </w:r>
    </w:p>
    <w:p>
      <w:pPr>
        <w:spacing w:after="0" w:line="80" w:lineRule="exact"/>
        <w:rPr>
          <w:sz w:val="20"/>
          <w:szCs w:val="20"/>
          <w:color w:val="auto"/>
        </w:rPr>
      </w:pPr>
    </w:p>
    <w:p>
      <w:pPr>
        <w:ind w:left="1040" w:hanging="859"/>
        <w:spacing w:after="0" w:line="257" w:lineRule="auto"/>
        <w:tabs>
          <w:tab w:leader="none" w:pos="1020" w:val="left"/>
        </w:tabs>
        <w:rPr>
          <w:sz w:val="20"/>
          <w:szCs w:val="20"/>
          <w:color w:val="auto"/>
        </w:rPr>
      </w:pPr>
      <w:r>
        <w:rPr>
          <w:rFonts w:ascii="Arial" w:cs="Arial" w:eastAsia="Arial" w:hAnsi="Arial"/>
          <w:sz w:val="18"/>
          <w:szCs w:val="18"/>
          <w:color w:val="auto"/>
        </w:rPr>
        <w:t>4(e)(4)</w:t>
      </w:r>
      <w:r>
        <w:rPr>
          <w:sz w:val="20"/>
          <w:szCs w:val="20"/>
          <w:color w:val="auto"/>
        </w:rPr>
        <w:tab/>
      </w:r>
      <w:r>
        <w:rPr>
          <w:rFonts w:ascii="Arial" w:cs="Arial" w:eastAsia="Arial" w:hAnsi="Arial"/>
          <w:sz w:val="18"/>
          <w:szCs w:val="18"/>
          <w:color w:val="auto"/>
        </w:rPr>
        <w:t>Supplemental Indenture to the Indenture dated as of March 27, 2009 among Lamar Media, the guarantors named therein and The Bank of New York Mellon Trust Company, N.A., as trustee, dated as of October 20, 2011, relating to Lamar Media’s 9 3/4% Senior Notes due 2014.</w:t>
      </w:r>
    </w:p>
    <w:p>
      <w:pPr>
        <w:spacing w:after="0" w:line="80" w:lineRule="exact"/>
        <w:rPr>
          <w:sz w:val="20"/>
          <w:szCs w:val="20"/>
          <w:color w:val="auto"/>
        </w:rPr>
      </w:pPr>
    </w:p>
    <w:p>
      <w:pPr>
        <w:ind w:left="1040" w:hanging="859"/>
        <w:spacing w:after="0" w:line="257" w:lineRule="auto"/>
        <w:tabs>
          <w:tab w:leader="none" w:pos="1020" w:val="left"/>
        </w:tabs>
        <w:rPr>
          <w:sz w:val="20"/>
          <w:szCs w:val="20"/>
          <w:color w:val="auto"/>
        </w:rPr>
      </w:pPr>
      <w:r>
        <w:rPr>
          <w:rFonts w:ascii="Arial" w:cs="Arial" w:eastAsia="Arial" w:hAnsi="Arial"/>
          <w:sz w:val="18"/>
          <w:szCs w:val="18"/>
          <w:color w:val="auto"/>
        </w:rPr>
        <w:t>4(e)(5)</w:t>
      </w:r>
      <w:r>
        <w:rPr>
          <w:sz w:val="20"/>
          <w:szCs w:val="20"/>
          <w:color w:val="auto"/>
        </w:rPr>
        <w:tab/>
      </w:r>
      <w:r>
        <w:rPr>
          <w:rFonts w:ascii="Arial" w:cs="Arial" w:eastAsia="Arial" w:hAnsi="Arial"/>
          <w:sz w:val="18"/>
          <w:szCs w:val="18"/>
          <w:color w:val="auto"/>
        </w:rPr>
        <w:t>Supplemental Indenture to the Indenture dated as of March 27, 2009 among Lamar Media, the guarantors named therein and The Bank of New York Mellon Trust Company, N.A., as trustee, dated as of October 20, 2011, relating to Lamar Media’s 9 3/4% Senior Notes due 2014.</w:t>
      </w:r>
    </w:p>
    <w:p>
      <w:pPr>
        <w:spacing w:after="0" w:line="80" w:lineRule="exact"/>
        <w:rPr>
          <w:sz w:val="20"/>
          <w:szCs w:val="20"/>
          <w:color w:val="auto"/>
        </w:rPr>
      </w:pPr>
    </w:p>
    <w:p>
      <w:pPr>
        <w:ind w:left="1040" w:right="100" w:hanging="859"/>
        <w:spacing w:after="0" w:line="257" w:lineRule="auto"/>
        <w:tabs>
          <w:tab w:leader="none" w:pos="1020" w:val="left"/>
        </w:tabs>
        <w:rPr>
          <w:sz w:val="20"/>
          <w:szCs w:val="20"/>
          <w:color w:val="auto"/>
        </w:rPr>
      </w:pPr>
      <w:r>
        <w:rPr>
          <w:rFonts w:ascii="Arial" w:cs="Arial" w:eastAsia="Arial" w:hAnsi="Arial"/>
          <w:sz w:val="18"/>
          <w:szCs w:val="18"/>
          <w:color w:val="auto"/>
        </w:rPr>
        <w:t>4(e)(6)</w:t>
      </w:r>
      <w:r>
        <w:rPr>
          <w:sz w:val="20"/>
          <w:szCs w:val="20"/>
          <w:color w:val="auto"/>
        </w:rPr>
        <w:tab/>
      </w:r>
      <w:r>
        <w:rPr>
          <w:rFonts w:ascii="Arial" w:cs="Arial" w:eastAsia="Arial" w:hAnsi="Arial"/>
          <w:sz w:val="18"/>
          <w:szCs w:val="18"/>
          <w:color w:val="auto"/>
        </w:rPr>
        <w:t>Supplemental Indenture to the Indenture dated as of March 27, 2009 among Lamar Media, the guarantors named therein and The Bank of New York Mellon Trust Company, N.A., as Trustee, dated as of December 30, 2012, relating to Lamar Media’s 9 3/4% Senior Notes due 2014.</w:t>
      </w:r>
    </w:p>
    <w:p>
      <w:pPr>
        <w:spacing w:after="0" w:line="80" w:lineRule="exact"/>
        <w:rPr>
          <w:sz w:val="20"/>
          <w:szCs w:val="20"/>
          <w:color w:val="auto"/>
        </w:rPr>
      </w:pPr>
    </w:p>
    <w:p>
      <w:pPr>
        <w:ind w:left="1040" w:right="100" w:hanging="859"/>
        <w:spacing w:after="0" w:line="257" w:lineRule="auto"/>
        <w:tabs>
          <w:tab w:leader="none" w:pos="1020" w:val="left"/>
        </w:tabs>
        <w:rPr>
          <w:sz w:val="20"/>
          <w:szCs w:val="20"/>
          <w:color w:val="auto"/>
        </w:rPr>
      </w:pPr>
      <w:r>
        <w:rPr>
          <w:rFonts w:ascii="Arial" w:cs="Arial" w:eastAsia="Arial" w:hAnsi="Arial"/>
          <w:sz w:val="18"/>
          <w:szCs w:val="18"/>
          <w:color w:val="auto"/>
        </w:rPr>
        <w:t>4(e)(7)</w:t>
      </w:r>
      <w:r>
        <w:rPr>
          <w:sz w:val="20"/>
          <w:szCs w:val="20"/>
          <w:color w:val="auto"/>
        </w:rPr>
        <w:tab/>
      </w:r>
      <w:r>
        <w:rPr>
          <w:rFonts w:ascii="Arial" w:cs="Arial" w:eastAsia="Arial" w:hAnsi="Arial"/>
          <w:sz w:val="18"/>
          <w:szCs w:val="18"/>
          <w:color w:val="auto"/>
        </w:rPr>
        <w:t>Supplemental Indenture to the Indenture dated as of March 27, 2009 among Lamar Media, the guarantors named therein and The Bank of New York Mellon Trust Company, N.A., as Trustee, dated as of December 30, 2012, relating to Lamar Media’s 9 3/4% Senior Notes due 2014.</w:t>
      </w:r>
    </w:p>
    <w:p>
      <w:pPr>
        <w:spacing w:after="0" w:line="80" w:lineRule="exact"/>
        <w:rPr>
          <w:sz w:val="20"/>
          <w:szCs w:val="20"/>
          <w:color w:val="auto"/>
        </w:rPr>
      </w:pPr>
    </w:p>
    <w:p>
      <w:pPr>
        <w:ind w:left="1040" w:right="100" w:hanging="859"/>
        <w:spacing w:after="0" w:line="257" w:lineRule="auto"/>
        <w:tabs>
          <w:tab w:leader="none" w:pos="1020" w:val="left"/>
        </w:tabs>
        <w:rPr>
          <w:sz w:val="20"/>
          <w:szCs w:val="20"/>
          <w:color w:val="auto"/>
        </w:rPr>
      </w:pPr>
      <w:r>
        <w:rPr>
          <w:rFonts w:ascii="Arial" w:cs="Arial" w:eastAsia="Arial" w:hAnsi="Arial"/>
          <w:sz w:val="18"/>
          <w:szCs w:val="18"/>
          <w:color w:val="auto"/>
        </w:rPr>
        <w:t>4(e)(8)</w:t>
      </w:r>
      <w:r>
        <w:rPr>
          <w:sz w:val="20"/>
          <w:szCs w:val="20"/>
          <w:color w:val="auto"/>
        </w:rPr>
        <w:tab/>
      </w:r>
      <w:r>
        <w:rPr>
          <w:rFonts w:ascii="Arial" w:cs="Arial" w:eastAsia="Arial" w:hAnsi="Arial"/>
          <w:sz w:val="18"/>
          <w:szCs w:val="18"/>
          <w:color w:val="auto"/>
        </w:rPr>
        <w:t>Supplemental Indenture to the Indenture dated as of March 27, 2009 among Lamar Media, the guarantors named therein and The Bank of New York Mellon Trust Company, N.A., as Trustee, dated as of December 30, 2012, relating to Lamar Media’s 9 3/4% Senior Notes due 2014.</w:t>
      </w:r>
    </w:p>
    <w:p>
      <w:pPr>
        <w:spacing w:after="0" w:line="80" w:lineRule="exact"/>
        <w:rPr>
          <w:sz w:val="20"/>
          <w:szCs w:val="20"/>
          <w:color w:val="auto"/>
        </w:rPr>
      </w:pPr>
    </w:p>
    <w:p>
      <w:pPr>
        <w:ind w:left="1040" w:right="100" w:hanging="859"/>
        <w:spacing w:after="0" w:line="257" w:lineRule="auto"/>
        <w:tabs>
          <w:tab w:leader="none" w:pos="1020" w:val="left"/>
        </w:tabs>
        <w:rPr>
          <w:sz w:val="20"/>
          <w:szCs w:val="20"/>
          <w:color w:val="auto"/>
        </w:rPr>
      </w:pPr>
      <w:r>
        <w:rPr>
          <w:rFonts w:ascii="Arial" w:cs="Arial" w:eastAsia="Arial" w:hAnsi="Arial"/>
          <w:sz w:val="18"/>
          <w:szCs w:val="18"/>
          <w:color w:val="auto"/>
        </w:rPr>
        <w:t>4(e)(9)</w:t>
      </w:r>
      <w:r>
        <w:rPr>
          <w:sz w:val="20"/>
          <w:szCs w:val="20"/>
          <w:color w:val="auto"/>
        </w:rPr>
        <w:tab/>
      </w:r>
      <w:r>
        <w:rPr>
          <w:rFonts w:ascii="Arial" w:cs="Arial" w:eastAsia="Arial" w:hAnsi="Arial"/>
          <w:sz w:val="18"/>
          <w:szCs w:val="18"/>
          <w:color w:val="auto"/>
        </w:rPr>
        <w:t>Supplemental Indenture to the Indenture dated as of March 27, 2009 among Lamar Media, the guarantors named therein and The Bank of New York Mellon Trust Company, N.A., as Trustee, dated as of May 31, 2013, relating to Lamar Media’s 9 3/4% Senior Notes due 2014.</w:t>
      </w:r>
    </w:p>
    <w:p>
      <w:pPr>
        <w:spacing w:after="0" w:line="80" w:lineRule="exact"/>
        <w:rPr>
          <w:sz w:val="20"/>
          <w:szCs w:val="20"/>
          <w:color w:val="auto"/>
        </w:rPr>
      </w:pPr>
    </w:p>
    <w:p>
      <w:pPr>
        <w:ind w:left="1040" w:right="80" w:hanging="859"/>
        <w:spacing w:after="0" w:line="257" w:lineRule="auto"/>
        <w:tabs>
          <w:tab w:leader="none" w:pos="1020" w:val="left"/>
        </w:tabs>
        <w:rPr>
          <w:sz w:val="20"/>
          <w:szCs w:val="20"/>
          <w:color w:val="auto"/>
        </w:rPr>
      </w:pPr>
      <w:r>
        <w:rPr>
          <w:rFonts w:ascii="Arial" w:cs="Arial" w:eastAsia="Arial" w:hAnsi="Arial"/>
          <w:sz w:val="18"/>
          <w:szCs w:val="18"/>
          <w:color w:val="auto"/>
        </w:rPr>
        <w:t>4(e)(10)</w:t>
        <w:tab/>
        <w:t>Supplemental Indenture to the Indenture dated as of March 27, 2009, among Lamar Media, the guarantors named therein and The Bank of New York Mellon Trust Company, N.A., as Trustee, dated as of January 2, 2014, relating to Lamar Media’s 9 3/4% Senior Notes due 2014.</w:t>
      </w:r>
    </w:p>
    <w:p>
      <w:pPr>
        <w:spacing w:after="0" w:line="80" w:lineRule="exact"/>
        <w:rPr>
          <w:sz w:val="20"/>
          <w:szCs w:val="20"/>
          <w:color w:val="auto"/>
        </w:rPr>
      </w:pPr>
    </w:p>
    <w:p>
      <w:pPr>
        <w:ind w:left="1040" w:right="60" w:hanging="859"/>
        <w:spacing w:after="0" w:line="259" w:lineRule="auto"/>
        <w:tabs>
          <w:tab w:leader="none" w:pos="1020" w:val="left"/>
        </w:tabs>
        <w:rPr>
          <w:sz w:val="20"/>
          <w:szCs w:val="20"/>
          <w:color w:val="auto"/>
        </w:rPr>
      </w:pPr>
      <w:r>
        <w:rPr>
          <w:rFonts w:ascii="Arial" w:cs="Arial" w:eastAsia="Arial" w:hAnsi="Arial"/>
          <w:sz w:val="18"/>
          <w:szCs w:val="18"/>
          <w:color w:val="auto"/>
        </w:rPr>
        <w:t>4(f)(1)</w:t>
      </w:r>
      <w:r>
        <w:rPr>
          <w:sz w:val="20"/>
          <w:szCs w:val="20"/>
          <w:color w:val="auto"/>
        </w:rPr>
        <w:tab/>
      </w:r>
      <w:r>
        <w:rPr>
          <w:rFonts w:ascii="Arial" w:cs="Arial" w:eastAsia="Arial" w:hAnsi="Arial"/>
          <w:sz w:val="18"/>
          <w:szCs w:val="18"/>
          <w:color w:val="auto"/>
        </w:rPr>
        <w:t>Indenture, dated as of April 22, 2010, among Lamar Media, the Guarantors named therein and The Bank of New York Mellon Trust Company, N.A., as Trustee, relating to Lamar Media’s 7 7/8% Senior Subordinated Notes due 2018.</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0"/>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with the indenture dated March 27, 2009, filed as Exhibit 4.1 to the Company’s Current Report on Form 8-K (File No. 0-30242) filed on March 27, 2009, and incorporated herein by reference.</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Previously filed as Exhibit 4(g)(3) to the Company’s Annual Report on Form 10-K for the year ended December 31, 2011 (File No. 0-30242) filed on February 27, 2012 and incorporated herein by reference.</w:t>
      </w:r>
    </w:p>
    <w:p>
      <w:pPr>
        <w:spacing w:after="0" w:line="2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Previously filed as Exhibit 4(g)(4) to the Company’s Annual Report on Form 10-K for the year ended December 31, 2011 (File No. 0-30242) filed on February 27, 2012 and incorporated herein by reference.</w:t>
      </w:r>
    </w:p>
    <w:p>
      <w:pPr>
        <w:spacing w:after="0" w:line="2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Previously filed as Exhibit 4(g)(5) to the Company’s Annual Report on Form 10-K for the year ended December 31, 2011 (File No. 0-30242) filed on February 27, 2012 and incorporated herein by reference.</w:t>
      </w:r>
    </w:p>
    <w:p>
      <w:pPr>
        <w:spacing w:after="0" w:line="2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Previously filed as Exhibit 4(e)(6) to the Company’s Annual Report on Form 10-K for the year ended December 31, 2012 (File No. 0-30242) filed on February 28, 2013 and incorporated herein by reference.</w:t>
      </w:r>
    </w:p>
    <w:p>
      <w:pPr>
        <w:spacing w:after="0" w:line="2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Previously filed as Exhibit 4(e)(7) to the Company’s Annual Report on Form 10-K for the year ended December 31, 2012 (File No. 0-30242) filed on February 28, 2013 and incorporated herein by reference.</w:t>
      </w:r>
    </w:p>
    <w:p>
      <w:pPr>
        <w:spacing w:after="0" w:line="2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Previously filed as Exhibit 4(e)(8) to the Company’s Annual Report on Form 10-K for the year ended December 31, 2012 (File No. 0-30242) filed on February 28, 2013 and incorporated herein by reference.</w:t>
      </w:r>
    </w:p>
    <w:p>
      <w:pPr>
        <w:spacing w:after="0" w:line="29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Previously filed as Exhibit 4.1 to Lamar Media’s Quarterly Report on Form 10-Q for the period ended June 30, 2013 (File No. 1-12407) filed on August 8, 2013 and incorporated herein by reference.</w:t>
      </w:r>
    </w:p>
    <w:p>
      <w:pPr>
        <w:spacing w:after="0" w:line="200" w:lineRule="exact"/>
        <w:rPr>
          <w:sz w:val="20"/>
          <w:szCs w:val="20"/>
          <w:color w:val="auto"/>
        </w:rPr>
      </w:pPr>
    </w:p>
    <w:p>
      <w:pPr>
        <w:spacing w:after="0" w:line="2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Previously filed as Exhibit 4.2 to Lamar Media’s Quarterly Report on Form 10-Q for the period ended March 31, 2014 (File No. 1-12407) filed on May 7, 2014 and incorporated herein by reference.</w:t>
      </w:r>
    </w:p>
    <w:p>
      <w:pPr>
        <w:spacing w:after="0" w:line="200" w:lineRule="exact"/>
        <w:rPr>
          <w:sz w:val="20"/>
          <w:szCs w:val="20"/>
          <w:color w:val="auto"/>
        </w:rPr>
      </w:pPr>
    </w:p>
    <w:p>
      <w:pPr>
        <w:spacing w:after="0" w:line="2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(File No. 0-30242) filed on April 23, 2010 and incorporated herein by reference.</w:t>
      </w:r>
    </w:p>
    <w:p>
      <w:pPr>
        <w:sectPr>
          <w:pgSz w:w="11900" w:h="16838" w:orient="portrait"/>
          <w:cols w:equalWidth="0" w:num="2">
            <w:col w:w="6100" w:space="300"/>
            <w:col w:w="50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2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38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91"/>
        </w:trPr>
        <w:tc>
          <w:tcPr>
            <w:tcW w:w="660" w:type="dxa"/>
            <w:vAlign w:val="bottom"/>
          </w:tcPr>
          <w:p>
            <w:pPr>
              <w:jc w:val="center"/>
              <w:spacing w:after="0"/>
              <w:rPr>
                <w:sz w:val="20"/>
                <w:szCs w:val="20"/>
                <w:color w:val="auto"/>
              </w:rPr>
            </w:pPr>
            <w:r>
              <w:rPr>
                <w:rFonts w:ascii="Arial" w:cs="Arial" w:eastAsia="Arial" w:hAnsi="Arial"/>
                <w:sz w:val="18"/>
                <w:szCs w:val="18"/>
                <w:color w:val="auto"/>
                <w:w w:val="97"/>
              </w:rPr>
              <w:t>4(f)(2)</w:t>
            </w:r>
          </w:p>
        </w:tc>
        <w:tc>
          <w:tcPr>
            <w:tcW w:w="4200" w:type="dxa"/>
            <w:vAlign w:val="bottom"/>
            <w:gridSpan w:val="3"/>
          </w:tcPr>
          <w:p>
            <w:pPr>
              <w:ind w:left="300"/>
              <w:spacing w:after="0"/>
              <w:rPr>
                <w:sz w:val="20"/>
                <w:szCs w:val="20"/>
                <w:color w:val="auto"/>
              </w:rPr>
            </w:pPr>
            <w:r>
              <w:rPr>
                <w:rFonts w:ascii="Arial" w:cs="Arial" w:eastAsia="Arial" w:hAnsi="Arial"/>
                <w:sz w:val="18"/>
                <w:szCs w:val="18"/>
                <w:color w:val="auto"/>
                <w:w w:val="90"/>
              </w:rPr>
              <w:t>Form of 7 7/8% Senior Subordinated Notes due 2018.</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4(f)(3)</w:t>
      </w:r>
      <w:r>
        <w:rPr>
          <w:sz w:val="20"/>
          <w:szCs w:val="20"/>
          <w:color w:val="auto"/>
        </w:rPr>
        <w:tab/>
      </w:r>
      <w:r>
        <w:rPr>
          <w:rFonts w:ascii="Arial" w:cs="Arial" w:eastAsia="Arial" w:hAnsi="Arial"/>
          <w:sz w:val="16"/>
          <w:szCs w:val="16"/>
          <w:color w:val="auto"/>
        </w:rPr>
        <w:t>Form of 7 7/8% Senior Subordinated Exchange Notes due 2018.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40" w:hanging="859"/>
        <w:spacing w:after="0" w:line="257" w:lineRule="auto"/>
        <w:tabs>
          <w:tab w:leader="none" w:pos="1020" w:val="left"/>
        </w:tabs>
        <w:rPr>
          <w:sz w:val="20"/>
          <w:szCs w:val="20"/>
          <w:color w:val="auto"/>
        </w:rPr>
      </w:pPr>
      <w:r>
        <w:rPr>
          <w:rFonts w:ascii="Arial" w:cs="Arial" w:eastAsia="Arial" w:hAnsi="Arial"/>
          <w:sz w:val="18"/>
          <w:szCs w:val="18"/>
          <w:color w:val="auto"/>
        </w:rPr>
        <w:t>4(f)(4)</w:t>
      </w:r>
      <w:r>
        <w:rPr>
          <w:sz w:val="20"/>
          <w:szCs w:val="20"/>
          <w:color w:val="auto"/>
        </w:rPr>
        <w:tab/>
      </w:r>
      <w:r>
        <w:rPr>
          <w:rFonts w:ascii="Arial" w:cs="Arial" w:eastAsia="Arial" w:hAnsi="Arial"/>
          <w:sz w:val="18"/>
          <w:szCs w:val="18"/>
          <w:color w:val="auto"/>
        </w:rPr>
        <w:t>Amendment No. 1, dated as of August 27, 2010, to the Indenture dated as of April 22, 2010 among Lamar Media, the Guarantors named therein and The Bank of New York Mellon Trust Company, N.A., as Trustee, relating to Lamar Media’s 7 7/8% Senior Subordinated Notes due 2018.</w:t>
      </w:r>
    </w:p>
    <w:p>
      <w:pPr>
        <w:spacing w:after="0" w:line="80" w:lineRule="exact"/>
        <w:rPr>
          <w:sz w:val="20"/>
          <w:szCs w:val="20"/>
          <w:color w:val="auto"/>
        </w:rPr>
      </w:pPr>
    </w:p>
    <w:p>
      <w:pPr>
        <w:ind w:left="1040" w:right="160" w:hanging="859"/>
        <w:spacing w:after="0" w:line="257" w:lineRule="auto"/>
        <w:tabs>
          <w:tab w:leader="none" w:pos="1020" w:val="left"/>
        </w:tabs>
        <w:rPr>
          <w:sz w:val="20"/>
          <w:szCs w:val="20"/>
          <w:color w:val="auto"/>
        </w:rPr>
      </w:pPr>
      <w:r>
        <w:rPr>
          <w:rFonts w:ascii="Arial" w:cs="Arial" w:eastAsia="Arial" w:hAnsi="Arial"/>
          <w:sz w:val="18"/>
          <w:szCs w:val="18"/>
          <w:color w:val="auto"/>
        </w:rPr>
        <w:t>4(f)(5)</w:t>
      </w:r>
      <w:r>
        <w:rPr>
          <w:sz w:val="20"/>
          <w:szCs w:val="20"/>
          <w:color w:val="auto"/>
        </w:rPr>
        <w:tab/>
      </w:r>
      <w:r>
        <w:rPr>
          <w:rFonts w:ascii="Arial" w:cs="Arial" w:eastAsia="Arial" w:hAnsi="Arial"/>
          <w:sz w:val="18"/>
          <w:szCs w:val="18"/>
          <w:color w:val="auto"/>
        </w:rPr>
        <w:t>Supplemental Indenture to the Indenture dated as of April 22, 2010 among Lamar Media, the guarantors named therein and The Bank of New York Mellon Trust Company, N.A., as trustee, dated as of October 20, 2011, relating to Lamar Media’s 7 7/8% Senior Subordinated Notes due 2018.</w:t>
      </w:r>
    </w:p>
    <w:p>
      <w:pPr>
        <w:spacing w:after="0" w:line="80" w:lineRule="exact"/>
        <w:rPr>
          <w:sz w:val="20"/>
          <w:szCs w:val="20"/>
          <w:color w:val="auto"/>
        </w:rPr>
      </w:pPr>
    </w:p>
    <w:p>
      <w:pPr>
        <w:ind w:left="1040" w:right="160" w:hanging="859"/>
        <w:spacing w:after="0" w:line="257" w:lineRule="auto"/>
        <w:tabs>
          <w:tab w:leader="none" w:pos="1020" w:val="left"/>
        </w:tabs>
        <w:rPr>
          <w:sz w:val="20"/>
          <w:szCs w:val="20"/>
          <w:color w:val="auto"/>
        </w:rPr>
      </w:pPr>
      <w:r>
        <w:rPr>
          <w:rFonts w:ascii="Arial" w:cs="Arial" w:eastAsia="Arial" w:hAnsi="Arial"/>
          <w:sz w:val="18"/>
          <w:szCs w:val="18"/>
          <w:color w:val="auto"/>
        </w:rPr>
        <w:t>4(f)(6)</w:t>
      </w:r>
      <w:r>
        <w:rPr>
          <w:sz w:val="20"/>
          <w:szCs w:val="20"/>
          <w:color w:val="auto"/>
        </w:rPr>
        <w:tab/>
      </w:r>
      <w:r>
        <w:rPr>
          <w:rFonts w:ascii="Arial" w:cs="Arial" w:eastAsia="Arial" w:hAnsi="Arial"/>
          <w:sz w:val="18"/>
          <w:szCs w:val="18"/>
          <w:color w:val="auto"/>
        </w:rPr>
        <w:t>Supplemental Indenture to the Indenture dated as of April 22, 2010 among Lamar Media, the guarantors named therein and The Bank of New York Mellon Trust Company, N.A., as trustee, dated as of October 20, 2011, relating to Lamar Media’s 7 7/8% Senior Subordinated Notes due 2018.</w:t>
      </w:r>
    </w:p>
    <w:p>
      <w:pPr>
        <w:spacing w:after="0" w:line="80" w:lineRule="exact"/>
        <w:rPr>
          <w:sz w:val="20"/>
          <w:szCs w:val="20"/>
          <w:color w:val="auto"/>
        </w:rPr>
      </w:pPr>
    </w:p>
    <w:p>
      <w:pPr>
        <w:ind w:left="1040" w:right="160" w:hanging="859"/>
        <w:spacing w:after="0" w:line="257" w:lineRule="auto"/>
        <w:tabs>
          <w:tab w:leader="none" w:pos="1020" w:val="left"/>
        </w:tabs>
        <w:rPr>
          <w:sz w:val="20"/>
          <w:szCs w:val="20"/>
          <w:color w:val="auto"/>
        </w:rPr>
      </w:pPr>
      <w:r>
        <w:rPr>
          <w:rFonts w:ascii="Arial" w:cs="Arial" w:eastAsia="Arial" w:hAnsi="Arial"/>
          <w:sz w:val="18"/>
          <w:szCs w:val="18"/>
          <w:color w:val="auto"/>
        </w:rPr>
        <w:t>4(f)(7)</w:t>
      </w:r>
      <w:r>
        <w:rPr>
          <w:sz w:val="20"/>
          <w:szCs w:val="20"/>
          <w:color w:val="auto"/>
        </w:rPr>
        <w:tab/>
      </w:r>
      <w:r>
        <w:rPr>
          <w:rFonts w:ascii="Arial" w:cs="Arial" w:eastAsia="Arial" w:hAnsi="Arial"/>
          <w:sz w:val="18"/>
          <w:szCs w:val="18"/>
          <w:color w:val="auto"/>
        </w:rPr>
        <w:t>Supplemental Indenture to the Indenture dated as of April 22, 2010 among Lamar Media, the guarantors named therein and The Bank of New York Mellon Trust Company, N.A., as trustee, dated as of October 20, 2011, relating to Lamar Media’s 7 7/8% Senior Subordinated Notes due 2018.</w:t>
      </w:r>
    </w:p>
    <w:p>
      <w:pPr>
        <w:spacing w:after="0" w:line="80" w:lineRule="exact"/>
        <w:rPr>
          <w:sz w:val="20"/>
          <w:szCs w:val="20"/>
          <w:color w:val="auto"/>
        </w:rPr>
      </w:pPr>
    </w:p>
    <w:p>
      <w:pPr>
        <w:ind w:left="1040" w:right="160" w:hanging="859"/>
        <w:spacing w:after="0" w:line="257" w:lineRule="auto"/>
        <w:tabs>
          <w:tab w:leader="none" w:pos="1020" w:val="left"/>
        </w:tabs>
        <w:rPr>
          <w:sz w:val="20"/>
          <w:szCs w:val="20"/>
          <w:color w:val="auto"/>
        </w:rPr>
      </w:pPr>
      <w:r>
        <w:rPr>
          <w:rFonts w:ascii="Arial" w:cs="Arial" w:eastAsia="Arial" w:hAnsi="Arial"/>
          <w:sz w:val="18"/>
          <w:szCs w:val="18"/>
          <w:color w:val="auto"/>
        </w:rPr>
        <w:t>4(f)(8)</w:t>
      </w:r>
      <w:r>
        <w:rPr>
          <w:sz w:val="20"/>
          <w:szCs w:val="20"/>
          <w:color w:val="auto"/>
        </w:rPr>
        <w:tab/>
      </w:r>
      <w:r>
        <w:rPr>
          <w:rFonts w:ascii="Arial" w:cs="Arial" w:eastAsia="Arial" w:hAnsi="Arial"/>
          <w:sz w:val="18"/>
          <w:szCs w:val="18"/>
          <w:color w:val="auto"/>
        </w:rPr>
        <w:t>Supplemental Indenture to the Indenture dated as of April 22, 2010 among Lamar Media, the guarantors named therein and The Bank of New York Mellon Trust Company, N.A., as Trustee, dated as of December 30, 2012, relating to Lamar Media’s 7 7/8% Senior Subordinated Notes due 2018.</w:t>
      </w:r>
    </w:p>
    <w:p>
      <w:pPr>
        <w:spacing w:after="0" w:line="80" w:lineRule="exact"/>
        <w:rPr>
          <w:sz w:val="20"/>
          <w:szCs w:val="20"/>
          <w:color w:val="auto"/>
        </w:rPr>
      </w:pPr>
    </w:p>
    <w:p>
      <w:pPr>
        <w:ind w:left="1040" w:right="160" w:hanging="859"/>
        <w:spacing w:after="0" w:line="257" w:lineRule="auto"/>
        <w:tabs>
          <w:tab w:leader="none" w:pos="1020" w:val="left"/>
        </w:tabs>
        <w:rPr>
          <w:sz w:val="20"/>
          <w:szCs w:val="20"/>
          <w:color w:val="auto"/>
        </w:rPr>
      </w:pPr>
      <w:r>
        <w:rPr>
          <w:rFonts w:ascii="Arial" w:cs="Arial" w:eastAsia="Arial" w:hAnsi="Arial"/>
          <w:sz w:val="18"/>
          <w:szCs w:val="18"/>
          <w:color w:val="auto"/>
        </w:rPr>
        <w:t>4(f)(9)</w:t>
      </w:r>
      <w:r>
        <w:rPr>
          <w:sz w:val="20"/>
          <w:szCs w:val="20"/>
          <w:color w:val="auto"/>
        </w:rPr>
        <w:tab/>
      </w:r>
      <w:r>
        <w:rPr>
          <w:rFonts w:ascii="Arial" w:cs="Arial" w:eastAsia="Arial" w:hAnsi="Arial"/>
          <w:sz w:val="18"/>
          <w:szCs w:val="18"/>
          <w:color w:val="auto"/>
        </w:rPr>
        <w:t>Supplemental Indenture to the Indenture dated as of April 22, 2010 among Lamar Media, the guarantors named therein and The Bank of New York Mellon Trust Company, N.A., as Trustee, dated as of December 30, 2012, relating to Lamar Media’s 7 7/8% Senior Subordinated Notes due 2018.</w:t>
      </w:r>
    </w:p>
    <w:p>
      <w:pPr>
        <w:spacing w:after="0" w:line="80" w:lineRule="exact"/>
        <w:rPr>
          <w:sz w:val="20"/>
          <w:szCs w:val="20"/>
          <w:color w:val="auto"/>
        </w:rPr>
      </w:pPr>
    </w:p>
    <w:p>
      <w:pPr>
        <w:ind w:left="1040" w:right="160" w:hanging="859"/>
        <w:spacing w:after="0" w:line="257" w:lineRule="auto"/>
        <w:tabs>
          <w:tab w:leader="none" w:pos="1020" w:val="left"/>
        </w:tabs>
        <w:rPr>
          <w:sz w:val="20"/>
          <w:szCs w:val="20"/>
          <w:color w:val="auto"/>
        </w:rPr>
      </w:pPr>
      <w:r>
        <w:rPr>
          <w:rFonts w:ascii="Arial" w:cs="Arial" w:eastAsia="Arial" w:hAnsi="Arial"/>
          <w:sz w:val="18"/>
          <w:szCs w:val="18"/>
          <w:color w:val="auto"/>
        </w:rPr>
        <w:t>4(f)(10)</w:t>
      </w:r>
      <w:r>
        <w:rPr>
          <w:sz w:val="20"/>
          <w:szCs w:val="20"/>
          <w:color w:val="auto"/>
        </w:rPr>
        <w:tab/>
      </w:r>
      <w:r>
        <w:rPr>
          <w:rFonts w:ascii="Arial" w:cs="Arial" w:eastAsia="Arial" w:hAnsi="Arial"/>
          <w:sz w:val="18"/>
          <w:szCs w:val="18"/>
          <w:color w:val="auto"/>
        </w:rPr>
        <w:t>Supplemental Indenture to the Indenture dated as of April 22, 2010 among Lamar Media, the guarantors named therein and The Bank of New York Mellon Trust Company, N.A., as Trustee, dated as of December 30, 2012, relating to Lamar Media’s 7 7/8% Senior Subordinated Notes due 2018.</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0"/>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Previously filed with the Indenture dated April 22, 2010, filed as Exhibit 4.1 to the Company’s Current Report on Form 8-K (File No. 0-30242) filed on April 23, 2010, and incorporated herein by reference.</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Previously filed with the Indenture dated April 22, 2010, filed as Exhibit 4.1 to the Company’s Current Report on Form 8-K (File No. 0-30242) filed on April 23, 2010, and incorporated herein by reference.</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Previously filed as Exhibit 4(h)(4) to the Company’s Annual Report on Form 10-K for the year ended December 31, 2011 (File No. 0-30242) filed on February 27, 2012 and incorporated herein by reference.</w:t>
      </w:r>
    </w:p>
    <w:p>
      <w:pPr>
        <w:spacing w:after="0" w:line="2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Previously filed as Exhibit 4(h)(5) to the Company’s Annual Report on Form 10-K for the year ended December 31, 2011 (File No. 0-30242) filed on February 27, 2012 and incorporated herein by reference.</w:t>
      </w:r>
    </w:p>
    <w:p>
      <w:pPr>
        <w:spacing w:after="0" w:line="2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Previously filed as Exhibit 4(h)(6) to the Company’s Annual Report on Form 10-K for the year ended December 31, 2011 (File No. 0-30242) filed on February 27, 2012 and incorporated herein by reference.</w:t>
      </w:r>
    </w:p>
    <w:p>
      <w:pPr>
        <w:spacing w:after="0" w:line="2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Previously filed as Exhibit 4(h)(7) to the Company’s Annual Report on Form 10-K for the year ended December 31, 2011 (File No. 0-30242) filed on February 27, 2012 and incorporated herein by reference.</w:t>
      </w:r>
    </w:p>
    <w:p>
      <w:pPr>
        <w:spacing w:after="0" w:line="2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as Exhibit 4(f)(8) to the Company’s Annual Report on Form 10-K for the year ended December 31, 2012 (File No. 0-30242) filed on February 28, 2013 and incorporated herein by reference.</w:t>
      </w:r>
    </w:p>
    <w:p>
      <w:pPr>
        <w:spacing w:after="0" w:line="2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as Exhibit 4(f)(9) to the Company’s Annual Report on Form 10-K for the year ended December 31, 2012 (File No. 0-30242) filed on February 28, 2013 and incorporated herein by reference.</w:t>
      </w: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Previously filed as Exhibit 4(f)(10) to the Company’s Annual Report on Form 10-K for the year ended December 31, 2012 (File No. 0-30242) filed on February 28, 2013 and incorporated herein by reference.</w:t>
      </w:r>
    </w:p>
    <w:p>
      <w:pPr>
        <w:sectPr>
          <w:pgSz w:w="11900" w:h="16838" w:orient="portrait"/>
          <w:cols w:equalWidth="0" w:num="2">
            <w:col w:w="6160" w:space="240"/>
            <w:col w:w="49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85"/>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77"/>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4(f)(11)</w:t>
            </w: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w w:val="94"/>
              </w:rPr>
              <w:t>Supplemental Indenture to the Indenture dated as of April 22, 2010</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w w:val="91"/>
              </w:rPr>
              <w:t>among Lamar Media, the guarantors named therein and The Bank of</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New York Mellon Trust Company, N.A., as Trustee, dated as of</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w w:val="91"/>
              </w:rPr>
              <w:t>May 31, 2013, relating to Lamar Media’s 7 7/8% Senior Subordinated</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Notes due 2018.</w:t>
            </w:r>
          </w:p>
        </w:tc>
      </w:tr>
      <w:tr>
        <w:trPr>
          <w:trHeight w:val="310"/>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4(f)(12)</w:t>
            </w: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w w:val="94"/>
              </w:rPr>
              <w:t>Supplemental Indenture to the Indenture dated as of April 22, 2010</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w w:val="91"/>
              </w:rPr>
              <w:t>among Lamar Media, the guarantors named therein and The Bank of</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New York Mellon Trust Company, N.A., as Trustee, dated as of</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January 2, 2014, relating to Lamar Media’s 7 7/8% Senior</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Subordinated Notes due 2018.</w:t>
            </w:r>
          </w:p>
        </w:tc>
      </w:tr>
      <w:tr>
        <w:trPr>
          <w:trHeight w:val="310"/>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4(g)(1)</w:t>
            </w: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w w:val="95"/>
              </w:rPr>
              <w:t>Indenture, dated as of February 9, 2012, among Lamar Media, the</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w w:val="94"/>
              </w:rPr>
              <w:t>Guarantors named therein and The Bank of New York Mellon Trust</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w w:val="92"/>
              </w:rPr>
              <w:t>Company, N.A., as Trustee, relating to Lamar Media’s 5 7/8% Senior</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Subordinated Notes due 2022.</w:t>
            </w:r>
          </w:p>
        </w:tc>
      </w:tr>
      <w:tr>
        <w:trPr>
          <w:trHeight w:val="324"/>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4(g)(2)</w:t>
            </w: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Form of 5 7/8% Senior Subordinated Notes due 2022.</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4(g)(3)</w:t>
      </w:r>
      <w:r>
        <w:rPr>
          <w:sz w:val="20"/>
          <w:szCs w:val="20"/>
          <w:color w:val="auto"/>
        </w:rPr>
        <w:tab/>
      </w:r>
      <w:r>
        <w:rPr>
          <w:rFonts w:ascii="Arial" w:cs="Arial" w:eastAsia="Arial" w:hAnsi="Arial"/>
          <w:sz w:val="16"/>
          <w:szCs w:val="16"/>
          <w:color w:val="auto"/>
        </w:rPr>
        <w:t>Form of 5 7/8% Senior Subordinated Exchange Notes due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40" w:hanging="859"/>
        <w:spacing w:after="0" w:line="257" w:lineRule="auto"/>
        <w:tabs>
          <w:tab w:leader="none" w:pos="1020" w:val="left"/>
        </w:tabs>
        <w:rPr>
          <w:sz w:val="20"/>
          <w:szCs w:val="20"/>
          <w:color w:val="auto"/>
        </w:rPr>
      </w:pPr>
      <w:r>
        <w:rPr>
          <w:rFonts w:ascii="Arial" w:cs="Arial" w:eastAsia="Arial" w:hAnsi="Arial"/>
          <w:sz w:val="18"/>
          <w:szCs w:val="18"/>
          <w:color w:val="auto"/>
        </w:rPr>
        <w:t>4(g)(4)</w:t>
      </w:r>
      <w:r>
        <w:rPr>
          <w:sz w:val="20"/>
          <w:szCs w:val="20"/>
          <w:color w:val="auto"/>
        </w:rPr>
        <w:tab/>
      </w:r>
      <w:r>
        <w:rPr>
          <w:rFonts w:ascii="Arial" w:cs="Arial" w:eastAsia="Arial" w:hAnsi="Arial"/>
          <w:sz w:val="18"/>
          <w:szCs w:val="18"/>
          <w:color w:val="auto"/>
        </w:rPr>
        <w:t>Supplemental Indenture to the Indenture dated as of February 9, 2012, among Lamar Media, the Guarantors named therein and The Bank of New York Mellon Trust Company, N.A., as Trustee, dated as of December 30, 2012, relating to Lamar Media’s 5 7/8% Senior Subordinated Notes due 2022.</w:t>
      </w:r>
    </w:p>
    <w:p>
      <w:pPr>
        <w:spacing w:after="0" w:line="80" w:lineRule="exact"/>
        <w:rPr>
          <w:sz w:val="20"/>
          <w:szCs w:val="20"/>
          <w:color w:val="auto"/>
        </w:rPr>
      </w:pPr>
    </w:p>
    <w:p>
      <w:pPr>
        <w:ind w:left="1040" w:hanging="859"/>
        <w:spacing w:after="0" w:line="257" w:lineRule="auto"/>
        <w:tabs>
          <w:tab w:leader="none" w:pos="1020" w:val="left"/>
        </w:tabs>
        <w:rPr>
          <w:sz w:val="20"/>
          <w:szCs w:val="20"/>
          <w:color w:val="auto"/>
        </w:rPr>
      </w:pPr>
      <w:r>
        <w:rPr>
          <w:rFonts w:ascii="Arial" w:cs="Arial" w:eastAsia="Arial" w:hAnsi="Arial"/>
          <w:sz w:val="18"/>
          <w:szCs w:val="18"/>
          <w:color w:val="auto"/>
        </w:rPr>
        <w:t>4(g)(5)</w:t>
      </w:r>
      <w:r>
        <w:rPr>
          <w:sz w:val="20"/>
          <w:szCs w:val="20"/>
          <w:color w:val="auto"/>
        </w:rPr>
        <w:tab/>
      </w:r>
      <w:r>
        <w:rPr>
          <w:rFonts w:ascii="Arial" w:cs="Arial" w:eastAsia="Arial" w:hAnsi="Arial"/>
          <w:sz w:val="18"/>
          <w:szCs w:val="18"/>
          <w:color w:val="auto"/>
        </w:rPr>
        <w:t>Supplemental Indenture to the Indenture dated as of February 9, 2012, among Lamar Media, the Guarantors named therein and The Bank of New York Mellon Trust Company, N.A., as Trustee, dated as of December 30, 2012, relating to Lamar Media’s 5 7/8% Senior Subordinated Notes due 2022.</w:t>
      </w:r>
    </w:p>
    <w:p>
      <w:pPr>
        <w:spacing w:after="0" w:line="80" w:lineRule="exact"/>
        <w:rPr>
          <w:sz w:val="20"/>
          <w:szCs w:val="20"/>
          <w:color w:val="auto"/>
        </w:rPr>
      </w:pPr>
    </w:p>
    <w:p>
      <w:pPr>
        <w:ind w:left="1040" w:hanging="859"/>
        <w:spacing w:after="0" w:line="257" w:lineRule="auto"/>
        <w:tabs>
          <w:tab w:leader="none" w:pos="1020" w:val="left"/>
        </w:tabs>
        <w:rPr>
          <w:sz w:val="20"/>
          <w:szCs w:val="20"/>
          <w:color w:val="auto"/>
        </w:rPr>
      </w:pPr>
      <w:r>
        <w:rPr>
          <w:rFonts w:ascii="Arial" w:cs="Arial" w:eastAsia="Arial" w:hAnsi="Arial"/>
          <w:sz w:val="18"/>
          <w:szCs w:val="18"/>
          <w:color w:val="auto"/>
        </w:rPr>
        <w:t>4(g)(6)</w:t>
      </w:r>
      <w:r>
        <w:rPr>
          <w:sz w:val="20"/>
          <w:szCs w:val="20"/>
          <w:color w:val="auto"/>
        </w:rPr>
        <w:tab/>
      </w:r>
      <w:r>
        <w:rPr>
          <w:rFonts w:ascii="Arial" w:cs="Arial" w:eastAsia="Arial" w:hAnsi="Arial"/>
          <w:sz w:val="18"/>
          <w:szCs w:val="18"/>
          <w:color w:val="auto"/>
        </w:rPr>
        <w:t>Supplemental Indenture to the Indenture dated as of February 9, 2012, among Lamar Media, the Guarantors named therein and The Bank of New York Mellon Trust Company, N.A., as Trustee, dated as of December 30, 2012, relating to Lamar Media’s 5 7/8% Senior Subordinated Notes due 2022.</w:t>
      </w:r>
    </w:p>
    <w:p>
      <w:pPr>
        <w:spacing w:after="0" w:line="8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4(g)(7)</w:t>
      </w:r>
      <w:r>
        <w:rPr>
          <w:sz w:val="20"/>
          <w:szCs w:val="20"/>
          <w:color w:val="auto"/>
        </w:rPr>
        <w:tab/>
      </w:r>
      <w:r>
        <w:rPr>
          <w:rFonts w:ascii="Arial" w:cs="Arial" w:eastAsia="Arial" w:hAnsi="Arial"/>
          <w:sz w:val="16"/>
          <w:szCs w:val="16"/>
          <w:color w:val="auto"/>
        </w:rPr>
        <w:t>Supplemental Indenture to the Indenture dated as of February 9, 2012,</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among Lamar Media, the Guarantors named therein and The Bank of</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Mellon Trust Company, N.A., as Trustee, dated as of</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May 31, 2013, relating to Lamar Media’s 5 7/8% Senior Subordinated</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Notes due 2022.</w:t>
      </w:r>
    </w:p>
    <w:p>
      <w:pPr>
        <w:spacing w:after="0" w:line="103" w:lineRule="exact"/>
        <w:rPr>
          <w:sz w:val="20"/>
          <w:szCs w:val="20"/>
          <w:color w:val="auto"/>
        </w:rPr>
      </w:pPr>
    </w:p>
    <w:p>
      <w:pPr>
        <w:ind w:left="1040" w:hanging="859"/>
        <w:spacing w:after="0" w:line="257" w:lineRule="auto"/>
        <w:tabs>
          <w:tab w:leader="none" w:pos="1020" w:val="left"/>
        </w:tabs>
        <w:rPr>
          <w:sz w:val="20"/>
          <w:szCs w:val="20"/>
          <w:color w:val="auto"/>
        </w:rPr>
      </w:pPr>
      <w:r>
        <w:rPr>
          <w:rFonts w:ascii="Arial" w:cs="Arial" w:eastAsia="Arial" w:hAnsi="Arial"/>
          <w:sz w:val="18"/>
          <w:szCs w:val="18"/>
          <w:color w:val="auto"/>
        </w:rPr>
        <w:t>4(g)(8)</w:t>
      </w:r>
      <w:r>
        <w:rPr>
          <w:sz w:val="20"/>
          <w:szCs w:val="20"/>
          <w:color w:val="auto"/>
        </w:rPr>
        <w:tab/>
      </w:r>
      <w:r>
        <w:rPr>
          <w:rFonts w:ascii="Arial" w:cs="Arial" w:eastAsia="Arial" w:hAnsi="Arial"/>
          <w:sz w:val="18"/>
          <w:szCs w:val="18"/>
          <w:color w:val="auto"/>
        </w:rPr>
        <w:t>Supplemental Indenture to the Indenture dated as of February 9, 2012, among Lamar Media, the Guarantors named therein and The Bank of New York Mellon Trust Company, N.A., as Trustee, dated as of January 2, 2014, relating to Lamar Media’s 5 7/8% Senior Subordinated Notes due 2022.</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Previously filed as Exhibit 4.2 to Lamar Media’s Quarterly Report on Form 10-Q for the period ended June 30, 2013 (File No. 1-12407) filed on August 8, 2013 and incorporated herein by reference.</w:t>
      </w:r>
    </w:p>
    <w:p>
      <w:pPr>
        <w:spacing w:after="0" w:line="200" w:lineRule="exact"/>
        <w:rPr>
          <w:sz w:val="20"/>
          <w:szCs w:val="20"/>
          <w:color w:val="auto"/>
        </w:rPr>
      </w:pPr>
    </w:p>
    <w:p>
      <w:pPr>
        <w:spacing w:after="0" w:line="2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Previously filed as Exhibit 4.3 to Lamar Media’s Quarterly Report on Form 10-Q for the period ended March 31, 2014 (File No. 1-12407) filed on May 7, 2014 and incorporated herein by reference.</w:t>
      </w:r>
    </w:p>
    <w:p>
      <w:pPr>
        <w:spacing w:after="0" w:line="200" w:lineRule="exact"/>
        <w:rPr>
          <w:sz w:val="20"/>
          <w:szCs w:val="20"/>
          <w:color w:val="auto"/>
        </w:rPr>
      </w:pPr>
    </w:p>
    <w:p>
      <w:pPr>
        <w:spacing w:after="0" w:line="2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(File No. 0-30242) filed on February 14, 2012 and incorporated herein by reference.</w:t>
      </w:r>
    </w:p>
    <w:p>
      <w:pPr>
        <w:spacing w:after="0" w:line="2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with the Indenture dated February 9, 2012, filed as Exhibit 4.1 to the Company’s Current Report on Form 8-K (File No. 0-30242) filed on February 14, 2012, and incorporated herein by reference.</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with the Indenture dated February 9, 2012, filed as Exhibit 4.1 to the Company’s Current Report on Form 8-K (File No. 0-30242) filed on February 14, 2012, and incorporated herein by reference.</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Previously filed as Exhibit 4(g)(4) to the Company’s Annual Report on Form 10-K for the year ended December 31, 2012 (File No. 0-30242) filed on February 28, 2013 and incorporated herein by reference.</w:t>
      </w:r>
    </w:p>
    <w:p>
      <w:pPr>
        <w:spacing w:after="0" w:line="2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Previously filed as Exhibit 4(g)(5) to the Company’s Annual Report on Form 10-K for the year ended December 31, 2012 (File No. 0-30242) filed on February 28, 2013 and incorporated herein by reference.</w:t>
      </w:r>
    </w:p>
    <w:p>
      <w:pPr>
        <w:spacing w:after="0" w:line="2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Previously filed as Exhibit 4(g)(6) to the Company’s Annual Report on Form 10-K for the year ended December 31, 2012 (File No. 0-30242) filed on February 28, 2013 and incorporated herein by reference.</w:t>
      </w:r>
    </w:p>
    <w:p>
      <w:pPr>
        <w:spacing w:after="0" w:line="29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Previously filed as Exhibit 4.3 to Lamar Media’s Quarterly Report on Form 10-Q for the period ended June 30, 2013 (File No. 1-12407) filed on August 8, 2013 and incorporated herein by reference.</w:t>
      </w:r>
    </w:p>
    <w:p>
      <w:pPr>
        <w:spacing w:after="0" w:line="200" w:lineRule="exact"/>
        <w:rPr>
          <w:sz w:val="20"/>
          <w:szCs w:val="20"/>
          <w:color w:val="auto"/>
        </w:rPr>
      </w:pPr>
    </w:p>
    <w:p>
      <w:pPr>
        <w:spacing w:after="0" w:line="2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Previously filed as Exhibit 4.4 to Lamar Media’s Quarterly Report on Form 10-Q for the period ended March 31, 2014 (File No. 1-12407) filed on May 7, 2014 and incorporated herein by reference.</w:t>
      </w:r>
    </w:p>
    <w:p>
      <w:pPr>
        <w:sectPr>
          <w:pgSz w:w="11900" w:h="16838" w:orient="portrait"/>
          <w:cols w:equalWidth="0" w:num="2">
            <w:col w:w="6100" w:space="300"/>
            <w:col w:w="5020"/>
          </w:cols>
          <w:pgMar w:left="240" w:top="459" w:right="2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1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85"/>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080" w:type="dxa"/>
            <w:vAlign w:val="bottom"/>
            <w:gridSpan w:val="3"/>
          </w:tcPr>
          <w:p>
            <w:pPr>
              <w:ind w:left="23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7"/>
        </w:trPr>
        <w:tc>
          <w:tcPr>
            <w:tcW w:w="660" w:type="dxa"/>
            <w:vAlign w:val="bottom"/>
          </w:tcPr>
          <w:p>
            <w:pPr>
              <w:ind w:left="100"/>
              <w:spacing w:after="0"/>
              <w:rPr>
                <w:sz w:val="20"/>
                <w:szCs w:val="20"/>
                <w:color w:val="auto"/>
              </w:rPr>
            </w:pPr>
            <w:r>
              <w:rPr>
                <w:rFonts w:ascii="Arial" w:cs="Arial" w:eastAsia="Arial" w:hAnsi="Arial"/>
                <w:sz w:val="18"/>
                <w:szCs w:val="18"/>
                <w:color w:val="auto"/>
                <w:w w:val="99"/>
              </w:rPr>
              <w:t>4(h)(1)</w:t>
            </w:r>
          </w:p>
        </w:tc>
        <w:tc>
          <w:tcPr>
            <w:tcW w:w="5080" w:type="dxa"/>
            <w:vAlign w:val="bottom"/>
            <w:gridSpan w:val="3"/>
          </w:tcPr>
          <w:p>
            <w:pPr>
              <w:ind w:left="200"/>
              <w:spacing w:after="0"/>
              <w:rPr>
                <w:sz w:val="20"/>
                <w:szCs w:val="20"/>
                <w:color w:val="auto"/>
              </w:rPr>
            </w:pPr>
            <w:r>
              <w:rPr>
                <w:rFonts w:ascii="Arial" w:cs="Arial" w:eastAsia="Arial" w:hAnsi="Arial"/>
                <w:sz w:val="18"/>
                <w:szCs w:val="18"/>
                <w:color w:val="auto"/>
                <w:w w:val="91"/>
              </w:rPr>
              <w:t>Indenture, dated as of October 30, 2012, among Lamar Media, the</w:t>
            </w:r>
          </w:p>
        </w:tc>
      </w:tr>
      <w:tr>
        <w:trPr>
          <w:trHeight w:val="216"/>
        </w:trPr>
        <w:tc>
          <w:tcPr>
            <w:tcW w:w="660" w:type="dxa"/>
            <w:vAlign w:val="bottom"/>
          </w:tcPr>
          <w:p>
            <w:pPr>
              <w:spacing w:after="0"/>
              <w:rPr>
                <w:sz w:val="18"/>
                <w:szCs w:val="18"/>
                <w:color w:val="auto"/>
              </w:rPr>
            </w:pPr>
          </w:p>
        </w:tc>
        <w:tc>
          <w:tcPr>
            <w:tcW w:w="5080" w:type="dxa"/>
            <w:vAlign w:val="bottom"/>
            <w:gridSpan w:val="3"/>
          </w:tcPr>
          <w:p>
            <w:pPr>
              <w:ind w:left="200"/>
              <w:spacing w:after="0"/>
              <w:rPr>
                <w:sz w:val="20"/>
                <w:szCs w:val="20"/>
                <w:color w:val="auto"/>
              </w:rPr>
            </w:pPr>
            <w:r>
              <w:rPr>
                <w:rFonts w:ascii="Arial" w:cs="Arial" w:eastAsia="Arial" w:hAnsi="Arial"/>
                <w:sz w:val="18"/>
                <w:szCs w:val="18"/>
                <w:color w:val="auto"/>
                <w:w w:val="90"/>
              </w:rPr>
              <w:t>Guarantors named therein and The Bank of New York Mellon Trust</w:t>
            </w:r>
          </w:p>
        </w:tc>
      </w:tr>
      <w:tr>
        <w:trPr>
          <w:trHeight w:val="216"/>
        </w:trPr>
        <w:tc>
          <w:tcPr>
            <w:tcW w:w="660" w:type="dxa"/>
            <w:vAlign w:val="bottom"/>
          </w:tcPr>
          <w:p>
            <w:pPr>
              <w:spacing w:after="0"/>
              <w:rPr>
                <w:sz w:val="18"/>
                <w:szCs w:val="18"/>
                <w:color w:val="auto"/>
              </w:rPr>
            </w:pPr>
          </w:p>
        </w:tc>
        <w:tc>
          <w:tcPr>
            <w:tcW w:w="5080" w:type="dxa"/>
            <w:vAlign w:val="bottom"/>
            <w:gridSpan w:val="3"/>
          </w:tcPr>
          <w:p>
            <w:pPr>
              <w:ind w:left="200"/>
              <w:spacing w:after="0"/>
              <w:rPr>
                <w:sz w:val="20"/>
                <w:szCs w:val="20"/>
                <w:color w:val="auto"/>
              </w:rPr>
            </w:pPr>
            <w:r>
              <w:rPr>
                <w:rFonts w:ascii="Arial" w:cs="Arial" w:eastAsia="Arial" w:hAnsi="Arial"/>
                <w:sz w:val="18"/>
                <w:szCs w:val="18"/>
                <w:color w:val="auto"/>
                <w:w w:val="93"/>
              </w:rPr>
              <w:t>Company, N.A., as Trustee, relating to Lamar Media’s 5% Senior</w:t>
            </w:r>
          </w:p>
        </w:tc>
      </w:tr>
      <w:tr>
        <w:trPr>
          <w:trHeight w:val="230"/>
        </w:trPr>
        <w:tc>
          <w:tcPr>
            <w:tcW w:w="660" w:type="dxa"/>
            <w:vAlign w:val="bottom"/>
          </w:tcPr>
          <w:p>
            <w:pPr>
              <w:spacing w:after="0"/>
              <w:rPr>
                <w:sz w:val="20"/>
                <w:szCs w:val="20"/>
                <w:color w:val="auto"/>
              </w:rPr>
            </w:pPr>
          </w:p>
        </w:tc>
        <w:tc>
          <w:tcPr>
            <w:tcW w:w="5080" w:type="dxa"/>
            <w:vAlign w:val="bottom"/>
            <w:gridSpan w:val="3"/>
          </w:tcPr>
          <w:p>
            <w:pPr>
              <w:ind w:left="200"/>
              <w:spacing w:after="0"/>
              <w:rPr>
                <w:sz w:val="20"/>
                <w:szCs w:val="20"/>
                <w:color w:val="auto"/>
              </w:rPr>
            </w:pPr>
            <w:r>
              <w:rPr>
                <w:rFonts w:ascii="Arial" w:cs="Arial" w:eastAsia="Arial" w:hAnsi="Arial"/>
                <w:sz w:val="18"/>
                <w:szCs w:val="18"/>
                <w:color w:val="auto"/>
              </w:rPr>
              <w:t>Subordinated Notes due 2023.</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w w:val="99"/>
              </w:rPr>
              <w:t>4(h)(2)</w:t>
            </w:r>
          </w:p>
        </w:tc>
        <w:tc>
          <w:tcPr>
            <w:tcW w:w="5080" w:type="dxa"/>
            <w:vAlign w:val="bottom"/>
            <w:gridSpan w:val="3"/>
          </w:tcPr>
          <w:p>
            <w:pPr>
              <w:ind w:left="200"/>
              <w:spacing w:after="0"/>
              <w:rPr>
                <w:sz w:val="20"/>
                <w:szCs w:val="20"/>
                <w:color w:val="auto"/>
              </w:rPr>
            </w:pPr>
            <w:r>
              <w:rPr>
                <w:rFonts w:ascii="Arial" w:cs="Arial" w:eastAsia="Arial" w:hAnsi="Arial"/>
                <w:sz w:val="18"/>
                <w:szCs w:val="18"/>
                <w:color w:val="auto"/>
              </w:rPr>
              <w:t>Form of 5% Senior Subordinated Notes due 2023.</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4(h)(3)</w:t>
      </w:r>
      <w:r>
        <w:rPr>
          <w:sz w:val="20"/>
          <w:szCs w:val="20"/>
          <w:color w:val="auto"/>
        </w:rPr>
        <w:tab/>
      </w:r>
      <w:r>
        <w:rPr>
          <w:rFonts w:ascii="Arial" w:cs="Arial" w:eastAsia="Arial" w:hAnsi="Arial"/>
          <w:sz w:val="16"/>
          <w:szCs w:val="16"/>
          <w:color w:val="auto"/>
        </w:rPr>
        <w:t>Form of 5% Senior Subordinated Exchange Notes due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4(h)(4)</w:t>
        <w:tab/>
        <w:t>Supplemental Indenture to the Indenture dated as of October 30, 2012, among Lamar Media, the Guarantors named therein and The Bank of New York Mellon Trust Company, N.A., as Trustee, dated as of December 30, 2012, relating to Lamar Media’s 5% Senior Subordinated Notes due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(File No. 0-30242) filed on October 31, 2012 and incorporated herein by reference.</w:t>
      </w:r>
    </w:p>
    <w:p>
      <w:pPr>
        <w:spacing w:after="0" w:line="2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Previously filed with the Indenture dated October 30, 2012, filed as Exhibit 4.1 to the Company’s Current Report on Form 8-K (File No. 0-30242) filed on October 31, 2012, and incorporated herein by reference.</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Previously filed with the Indenture dated October 30, 2012, filed as Exhibit 4.1 to the Company’s Current Report on Form 8-K (File No. 0-30242) filed on October 31, 2012, and incorporated herein by reference.</w:t>
      </w:r>
    </w:p>
    <w:p>
      <w:pPr>
        <w:spacing w:after="0" w:line="7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Previously filed as Exhibit 4(h)(4) to the Company’s Annual Report on Form 10-K for the year ended December 31, 2012 (File No. 0-30242) filed on February 28, 2013 and incorporated herein by reference.</w:t>
      </w:r>
    </w:p>
    <w:p>
      <w:pPr>
        <w:spacing w:after="0" w:line="470" w:lineRule="exact"/>
        <w:rPr>
          <w:sz w:val="20"/>
          <w:szCs w:val="20"/>
          <w:color w:val="auto"/>
        </w:rPr>
      </w:pPr>
    </w:p>
    <w:p>
      <w:pPr>
        <w:sectPr>
          <w:pgSz w:w="11900" w:h="16838" w:orient="portrait"/>
          <w:cols w:equalWidth="0" w:num="2">
            <w:col w:w="6120" w:space="160"/>
            <w:col w:w="5140"/>
          </w:cols>
          <w:pgMar w:left="240" w:top="459" w:right="23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4(h)(5)</w:t>
        <w:tab/>
        <w:t>Supplemental Indenture to the Indenture dated as of October 30, 2012, among Lamar Media, the Guarantors named therein and The Bank of New York Mellon Trust Company, N.A., as Trustee, dated as of December 30, 2012, relating to Lamar Media’s 5% Senior Subordinated Notes due 2023.</w:t>
      </w:r>
    </w:p>
    <w:p>
      <w:pPr>
        <w:spacing w:after="0" w:line="20" w:lineRule="exact"/>
        <w:rPr>
          <w:sz w:val="20"/>
          <w:szCs w:val="20"/>
          <w:color w:val="auto"/>
        </w:rPr>
      </w:pPr>
      <w:r>
        <w:rPr>
          <w:sz w:val="20"/>
          <w:szCs w:val="20"/>
          <w:color w:val="auto"/>
        </w:rPr>
        <w:br w:type="column"/>
      </w:r>
    </w:p>
    <w:p>
      <w:pPr>
        <w:ind w:right="20"/>
        <w:spacing w:after="0" w:line="312" w:lineRule="auto"/>
        <w:rPr>
          <w:sz w:val="20"/>
          <w:szCs w:val="20"/>
          <w:color w:val="auto"/>
        </w:rPr>
      </w:pPr>
      <w:r>
        <w:rPr>
          <w:rFonts w:ascii="Arial" w:cs="Arial" w:eastAsia="Arial" w:hAnsi="Arial"/>
          <w:sz w:val="16"/>
          <w:szCs w:val="16"/>
          <w:color w:val="auto"/>
        </w:rPr>
        <w:t>Previously filed as Exhibit 4(h)(5) to the Company’s Annual Report on Form 10-K for the year ended December 31, 2012 (File No. 0-30242) filed on February 28, 2013 and incorporated herein by reference.</w:t>
      </w:r>
    </w:p>
    <w:p>
      <w:pPr>
        <w:spacing w:after="0" w:line="470" w:lineRule="exact"/>
        <w:rPr>
          <w:sz w:val="20"/>
          <w:szCs w:val="20"/>
          <w:color w:val="auto"/>
        </w:rPr>
      </w:pPr>
    </w:p>
    <w:p>
      <w:pPr>
        <w:sectPr>
          <w:pgSz w:w="11900" w:h="16838" w:orient="portrait"/>
          <w:cols w:equalWidth="0" w:num="2">
            <w:col w:w="6120" w:space="160"/>
            <w:col w:w="5140"/>
          </w:cols>
          <w:pgMar w:left="240" w:top="459" w:right="23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4(h)(6)</w:t>
        <w:tab/>
        <w:t>Supplemental Indenture to the Indenture dated as of October 30, 2012, among Lamar Media, the Guarantors named therein and The Bank of New York Mellon Trust Company, N.A., as Trustee, dated as of December 30, 2012, relating to Lamar Media’s 5% Senior Subordinated Notes due 2023.</w:t>
      </w:r>
    </w:p>
    <w:p>
      <w:pPr>
        <w:spacing w:after="0" w:line="20" w:lineRule="exact"/>
        <w:rPr>
          <w:sz w:val="20"/>
          <w:szCs w:val="20"/>
          <w:color w:val="auto"/>
        </w:rPr>
      </w:pPr>
      <w:r>
        <w:rPr>
          <w:sz w:val="20"/>
          <w:szCs w:val="20"/>
          <w:color w:val="auto"/>
        </w:rPr>
        <w:br w:type="column"/>
      </w:r>
    </w:p>
    <w:p>
      <w:pPr>
        <w:ind w:right="20"/>
        <w:spacing w:after="0" w:line="312" w:lineRule="auto"/>
        <w:rPr>
          <w:sz w:val="20"/>
          <w:szCs w:val="20"/>
          <w:color w:val="auto"/>
        </w:rPr>
      </w:pPr>
      <w:r>
        <w:rPr>
          <w:rFonts w:ascii="Arial" w:cs="Arial" w:eastAsia="Arial" w:hAnsi="Arial"/>
          <w:sz w:val="16"/>
          <w:szCs w:val="16"/>
          <w:color w:val="auto"/>
        </w:rPr>
        <w:t>Previously filed as Exhibit 4(h)(6) to the Company’s Annual Report on Form 10-K for the year ended December 31, 2012 (File No. 0-30242) filed on February 28, 2013 and incorporated herein by reference.</w:t>
      </w:r>
    </w:p>
    <w:p>
      <w:pPr>
        <w:spacing w:after="0" w:line="470" w:lineRule="exact"/>
        <w:rPr>
          <w:sz w:val="20"/>
          <w:szCs w:val="20"/>
          <w:color w:val="auto"/>
        </w:rPr>
      </w:pPr>
    </w:p>
    <w:p>
      <w:pPr>
        <w:sectPr>
          <w:pgSz w:w="11900" w:h="16838" w:orient="portrait"/>
          <w:cols w:equalWidth="0" w:num="2">
            <w:col w:w="6120" w:space="160"/>
            <w:col w:w="5140"/>
          </w:cols>
          <w:pgMar w:left="240" w:top="459" w:right="239" w:bottom="1440" w:gutter="0" w:footer="0" w:header="0"/>
          <w:type w:val="continuous"/>
        </w:sectPr>
      </w:pPr>
    </w:p>
    <w:p>
      <w:pPr>
        <w:ind w:left="940" w:hanging="751"/>
        <w:spacing w:after="0" w:line="257" w:lineRule="auto"/>
        <w:tabs>
          <w:tab w:leader="none" w:pos="920" w:val="left"/>
        </w:tabs>
        <w:rPr>
          <w:sz w:val="20"/>
          <w:szCs w:val="20"/>
          <w:color w:val="auto"/>
        </w:rPr>
      </w:pPr>
      <w:r>
        <w:rPr>
          <w:rFonts w:ascii="Arial" w:cs="Arial" w:eastAsia="Arial" w:hAnsi="Arial"/>
          <w:sz w:val="18"/>
          <w:szCs w:val="18"/>
          <w:color w:val="auto"/>
        </w:rPr>
        <w:t>4(h)(7)</w:t>
        <w:tab/>
        <w:t>Supplemental Indenture to the Indenture dated as of October 30, 2012, among Lamar Media, the Guarantors named therein and The Bank of New York Mellon Trust Company, N.A., as Trustee, dated as of May 31, 2013, relating to Lamar Media’s 5% Senior Subordinated Notes due 2023.</w:t>
      </w:r>
    </w:p>
    <w:p>
      <w:pPr>
        <w:spacing w:after="0" w:line="80" w:lineRule="exact"/>
        <w:rPr>
          <w:sz w:val="20"/>
          <w:szCs w:val="20"/>
          <w:color w:val="auto"/>
        </w:rPr>
      </w:pPr>
    </w:p>
    <w:p>
      <w:pPr>
        <w:ind w:left="940" w:right="40" w:hanging="751"/>
        <w:spacing w:after="0" w:line="257" w:lineRule="auto"/>
        <w:tabs>
          <w:tab w:leader="none" w:pos="920" w:val="left"/>
        </w:tabs>
        <w:rPr>
          <w:sz w:val="20"/>
          <w:szCs w:val="20"/>
          <w:color w:val="auto"/>
        </w:rPr>
      </w:pPr>
      <w:r>
        <w:rPr>
          <w:rFonts w:ascii="Arial" w:cs="Arial" w:eastAsia="Arial" w:hAnsi="Arial"/>
          <w:sz w:val="18"/>
          <w:szCs w:val="18"/>
          <w:color w:val="auto"/>
        </w:rPr>
        <w:t>4(h)(8)</w:t>
        <w:tab/>
        <w:t>Supplemental Indenture to the Indenture dated as of October 30, 2012, among Lamar Media, the Guarantors named therein and The Bank of New York Mellon Trust Company, N.A., as Trustee, dated as of January 2, 2014, relating to Lamar Media’s 5% Senior Subordinated Notes due 2023.</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7"/>
          <w:szCs w:val="17"/>
          <w:color w:val="auto"/>
        </w:rPr>
        <w:t>Previously filed as Exhibit 4.4 to Lamar Media’s Quarterly Report on Form 10-Q for the period ended June 30, 2013 (File No. 1-12407) filed on August 8, 2013 and incorporated herein by reference.</w:t>
      </w:r>
    </w:p>
    <w:p>
      <w:pPr>
        <w:spacing w:after="0" w:line="200" w:lineRule="exact"/>
        <w:rPr>
          <w:sz w:val="20"/>
          <w:szCs w:val="20"/>
          <w:color w:val="auto"/>
        </w:rPr>
      </w:pPr>
    </w:p>
    <w:p>
      <w:pPr>
        <w:spacing w:after="0" w:line="29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Previously filed as Exhibit 4.5 to Lamar Media’s Quarterly Report on Form 10-Q for the period ended March 31, 2014 (File No. 1-12407) filed on May 7, 2014 and incorporated herein by reference.</w:t>
      </w:r>
    </w:p>
    <w:p>
      <w:pPr>
        <w:spacing w:after="0" w:line="489" w:lineRule="exact"/>
        <w:rPr>
          <w:sz w:val="20"/>
          <w:szCs w:val="20"/>
          <w:color w:val="auto"/>
        </w:rPr>
      </w:pPr>
    </w:p>
    <w:p>
      <w:pPr>
        <w:sectPr>
          <w:pgSz w:w="11900" w:h="16838" w:orient="portrait"/>
          <w:cols w:equalWidth="0" w:num="2">
            <w:col w:w="6160" w:space="120"/>
            <w:col w:w="5140"/>
          </w:cols>
          <w:pgMar w:left="240" w:top="459" w:right="239" w:bottom="1440" w:gutter="0" w:footer="0" w:header="0"/>
          <w:type w:val="continuous"/>
        </w:sectPr>
      </w:pPr>
    </w:p>
    <w:p>
      <w:pPr>
        <w:ind w:left="940" w:hanging="751"/>
        <w:spacing w:after="0" w:line="259" w:lineRule="auto"/>
        <w:tabs>
          <w:tab w:leader="none" w:pos="920" w:val="left"/>
        </w:tabs>
        <w:rPr>
          <w:sz w:val="20"/>
          <w:szCs w:val="20"/>
          <w:color w:val="auto"/>
        </w:rPr>
      </w:pPr>
      <w:r>
        <w:rPr>
          <w:rFonts w:ascii="Arial" w:cs="Arial" w:eastAsia="Arial" w:hAnsi="Arial"/>
          <w:sz w:val="18"/>
          <w:szCs w:val="18"/>
          <w:color w:val="auto"/>
        </w:rPr>
        <w:t>4(i)(1)</w:t>
      </w:r>
      <w:r>
        <w:rPr>
          <w:sz w:val="20"/>
          <w:szCs w:val="20"/>
          <w:color w:val="auto"/>
        </w:rPr>
        <w:tab/>
      </w:r>
      <w:r>
        <w:rPr>
          <w:rFonts w:ascii="Arial" w:cs="Arial" w:eastAsia="Arial" w:hAnsi="Arial"/>
          <w:sz w:val="18"/>
          <w:szCs w:val="18"/>
          <w:color w:val="auto"/>
        </w:rPr>
        <w:t>Indenture, dated as of January 10, 2014, between Lamar Media, the Guarantors named therein and The Bank of New York Mellon Trust Company, N.A., as Trustee, relating to Lamar Media’s 5 3/8% Senior Notes due 2024.</w:t>
      </w:r>
    </w:p>
    <w:p>
      <w:pPr>
        <w:spacing w:after="0" w:line="20" w:lineRule="exact"/>
        <w:rPr>
          <w:sz w:val="20"/>
          <w:szCs w:val="20"/>
          <w:color w:val="auto"/>
        </w:rPr>
      </w:pPr>
      <w:r>
        <w:rPr>
          <w:sz w:val="20"/>
          <w:szCs w:val="20"/>
          <w:color w:val="auto"/>
        </w:rPr>
        <w:br w:type="column"/>
      </w:r>
    </w:p>
    <w:p>
      <w:pPr>
        <w:ind w:right="280"/>
        <w:spacing w:after="0" w:line="264" w:lineRule="auto"/>
        <w:rPr>
          <w:sz w:val="20"/>
          <w:szCs w:val="20"/>
          <w:color w:val="auto"/>
        </w:rPr>
      </w:pPr>
      <w:r>
        <w:rPr>
          <w:rFonts w:ascii="Arial" w:cs="Arial" w:eastAsia="Arial" w:hAnsi="Arial"/>
          <w:sz w:val="18"/>
          <w:szCs w:val="18"/>
          <w:color w:val="auto"/>
        </w:rPr>
        <w:t>Previously filed as Exhibit 4.1 to the Company’s Current Report on Form 8-K (File No. 0-30242) filed on January 15, 2014 and incorporated herein by reference.</w:t>
      </w:r>
    </w:p>
    <w:p>
      <w:pPr>
        <w:spacing w:after="0" w:line="289" w:lineRule="exact"/>
        <w:rPr>
          <w:sz w:val="20"/>
          <w:szCs w:val="20"/>
          <w:color w:val="auto"/>
        </w:rPr>
      </w:pPr>
    </w:p>
    <w:p>
      <w:pPr>
        <w:sectPr>
          <w:pgSz w:w="11900" w:h="16838" w:orient="portrait"/>
          <w:cols w:equalWidth="0" w:num="2">
            <w:col w:w="5920" w:space="360"/>
            <w:col w:w="5140"/>
          </w:cols>
          <w:pgMar w:left="240" w:top="459" w:right="239" w:bottom="1440" w:gutter="0" w:footer="0" w:header="0"/>
          <w:type w:val="continuous"/>
        </w:sectPr>
      </w:pPr>
    </w:p>
    <w:p>
      <w:pPr>
        <w:ind w:left="180"/>
        <w:spacing w:after="0"/>
        <w:tabs>
          <w:tab w:leader="none" w:pos="920" w:val="left"/>
        </w:tabs>
        <w:rPr>
          <w:sz w:val="20"/>
          <w:szCs w:val="20"/>
          <w:color w:val="auto"/>
        </w:rPr>
      </w:pPr>
      <w:r>
        <w:rPr>
          <w:rFonts w:ascii="Arial" w:cs="Arial" w:eastAsia="Arial" w:hAnsi="Arial"/>
          <w:sz w:val="18"/>
          <w:szCs w:val="18"/>
          <w:color w:val="auto"/>
        </w:rPr>
        <w:t>4(i)(2)</w:t>
      </w:r>
      <w:r>
        <w:rPr>
          <w:sz w:val="20"/>
          <w:szCs w:val="20"/>
          <w:color w:val="auto"/>
        </w:rPr>
        <w:tab/>
      </w:r>
      <w:r>
        <w:rPr>
          <w:rFonts w:ascii="Arial" w:cs="Arial" w:eastAsia="Arial" w:hAnsi="Arial"/>
          <w:sz w:val="16"/>
          <w:szCs w:val="16"/>
          <w:color w:val="auto"/>
        </w:rPr>
        <w:t>Form of 5 3/8% Senior Notes due 2024.</w:t>
      </w:r>
    </w:p>
    <w:p>
      <w:pPr>
        <w:spacing w:after="0" w:line="20" w:lineRule="exact"/>
        <w:rPr>
          <w:sz w:val="20"/>
          <w:szCs w:val="20"/>
          <w:color w:val="auto"/>
        </w:rPr>
      </w:pPr>
      <w:r>
        <w:rPr>
          <w:sz w:val="20"/>
          <w:szCs w:val="20"/>
          <w:color w:val="auto"/>
        </w:rPr>
        <w:br w:type="column"/>
      </w:r>
    </w:p>
    <w:p>
      <w:pPr>
        <w:ind w:left="660"/>
        <w:spacing w:after="0" w:line="312" w:lineRule="auto"/>
        <w:rPr>
          <w:sz w:val="20"/>
          <w:szCs w:val="20"/>
          <w:color w:val="auto"/>
        </w:rPr>
      </w:pPr>
      <w:r>
        <w:rPr>
          <w:rFonts w:ascii="Arial" w:cs="Arial" w:eastAsia="Arial" w:hAnsi="Arial"/>
          <w:sz w:val="16"/>
          <w:szCs w:val="16"/>
          <w:color w:val="auto"/>
        </w:rPr>
        <w:t>Previously filed with the Indenture dated January 10, 2014, filed as Exhibit 4.1 to the Company’s Current Report on Form 8-K (File No. 0-30242) filed on January 15, 2014 and incorporated herein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96</w:t>
      </w:r>
    </w:p>
    <w:p>
      <w:pPr>
        <w:sectPr>
          <w:pgSz w:w="11900" w:h="16838" w:orient="portrait"/>
          <w:cols w:equalWidth="0" w:num="2">
            <w:col w:w="4900" w:space="720"/>
            <w:col w:w="5800"/>
          </w:cols>
          <w:pgMar w:left="240" w:top="45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000" w:type="dxa"/>
            <w:vAlign w:val="bottom"/>
            <w:gridSpan w:val="3"/>
          </w:tcPr>
          <w:p>
            <w:pPr>
              <w:ind w:left="23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1"/>
        </w:trPr>
        <w:tc>
          <w:tcPr>
            <w:tcW w:w="660" w:type="dxa"/>
            <w:vAlign w:val="bottom"/>
          </w:tcPr>
          <w:p>
            <w:pPr>
              <w:ind w:left="40"/>
              <w:spacing w:after="0"/>
              <w:rPr>
                <w:sz w:val="20"/>
                <w:szCs w:val="20"/>
                <w:color w:val="auto"/>
              </w:rPr>
            </w:pPr>
            <w:r>
              <w:rPr>
                <w:rFonts w:ascii="Arial" w:cs="Arial" w:eastAsia="Arial" w:hAnsi="Arial"/>
                <w:sz w:val="18"/>
                <w:szCs w:val="18"/>
                <w:color w:val="auto"/>
              </w:rPr>
              <w:t>4(i)(3)</w:t>
            </w:r>
          </w:p>
        </w:tc>
        <w:tc>
          <w:tcPr>
            <w:tcW w:w="4000" w:type="dxa"/>
            <w:vAlign w:val="bottom"/>
            <w:gridSpan w:val="3"/>
          </w:tcPr>
          <w:p>
            <w:pPr>
              <w:ind w:left="360"/>
              <w:spacing w:after="0"/>
              <w:rPr>
                <w:sz w:val="20"/>
                <w:szCs w:val="20"/>
                <w:color w:val="auto"/>
              </w:rPr>
            </w:pPr>
            <w:r>
              <w:rPr>
                <w:rFonts w:ascii="Arial" w:cs="Arial" w:eastAsia="Arial" w:hAnsi="Arial"/>
                <w:sz w:val="18"/>
                <w:szCs w:val="18"/>
                <w:color w:val="auto"/>
                <w:w w:val="89"/>
              </w:rPr>
              <w:t>Form of 5 3/8% Senior Exchange Notes due 2024.</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60" w:right="560" w:hanging="1059"/>
        <w:spacing w:after="0" w:line="277" w:lineRule="auto"/>
        <w:tabs>
          <w:tab w:leader="none" w:pos="1140" w:val="left"/>
        </w:tabs>
        <w:rPr>
          <w:sz w:val="20"/>
          <w:szCs w:val="20"/>
          <w:color w:val="auto"/>
        </w:rPr>
      </w:pPr>
      <w:r>
        <w:rPr>
          <w:rFonts w:ascii="Arial" w:cs="Arial" w:eastAsia="Arial" w:hAnsi="Arial"/>
          <w:sz w:val="18"/>
          <w:szCs w:val="18"/>
          <w:color w:val="auto"/>
        </w:rPr>
        <w:t>10(a)(1)*</w:t>
      </w:r>
      <w:r>
        <w:rPr>
          <w:sz w:val="20"/>
          <w:szCs w:val="20"/>
          <w:color w:val="auto"/>
        </w:rPr>
        <w:tab/>
      </w:r>
      <w:r>
        <w:rPr>
          <w:rFonts w:ascii="Arial" w:cs="Arial" w:eastAsia="Arial" w:hAnsi="Arial"/>
          <w:sz w:val="18"/>
          <w:szCs w:val="18"/>
          <w:color w:val="auto"/>
        </w:rPr>
        <w:t>Lamar Advertising Company 1996 Equity Incentive Plan, as amended and restated.</w:t>
      </w:r>
    </w:p>
    <w:p>
      <w:pPr>
        <w:spacing w:after="0" w:line="279" w:lineRule="exact"/>
        <w:rPr>
          <w:sz w:val="20"/>
          <w:szCs w:val="20"/>
          <w:color w:val="auto"/>
        </w:rPr>
      </w:pPr>
    </w:p>
    <w:p>
      <w:pPr>
        <w:ind w:left="1160" w:right="120" w:hanging="1059"/>
        <w:spacing w:after="0" w:line="277" w:lineRule="auto"/>
        <w:tabs>
          <w:tab w:leader="none" w:pos="1140" w:val="left"/>
        </w:tabs>
        <w:rPr>
          <w:sz w:val="20"/>
          <w:szCs w:val="20"/>
          <w:color w:val="auto"/>
        </w:rPr>
      </w:pPr>
      <w:r>
        <w:rPr>
          <w:rFonts w:ascii="Arial" w:cs="Arial" w:eastAsia="Arial" w:hAnsi="Arial"/>
          <w:sz w:val="18"/>
          <w:szCs w:val="18"/>
          <w:color w:val="auto"/>
        </w:rPr>
        <w:t>10(a)(2)*</w:t>
      </w:r>
      <w:r>
        <w:rPr>
          <w:sz w:val="20"/>
          <w:szCs w:val="20"/>
          <w:color w:val="auto"/>
        </w:rPr>
        <w:tab/>
      </w:r>
      <w:r>
        <w:rPr>
          <w:rFonts w:ascii="Arial" w:cs="Arial" w:eastAsia="Arial" w:hAnsi="Arial"/>
          <w:sz w:val="18"/>
          <w:szCs w:val="18"/>
          <w:color w:val="auto"/>
        </w:rPr>
        <w:t>Form of Stock Option Agreement under the 1996 Equity Incentive Plan, as amended.</w:t>
      </w: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10(a)(3)*</w:t>
      </w:r>
      <w:r>
        <w:rPr>
          <w:sz w:val="20"/>
          <w:szCs w:val="20"/>
          <w:color w:val="auto"/>
        </w:rPr>
        <w:tab/>
      </w:r>
      <w:r>
        <w:rPr>
          <w:rFonts w:ascii="Arial" w:cs="Arial" w:eastAsia="Arial" w:hAnsi="Arial"/>
          <w:sz w:val="18"/>
          <w:szCs w:val="18"/>
          <w:color w:val="auto"/>
        </w:rPr>
        <w:t>Form of Restricted Stock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7"/>
          <w:szCs w:val="17"/>
          <w:color w:val="auto"/>
        </w:rPr>
        <w:t>10(a)(4)*</w:t>
      </w:r>
      <w:r>
        <w:rPr>
          <w:sz w:val="20"/>
          <w:szCs w:val="20"/>
          <w:color w:val="auto"/>
        </w:rPr>
        <w:tab/>
      </w:r>
      <w:r>
        <w:rPr>
          <w:rFonts w:ascii="Arial" w:cs="Arial" w:eastAsia="Arial" w:hAnsi="Arial"/>
          <w:sz w:val="17"/>
          <w:szCs w:val="17"/>
          <w:color w:val="auto"/>
        </w:rPr>
        <w:t>Form of Restricted Stock Agreement for Non-Employee directors.</w:t>
      </w:r>
    </w:p>
    <w:p>
      <w:pPr>
        <w:spacing w:after="0" w:line="200" w:lineRule="exact"/>
        <w:rPr>
          <w:sz w:val="20"/>
          <w:szCs w:val="20"/>
          <w:color w:val="auto"/>
        </w:rPr>
      </w:pPr>
    </w:p>
    <w:p>
      <w:pPr>
        <w:spacing w:after="0" w:line="361"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10(b)*</w:t>
      </w:r>
      <w:r>
        <w:rPr>
          <w:sz w:val="20"/>
          <w:szCs w:val="20"/>
          <w:color w:val="auto"/>
        </w:rPr>
        <w:tab/>
      </w:r>
      <w:r>
        <w:rPr>
          <w:rFonts w:ascii="Arial" w:cs="Arial" w:eastAsia="Arial" w:hAnsi="Arial"/>
          <w:sz w:val="18"/>
          <w:szCs w:val="18"/>
          <w:color w:val="auto"/>
        </w:rPr>
        <w:t>2009 Employee Stock Purchase Plan, as amended.</w:t>
      </w:r>
    </w:p>
    <w:p>
      <w:pPr>
        <w:spacing w:after="0" w:line="200" w:lineRule="exact"/>
        <w:rPr>
          <w:sz w:val="20"/>
          <w:szCs w:val="20"/>
          <w:color w:val="auto"/>
        </w:rPr>
      </w:pPr>
    </w:p>
    <w:p>
      <w:pPr>
        <w:spacing w:after="0" w:line="349" w:lineRule="exact"/>
        <w:rPr>
          <w:sz w:val="20"/>
          <w:szCs w:val="20"/>
          <w:color w:val="auto"/>
        </w:rPr>
      </w:pPr>
    </w:p>
    <w:p>
      <w:pPr>
        <w:ind w:left="1160" w:right="820" w:hanging="1059"/>
        <w:spacing w:after="0" w:line="277" w:lineRule="auto"/>
        <w:tabs>
          <w:tab w:leader="none" w:pos="1140" w:val="left"/>
        </w:tabs>
        <w:rPr>
          <w:sz w:val="20"/>
          <w:szCs w:val="20"/>
          <w:color w:val="auto"/>
        </w:rPr>
      </w:pPr>
      <w:r>
        <w:rPr>
          <w:rFonts w:ascii="Arial" w:cs="Arial" w:eastAsia="Arial" w:hAnsi="Arial"/>
          <w:sz w:val="18"/>
          <w:szCs w:val="18"/>
          <w:color w:val="auto"/>
        </w:rPr>
        <w:t>10(c)*</w:t>
      </w:r>
      <w:r>
        <w:rPr>
          <w:sz w:val="20"/>
          <w:szCs w:val="20"/>
          <w:color w:val="auto"/>
        </w:rPr>
        <w:tab/>
      </w:r>
      <w:r>
        <w:rPr>
          <w:rFonts w:ascii="Arial" w:cs="Arial" w:eastAsia="Arial" w:hAnsi="Arial"/>
          <w:sz w:val="18"/>
          <w:szCs w:val="18"/>
          <w:color w:val="auto"/>
        </w:rPr>
        <w:t>Lamar Advertising Company Non-Management Director Compensation Plan.</w:t>
      </w:r>
    </w:p>
    <w:p>
      <w:pPr>
        <w:spacing w:after="0" w:line="279"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10(d)(1)*</w:t>
      </w:r>
      <w:r>
        <w:rPr>
          <w:sz w:val="20"/>
          <w:szCs w:val="20"/>
          <w:color w:val="auto"/>
        </w:rPr>
        <w:tab/>
      </w:r>
      <w:r>
        <w:rPr>
          <w:rFonts w:ascii="Arial" w:cs="Arial" w:eastAsia="Arial" w:hAnsi="Arial"/>
          <w:sz w:val="18"/>
          <w:szCs w:val="18"/>
          <w:color w:val="auto"/>
        </w:rPr>
        <w:t>Lamar Deferred Compensation Plan (as amended).</w:t>
      </w:r>
    </w:p>
    <w:p>
      <w:pPr>
        <w:spacing w:after="0" w:line="200" w:lineRule="exact"/>
        <w:rPr>
          <w:sz w:val="20"/>
          <w:szCs w:val="20"/>
          <w:color w:val="auto"/>
        </w:rPr>
      </w:pPr>
    </w:p>
    <w:p>
      <w:pPr>
        <w:spacing w:after="0" w:line="349" w:lineRule="exact"/>
        <w:rPr>
          <w:sz w:val="20"/>
          <w:szCs w:val="20"/>
          <w:color w:val="auto"/>
        </w:rPr>
      </w:pPr>
    </w:p>
    <w:p>
      <w:pPr>
        <w:ind w:left="1160" w:right="280" w:hanging="1059"/>
        <w:spacing w:after="0" w:line="277" w:lineRule="auto"/>
        <w:tabs>
          <w:tab w:leader="none" w:pos="1140" w:val="left"/>
        </w:tabs>
        <w:rPr>
          <w:sz w:val="20"/>
          <w:szCs w:val="20"/>
          <w:color w:val="auto"/>
        </w:rPr>
      </w:pPr>
      <w:r>
        <w:rPr>
          <w:rFonts w:ascii="Arial" w:cs="Arial" w:eastAsia="Arial" w:hAnsi="Arial"/>
          <w:sz w:val="18"/>
          <w:szCs w:val="18"/>
          <w:color w:val="auto"/>
        </w:rPr>
        <w:t>10(d)(2)*</w:t>
      </w:r>
      <w:r>
        <w:rPr>
          <w:sz w:val="20"/>
          <w:szCs w:val="20"/>
          <w:color w:val="auto"/>
        </w:rPr>
        <w:tab/>
      </w:r>
      <w:r>
        <w:rPr>
          <w:rFonts w:ascii="Arial" w:cs="Arial" w:eastAsia="Arial" w:hAnsi="Arial"/>
          <w:sz w:val="18"/>
          <w:szCs w:val="18"/>
          <w:color w:val="auto"/>
        </w:rPr>
        <w:t>Form of Trust Agreement for the Lamar Deferred Compensation Plan.</w:t>
      </w:r>
    </w:p>
    <w:p>
      <w:pPr>
        <w:spacing w:after="0" w:line="279" w:lineRule="exact"/>
        <w:rPr>
          <w:sz w:val="20"/>
          <w:szCs w:val="20"/>
          <w:color w:val="auto"/>
        </w:rPr>
      </w:pPr>
    </w:p>
    <w:p>
      <w:pPr>
        <w:ind w:left="1160" w:right="500" w:hanging="1059"/>
        <w:spacing w:after="0" w:line="277" w:lineRule="auto"/>
        <w:tabs>
          <w:tab w:leader="none" w:pos="1140" w:val="left"/>
        </w:tabs>
        <w:rPr>
          <w:sz w:val="20"/>
          <w:szCs w:val="20"/>
          <w:color w:val="auto"/>
        </w:rPr>
      </w:pPr>
      <w:r>
        <w:rPr>
          <w:rFonts w:ascii="Arial" w:cs="Arial" w:eastAsia="Arial" w:hAnsi="Arial"/>
          <w:sz w:val="18"/>
          <w:szCs w:val="18"/>
          <w:color w:val="auto"/>
        </w:rPr>
        <w:t>10(d)(3)*</w:t>
      </w:r>
      <w:r>
        <w:rPr>
          <w:sz w:val="20"/>
          <w:szCs w:val="20"/>
          <w:color w:val="auto"/>
        </w:rPr>
        <w:tab/>
      </w:r>
      <w:r>
        <w:rPr>
          <w:rFonts w:ascii="Arial" w:cs="Arial" w:eastAsia="Arial" w:hAnsi="Arial"/>
          <w:sz w:val="18"/>
          <w:szCs w:val="18"/>
          <w:color w:val="auto"/>
        </w:rPr>
        <w:t>Amendment to the Lamar Deferred Compensation Plan dated December 13, 2013.</w:t>
      </w: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6"/>
          <w:szCs w:val="16"/>
          <w:color w:val="auto"/>
        </w:rPr>
        <w:t>10(e)*</w:t>
      </w:r>
      <w:r>
        <w:rPr>
          <w:sz w:val="20"/>
          <w:szCs w:val="20"/>
          <w:color w:val="auto"/>
        </w:rPr>
        <w:tab/>
      </w:r>
      <w:r>
        <w:rPr>
          <w:rFonts w:ascii="Arial" w:cs="Arial" w:eastAsia="Arial" w:hAnsi="Arial"/>
          <w:sz w:val="16"/>
          <w:szCs w:val="16"/>
          <w:color w:val="auto"/>
        </w:rPr>
        <w:t>Summary of Compensatory Arrangements, dated March 20, 2014.</w:t>
      </w:r>
    </w:p>
    <w:p>
      <w:pPr>
        <w:spacing w:after="0" w:line="200" w:lineRule="exact"/>
        <w:rPr>
          <w:sz w:val="20"/>
          <w:szCs w:val="20"/>
          <w:color w:val="auto"/>
        </w:rPr>
      </w:pPr>
    </w:p>
    <w:p>
      <w:pPr>
        <w:spacing w:after="0" w:line="372" w:lineRule="exact"/>
        <w:rPr>
          <w:sz w:val="20"/>
          <w:szCs w:val="20"/>
          <w:color w:val="auto"/>
        </w:rPr>
      </w:pPr>
    </w:p>
    <w:p>
      <w:pPr>
        <w:ind w:left="1160" w:hanging="1059"/>
        <w:spacing w:after="0" w:line="297" w:lineRule="auto"/>
        <w:tabs>
          <w:tab w:leader="none" w:pos="1140" w:val="left"/>
        </w:tabs>
        <w:rPr>
          <w:sz w:val="20"/>
          <w:szCs w:val="20"/>
          <w:color w:val="auto"/>
        </w:rPr>
      </w:pPr>
      <w:r>
        <w:rPr>
          <w:rFonts w:ascii="Arial" w:cs="Arial" w:eastAsia="Arial" w:hAnsi="Arial"/>
          <w:sz w:val="16"/>
          <w:szCs w:val="16"/>
          <w:color w:val="auto"/>
        </w:rPr>
        <w:t>10(f)(1)</w:t>
      </w:r>
      <w:r>
        <w:rPr>
          <w:sz w:val="20"/>
          <w:szCs w:val="20"/>
          <w:color w:val="auto"/>
        </w:rPr>
        <w:tab/>
      </w:r>
      <w:r>
        <w:rPr>
          <w:rFonts w:ascii="Arial" w:cs="Arial" w:eastAsia="Arial" w:hAnsi="Arial"/>
          <w:sz w:val="16"/>
          <w:szCs w:val="16"/>
          <w:color w:val="auto"/>
        </w:rPr>
        <w:t>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Previously filed with the Indenture dated January 10, 2014, filed as Exhibit 4.1 to the Company’s Current Report on Form 8-K (File No. 0-30242) filed on January 15, 2014 and incorporated herein by reference.</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0-30242) filed on May 24, 2013 and incorporated herein by reference.</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Previously filed as Exhibit 10.14 to the Company’s Annual Report on Form 10-K for the year ended December 31, 2004 (File No. 0-30242) filed on March 10, 2005 and incorporated herein by reference.</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Previously filed as Exhibit 10.16 of the Company’s Annual Report on Form 10-K for the year ended December 31, 2005 (File No. 0-30242) filed on March 15, 2006 and incorporated herein by reference.</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0-30242) filed on May 30, 2007 and incorporated herein by reference.</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0-30242) filed on May 29, 2012 and incorporated herein by reference.</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the Company’s Current Report on Form 8-K (File No. 0-30242) filed on May 30, 2007 and incorporated herein by reference.</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0-30242) filed on August 27, 2007 and incorporated herein by reference.</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Previously filed as Exhibit 10.2 to the Company’s Current Report on Form 8-K (File No. 0-30242) filed on December 14, 2005 and incorporated herein by reference.</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Previously filed as Exhibit 10(d)(3) to the Company’s Annual Report on Form 10-K for the year ended December 31, 2013 (File No. 0-30242) filed on February 27, 2014 and incorporated herein by reference.</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the Company’s Current Report on Form 8-K (File No. 0-30242) filed on March 24, 2014 and incorporated herein by reference.</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0-30242) filed on May 3, 2010, and incorporated herein by reference.</w:t>
      </w:r>
    </w:p>
    <w:p>
      <w:pPr>
        <w:sectPr>
          <w:pgSz w:w="11900" w:h="16838" w:orient="portrait"/>
          <w:cols w:equalWidth="0" w:num="2">
            <w:col w:w="6080" w:space="320"/>
            <w:col w:w="50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ind w:left="40"/>
        <w:spacing w:after="0" w:line="180" w:lineRule="auto"/>
        <w:tabs>
          <w:tab w:leader="none" w:pos="298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ind w:left="920" w:hanging="819"/>
        <w:spacing w:after="0" w:line="269" w:lineRule="auto"/>
        <w:tabs>
          <w:tab w:leader="none" w:pos="900" w:val="left"/>
        </w:tabs>
        <w:rPr>
          <w:sz w:val="20"/>
          <w:szCs w:val="20"/>
          <w:color w:val="auto"/>
        </w:rPr>
      </w:pPr>
      <w:r>
        <w:rPr>
          <w:rFonts w:ascii="Arial" w:cs="Arial" w:eastAsia="Arial" w:hAnsi="Arial"/>
          <w:sz w:val="17"/>
          <w:szCs w:val="17"/>
          <w:color w:val="auto"/>
        </w:rPr>
        <w:t>10(f)(2)</w:t>
      </w:r>
      <w:r>
        <w:rPr>
          <w:sz w:val="20"/>
          <w:szCs w:val="20"/>
          <w:color w:val="auto"/>
        </w:rPr>
        <w:tab/>
      </w:r>
      <w:r>
        <w:rPr>
          <w:rFonts w:ascii="Arial" w:cs="Arial" w:eastAsia="Arial" w:hAnsi="Arial"/>
          <w:sz w:val="17"/>
          <w:szCs w:val="17"/>
          <w:color w:val="auto"/>
        </w:rPr>
        <w:t>Amendment No. 1, dated as of June 11, 2010,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74" w:lineRule="exact"/>
        <w:rPr>
          <w:sz w:val="20"/>
          <w:szCs w:val="20"/>
          <w:color w:val="auto"/>
        </w:rPr>
      </w:pPr>
    </w:p>
    <w:p>
      <w:pPr>
        <w:ind w:left="920" w:right="280" w:hanging="819"/>
        <w:spacing w:after="0" w:line="293" w:lineRule="auto"/>
        <w:tabs>
          <w:tab w:leader="none" w:pos="900" w:val="left"/>
        </w:tabs>
        <w:rPr>
          <w:sz w:val="20"/>
          <w:szCs w:val="20"/>
          <w:color w:val="auto"/>
        </w:rPr>
      </w:pPr>
      <w:r>
        <w:rPr>
          <w:rFonts w:ascii="Arial" w:cs="Arial" w:eastAsia="Arial" w:hAnsi="Arial"/>
          <w:sz w:val="16"/>
          <w:szCs w:val="16"/>
          <w:color w:val="auto"/>
        </w:rPr>
        <w:t>10(f)(3)</w:t>
      </w:r>
      <w:r>
        <w:rPr>
          <w:sz w:val="20"/>
          <w:szCs w:val="20"/>
          <w:color w:val="auto"/>
        </w:rPr>
        <w:tab/>
      </w:r>
      <w:r>
        <w:rPr>
          <w:rFonts w:ascii="Arial" w:cs="Arial" w:eastAsia="Arial" w:hAnsi="Arial"/>
          <w:sz w:val="16"/>
          <w:szCs w:val="16"/>
          <w:color w:val="auto"/>
        </w:rPr>
        <w:t>Amendment No. 2, dated as of November 18, 2010,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57" w:lineRule="exact"/>
        <w:rPr>
          <w:sz w:val="20"/>
          <w:szCs w:val="20"/>
          <w:color w:val="auto"/>
        </w:rPr>
      </w:pPr>
    </w:p>
    <w:p>
      <w:pPr>
        <w:ind w:left="920" w:right="240" w:hanging="819"/>
        <w:spacing w:after="0" w:line="291" w:lineRule="auto"/>
        <w:tabs>
          <w:tab w:leader="none" w:pos="900" w:val="left"/>
        </w:tabs>
        <w:rPr>
          <w:sz w:val="20"/>
          <w:szCs w:val="20"/>
          <w:color w:val="auto"/>
        </w:rPr>
      </w:pPr>
      <w:r>
        <w:rPr>
          <w:rFonts w:ascii="Arial" w:cs="Arial" w:eastAsia="Arial" w:hAnsi="Arial"/>
          <w:sz w:val="16"/>
          <w:szCs w:val="16"/>
          <w:color w:val="auto"/>
        </w:rPr>
        <w:t>10(f)(4)</w:t>
      </w:r>
      <w:r>
        <w:rPr>
          <w:sz w:val="20"/>
          <w:szCs w:val="20"/>
          <w:color w:val="auto"/>
        </w:rPr>
        <w:tab/>
      </w:r>
      <w:r>
        <w:rPr>
          <w:rFonts w:ascii="Arial" w:cs="Arial" w:eastAsia="Arial" w:hAnsi="Arial"/>
          <w:sz w:val="16"/>
          <w:szCs w:val="16"/>
          <w:color w:val="auto"/>
        </w:rPr>
        <w:t>Restatement Agreement, dated as of February 9, 2012,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 (including the Amended and Restated Credit Agreement).</w:t>
      </w:r>
    </w:p>
    <w:p>
      <w:pPr>
        <w:spacing w:after="0" w:line="59" w:lineRule="exact"/>
        <w:rPr>
          <w:sz w:val="20"/>
          <w:szCs w:val="20"/>
          <w:color w:val="auto"/>
        </w:rPr>
      </w:pPr>
    </w:p>
    <w:p>
      <w:pPr>
        <w:ind w:left="920" w:right="20" w:hanging="819"/>
        <w:spacing w:after="0" w:line="276" w:lineRule="auto"/>
        <w:tabs>
          <w:tab w:leader="none" w:pos="900" w:val="left"/>
        </w:tabs>
        <w:rPr>
          <w:sz w:val="20"/>
          <w:szCs w:val="20"/>
          <w:color w:val="auto"/>
        </w:rPr>
      </w:pPr>
      <w:r>
        <w:rPr>
          <w:rFonts w:ascii="Arial" w:cs="Arial" w:eastAsia="Arial" w:hAnsi="Arial"/>
          <w:sz w:val="17"/>
          <w:szCs w:val="17"/>
          <w:color w:val="auto"/>
        </w:rPr>
        <w:t>10(f)(5)</w:t>
      </w:r>
      <w:r>
        <w:rPr>
          <w:sz w:val="20"/>
          <w:szCs w:val="20"/>
          <w:color w:val="auto"/>
        </w:rPr>
        <w:tab/>
      </w:r>
      <w:r>
        <w:rPr>
          <w:rFonts w:ascii="Arial" w:cs="Arial" w:eastAsia="Arial" w:hAnsi="Arial"/>
          <w:sz w:val="17"/>
          <w:szCs w:val="17"/>
          <w:color w:val="auto"/>
        </w:rPr>
        <w:t>Amendment No. 1, dated as of October 24, 2013, to the Amended and Restated Credit Agreement dated as of February 9, 2012 among Lamar Media, the subsidiary borrower party thereto, the subsidiary guarantors party thereto, the lenders party thereto and JPMorgan Chase Bank, N.A., as administrative agent.</w:t>
      </w:r>
    </w:p>
    <w:p>
      <w:pPr>
        <w:spacing w:after="0" w:line="64" w:lineRule="exact"/>
        <w:rPr>
          <w:sz w:val="20"/>
          <w:szCs w:val="20"/>
          <w:color w:val="auto"/>
        </w:rPr>
      </w:pPr>
    </w:p>
    <w:p>
      <w:pPr>
        <w:jc w:val="both"/>
        <w:ind w:left="920" w:right="80" w:hanging="819"/>
        <w:spacing w:after="0" w:line="297" w:lineRule="auto"/>
        <w:tabs>
          <w:tab w:leader="none" w:pos="900" w:val="left"/>
        </w:tabs>
        <w:rPr>
          <w:sz w:val="20"/>
          <w:szCs w:val="20"/>
          <w:color w:val="auto"/>
        </w:rPr>
      </w:pPr>
      <w:r>
        <w:rPr>
          <w:rFonts w:ascii="Arial" w:cs="Arial" w:eastAsia="Arial" w:hAnsi="Arial"/>
          <w:sz w:val="16"/>
          <w:szCs w:val="16"/>
          <w:color w:val="auto"/>
        </w:rPr>
        <w:t>10(f)(6)</w:t>
      </w:r>
      <w:r>
        <w:rPr>
          <w:sz w:val="20"/>
          <w:szCs w:val="20"/>
          <w:color w:val="auto"/>
        </w:rPr>
        <w:tab/>
      </w:r>
      <w:r>
        <w:rPr>
          <w:rFonts w:ascii="Arial" w:cs="Arial" w:eastAsia="Arial" w:hAnsi="Arial"/>
          <w:sz w:val="16"/>
          <w:szCs w:val="16"/>
          <w:color w:val="auto"/>
        </w:rPr>
        <w:t>Second Restatement Agreement, dated as of February 3, 2014, by and among Lamar Media, the Company, the Subsidiary Guarantors named therein, the Lenders named therein, and JPMorgan Chase Bank, N.A., as administrative agent (including the Second Amended and Restated Credit Agreement as Exhibit A thereto).</w:t>
      </w:r>
    </w:p>
    <w:p>
      <w:pPr>
        <w:spacing w:after="0" w:line="50" w:lineRule="exact"/>
        <w:rPr>
          <w:sz w:val="20"/>
          <w:szCs w:val="20"/>
          <w:color w:val="auto"/>
        </w:rPr>
      </w:pPr>
    </w:p>
    <w:p>
      <w:pPr>
        <w:ind w:left="920" w:right="20" w:hanging="819"/>
        <w:spacing w:after="0" w:line="276" w:lineRule="auto"/>
        <w:tabs>
          <w:tab w:leader="none" w:pos="900" w:val="left"/>
        </w:tabs>
        <w:rPr>
          <w:sz w:val="20"/>
          <w:szCs w:val="20"/>
          <w:color w:val="auto"/>
        </w:rPr>
      </w:pPr>
      <w:r>
        <w:rPr>
          <w:rFonts w:ascii="Arial" w:cs="Arial" w:eastAsia="Arial" w:hAnsi="Arial"/>
          <w:sz w:val="17"/>
          <w:szCs w:val="17"/>
          <w:color w:val="auto"/>
        </w:rPr>
        <w:t>10(f)(7)</w:t>
      </w:r>
      <w:r>
        <w:rPr>
          <w:sz w:val="20"/>
          <w:szCs w:val="20"/>
          <w:color w:val="auto"/>
        </w:rPr>
        <w:tab/>
      </w:r>
      <w:r>
        <w:rPr>
          <w:rFonts w:ascii="Arial" w:cs="Arial" w:eastAsia="Arial" w:hAnsi="Arial"/>
          <w:sz w:val="17"/>
          <w:szCs w:val="17"/>
          <w:color w:val="auto"/>
        </w:rPr>
        <w:t>Amendment No. 1, dated as of April 18, 2014, to the Second Amended and Restated Credit Agreement, dated as of February 3, 2014, by and among Lamar Media, the Company, the Subsidiary Guarantors named therein, the Lenders named therein, and JPMorgan Chase Bank, N.A., as administrative agent.</w:t>
      </w:r>
    </w:p>
    <w:p>
      <w:pPr>
        <w:spacing w:after="0" w:line="64" w:lineRule="exact"/>
        <w:rPr>
          <w:sz w:val="20"/>
          <w:szCs w:val="20"/>
          <w:color w:val="auto"/>
        </w:rPr>
      </w:pPr>
    </w:p>
    <w:p>
      <w:pPr>
        <w:ind w:left="920" w:right="40" w:hanging="819"/>
        <w:spacing w:after="0" w:line="257" w:lineRule="auto"/>
        <w:tabs>
          <w:tab w:leader="none" w:pos="900" w:val="left"/>
        </w:tabs>
        <w:rPr>
          <w:sz w:val="20"/>
          <w:szCs w:val="20"/>
          <w:color w:val="auto"/>
        </w:rPr>
      </w:pPr>
      <w:r>
        <w:rPr>
          <w:rFonts w:ascii="Arial" w:cs="Arial" w:eastAsia="Arial" w:hAnsi="Arial"/>
          <w:sz w:val="18"/>
          <w:szCs w:val="18"/>
          <w:color w:val="auto"/>
        </w:rPr>
        <w:t>10(f)(8)</w:t>
        <w:tab/>
        <w:t>Joinder Agreement, dated as of July 19, 2010, to the Credit Agreement dated as of April 28, 2010 among Lamar Media, the subsidiary borrower party thereto, the subsidiary guarantors party thereto, the lenders party thereto and JPMorgan Chase Bank, N.A., as administrative agent, by Arizona Logos, L.L.C.</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as Exhibit 10(p)(2) to the Company’s Annual Report on Form 10-K for the year ended December 31, 2010 (File No. 0-30242) filed on February 25, 2011 and incorporated herein by reference.</w:t>
      </w:r>
    </w:p>
    <w:p>
      <w:pPr>
        <w:spacing w:after="0" w:line="200" w:lineRule="exact"/>
        <w:rPr>
          <w:sz w:val="20"/>
          <w:szCs w:val="20"/>
          <w:color w:val="auto"/>
        </w:rPr>
      </w:pPr>
    </w:p>
    <w:p>
      <w:pPr>
        <w:spacing w:after="0" w:line="3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as Exhibit 10(p)(3) to the Company’s Annual Report on Form 10-K for the year ended December 31, 2010 (File No. 0-30242) filed on February 25, 2011 and incorporated herein by reference.</w:t>
      </w:r>
    </w:p>
    <w:p>
      <w:pPr>
        <w:spacing w:after="0" w:line="200" w:lineRule="exact"/>
        <w:rPr>
          <w:sz w:val="20"/>
          <w:szCs w:val="20"/>
          <w:color w:val="auto"/>
        </w:rPr>
      </w:pPr>
    </w:p>
    <w:p>
      <w:pPr>
        <w:spacing w:after="0" w:line="3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Previously filed as Exhibit 10.2 to the Company’s Current Report on Form 8-K (File No. 0-30242) filed on February 14, 2012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Previously filed as Exhibit 10(f)(11) to the Company’s Annual Report on Form 10-K for the year ended December 31, 2013 (File No. 0-30242) filed on February 27, 2014 and incorporated herein by reference.</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0-30242) filed on February 7, 2014 and incorporated herein by reference.</w:t>
      </w: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0-30242) filed on April 22, 2014 and incorporated herein by reference.</w:t>
      </w: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as Exhibit 10(p)(4) to the Company’s Annual Report on Form 10-K for the year ended December 31, 2011 (File No. 0-30242) filed on February 27, 2012 and incorporated herein by reference.</w:t>
      </w:r>
    </w:p>
    <w:p>
      <w:pPr>
        <w:sectPr>
          <w:pgSz w:w="11900" w:h="16838" w:orient="portrait"/>
          <w:cols w:equalWidth="0" w:num="2">
            <w:col w:w="6060" w:space="220"/>
            <w:col w:w="508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85"/>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10(f)(9)</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Joinder Agreement, dated as of April 21, 2011, to the Credit</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Agreement dated as of April 28, 2010 among Lamar Media, the</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8"/>
              </w:rPr>
              <w:t>subsidiary borrower party thereto, the subsidiary guarantors party</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1"/>
              </w:rPr>
              <w:t>thereto, the lenders party thereto and JPMorgan Chase Bank, N.A., as</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administrative agent, by Wisconsin Logos, LLC.</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10(f)(10)</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Joinder Agreement, dated as of August 26, 2011, to the Credit</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Agreement dated as of April 28, 2010 among Lamar Media, the</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8"/>
              </w:rPr>
              <w:t>subsidiary borrower party thereto, the subsidiary guarantors party</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1"/>
              </w:rPr>
              <w:t>thereto, the lenders party thereto and JPMorgan Chase Bank, N.A., as</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administrative agent, by Montana Logos, LLC.</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10(f)(11)</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2"/>
              </w:rPr>
              <w:t>Joinder Agreement, dated as of November 14, 2012, to the Amended</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3"/>
              </w:rPr>
              <w:t>and Restated Credit Agreement dated as of February 9, 2012 among</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6"/>
              </w:rPr>
              <w:t>Lamar Media, the subsidiary borrower party thereto, the subsidiary</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88"/>
              </w:rPr>
              <w:t>guarantors party thereto, the lenders party thereto and JPMorgan Chase</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Bank, N.A., as administrative agent, by NextMedia Northern</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Colorado, Inc.</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10(f)(12)</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2"/>
              </w:rPr>
              <w:t>Joinder Agreement, dated as of November 14, 2012, to the Amended</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3"/>
              </w:rPr>
              <w:t>and Restated Credit Agreement dated as of February 9, 2012 among</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6"/>
              </w:rPr>
              <w:t>Lamar Media, the subsidiary borrower party thereto, the subsidiary</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88"/>
              </w:rPr>
              <w:t>guarantors party thereto, the lenders party thereto and JPMorgan Chase</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Bank, N.A., as administrative agent, by NextMedia Outdoor, Inc.</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10(f)(13)</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2"/>
              </w:rPr>
              <w:t>Joinder Agreement, dated as of November 14, 2012, to the Amended</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3"/>
              </w:rPr>
              <w:t>and Restated Credit Agreement dated as of February 9, 2012 among</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6"/>
              </w:rPr>
              <w:t>Lamar Media, the subsidiary borrower party thereto, the subsidiary</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88"/>
              </w:rPr>
              <w:t>guarantors party thereto, the lenders party thereto and JPMorgan Chase</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Bank, N.A., as administrative agent, by NMG Outdoor I Corp.</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10(f)(14)</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4"/>
              </w:rPr>
              <w:t>Joinder Agreement, dated as of December 5, 2013, to the Amended</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3"/>
              </w:rPr>
              <w:t>and Restated Credit Agreement dated as of February 9, 2012 among</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6"/>
              </w:rPr>
              <w:t>Lamar Media, the subsidiary borrower party thereto, the subsidiary</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88"/>
              </w:rPr>
              <w:t>guarantors party thereto, the lenders party thereto and JPMorgan Chase</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6"/>
              </w:rPr>
              <w:t>Bank, N.A., as administrative agent, by Lamar TRS Holdings, LLC.</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10(f)(15)</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4"/>
              </w:rPr>
              <w:t>Joinder Agreement, dated as of December 5, 2013, to the Amended</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3"/>
              </w:rPr>
              <w:t>and Restated Credit Agreement dated as of February 9, 2012 among</w:t>
            </w:r>
          </w:p>
        </w:tc>
      </w:tr>
    </w:tbl>
    <w:p>
      <w:pPr>
        <w:ind w:left="1040"/>
        <w:spacing w:after="0" w:line="254" w:lineRule="auto"/>
        <w:rPr>
          <w:sz w:val="20"/>
          <w:szCs w:val="20"/>
          <w:color w:val="auto"/>
        </w:rPr>
      </w:pPr>
      <w:r>
        <w:rPr>
          <w:rFonts w:ascii="Arial" w:cs="Arial" w:eastAsia="Arial" w:hAnsi="Arial"/>
          <w:sz w:val="18"/>
          <w:szCs w:val="18"/>
          <w:color w:val="auto"/>
        </w:rPr>
        <w:t>Lamar Media, the subsidiary borrower party thereto, the subsidiary guarantors party thereto, the lenders party thereto and JPMorgan Chase Bank, N.A., as administrative agent, by Lamar Service Company, LLC.</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Previously filed as Exhibit 10(p)(5) to the Company’s Annual Report on Form 10-K for the year ended December 31, 2011 (File No. 0-30242) filed on February 27, 2012 and incorporated herein by reference.</w:t>
      </w: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Previously filed as Exhibit 10(p)(6) to the Company’s Annual Report on Form 10-K for the year ended December 31, 2011 (File No. 0-30242) filed on February 27, 2012 and incorporated herein by reference.</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Previously filed as Exhibit 10(f)(8) to the Company’s Annual Report on Form 10-K for the year ended December 31, 2012 (File No. 0-30242) filed on February 28, 2013 and incorporated herein by reference.</w:t>
      </w:r>
    </w:p>
    <w:p>
      <w:pPr>
        <w:spacing w:after="0" w:line="200" w:lineRule="exact"/>
        <w:rPr>
          <w:sz w:val="20"/>
          <w:szCs w:val="20"/>
          <w:color w:val="auto"/>
        </w:rPr>
      </w:pPr>
    </w:p>
    <w:p>
      <w:pPr>
        <w:spacing w:after="0" w:line="3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Previously filed as Exhibit 10(f)(9) to the Company’s Annual Report on Form 10-K for the year ended December 31, 2012 (File No. 0-30242) filed on February 28, 2013 and incorporated herein by reference.</w:t>
      </w:r>
    </w:p>
    <w:p>
      <w:pPr>
        <w:spacing w:after="0" w:line="2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as Exhibit 10(f)(10) to the Company’s Annual Report on Form 10-K for the year ended December 31, 2012 (File No. 0-30242) filed on February 28, 2013 and incorporated herein by reference.</w:t>
      </w:r>
    </w:p>
    <w:p>
      <w:pPr>
        <w:spacing w:after="0" w:line="2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as Exhibit 10(f)(12) to the Company’s Annual Report on Form 10-K for the year ended December 31, 2013 (File No. 0-30242) filed on February 27, 2014 and incorporated herein by reference.</w:t>
      </w:r>
    </w:p>
    <w:p>
      <w:pPr>
        <w:spacing w:after="0" w:line="2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Previously filed as Exhibit 10(f)(13) to the Company’s Annual Report on Form 10-K for the year ended December 31, 2013 (File No. 0-30242) filed on February 27, 2014 and incorporated herein by reference.</w:t>
      </w:r>
    </w:p>
    <w:p>
      <w:pPr>
        <w:sectPr>
          <w:pgSz w:w="11900" w:h="16838" w:orient="portrait"/>
          <w:cols w:equalWidth="0" w:num="2">
            <w:col w:w="6180" w:space="220"/>
            <w:col w:w="50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85"/>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10(f)(16)</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4"/>
              </w:rPr>
              <w:t>Joinder Agreement, dated as of December 5, 2013, to the Amended</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3"/>
              </w:rPr>
              <w:t>and Restated Credit Agreement dated as of February 9, 2012 among</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6"/>
              </w:rPr>
              <w:t>Lamar Media, the subsidiary borrower party thereto, the subsidiary</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88"/>
              </w:rPr>
              <w:t>guarantors party thereto, the lenders party thereto and JPMorgan Chase</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9"/>
              </w:rPr>
              <w:t>Bank, N.A., as administrative agent, by Lamar Investments, LLC.</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10(f)(17)</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4"/>
              </w:rPr>
              <w:t>Joinder Agreement, dated as of December 5, 2013, to the Amended</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3"/>
              </w:rPr>
              <w:t>and Restated Credit Agreement dated as of February 9, 2012 among</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6"/>
              </w:rPr>
              <w:t>Lamar Media, the subsidiary borrower party thereto, the subsidiary</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88"/>
              </w:rPr>
              <w:t>guarantors party thereto, the lenders party thereto and JPMorgan Chase</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Bank, N.A., as administrative agent, by Lamar Transit, LLC.</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10(g)</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0"/>
              </w:rPr>
              <w:t>Registration Rights Agreement, dated as of February 9, 2012, between</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0"/>
              </w:rPr>
              <w:t>Lamar Media, the Guarantors named therein and the Initial Purchasers</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named therein.</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10(h)</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0"/>
              </w:rPr>
              <w:t>Registration Rights Agreement, dated as of October 30, 2012, between</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0"/>
              </w:rPr>
              <w:t>Lamar Media, the Guarantors named therein and the Initial Purchasers</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named therein.</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10(i)</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0"/>
              </w:rPr>
              <w:t>Registration Rights Agreement, dated as of January 10, 2014, between</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Lamar Media, the Guarantors named therein and J.P. Morgan</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7"/>
              </w:rPr>
              <w:t>Securities LLC, as representative for the Initial Purchasers named</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therein.</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10(j)*</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6"/>
              </w:rPr>
              <w:t>Form of Indemnification Agreement between the Company and the</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directors and executive officers of the Company, dated as of</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November 18, 2014.</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11(a)</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Statement regarding computation of per share earnings for the</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Company.</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12(a)</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2"/>
              </w:rPr>
              <w:t>Statement regarding computation of ratio of earnings to fixed charges</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for the Company.</w:t>
            </w:r>
          </w:p>
        </w:tc>
      </w:tr>
      <w:tr>
        <w:trPr>
          <w:trHeight w:val="31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12(b)</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2"/>
              </w:rPr>
              <w:t>Statement regarding computation of ratio of earnings to fixed charges</w:t>
            </w:r>
          </w:p>
        </w:tc>
      </w:t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rPr>
              <w:t>for Lamar Media.</w:t>
            </w:r>
          </w:p>
        </w:tc>
      </w:tr>
      <w:tr>
        <w:trPr>
          <w:trHeight w:val="324"/>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14(a)</w:t>
            </w:r>
          </w:p>
        </w:tc>
        <w:tc>
          <w:tcPr>
            <w:tcW w:w="5280" w:type="dxa"/>
            <w:vAlign w:val="bottom"/>
            <w:gridSpan w:val="3"/>
          </w:tcPr>
          <w:p>
            <w:pPr>
              <w:ind w:left="140"/>
              <w:spacing w:after="0"/>
              <w:rPr>
                <w:sz w:val="20"/>
                <w:szCs w:val="20"/>
                <w:color w:val="auto"/>
              </w:rPr>
            </w:pPr>
            <w:r>
              <w:rPr>
                <w:rFonts w:ascii="Arial" w:cs="Arial" w:eastAsia="Arial" w:hAnsi="Arial"/>
                <w:sz w:val="18"/>
                <w:szCs w:val="18"/>
                <w:color w:val="auto"/>
                <w:w w:val="94"/>
              </w:rPr>
              <w:t>Lamar Advertising Company Code of Business Conduct and Ethics.</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21(a)</w:t>
      </w:r>
      <w:r>
        <w:rPr>
          <w:sz w:val="20"/>
          <w:szCs w:val="20"/>
          <w:color w:val="auto"/>
        </w:rPr>
        <w:tab/>
      </w:r>
      <w:r>
        <w:rPr>
          <w:rFonts w:ascii="Arial" w:cs="Arial" w:eastAsia="Arial" w:hAnsi="Arial"/>
          <w:sz w:val="18"/>
          <w:szCs w:val="18"/>
          <w:color w:val="auto"/>
        </w:rPr>
        <w:t>Subsidiaries of the Company.</w:t>
      </w:r>
    </w:p>
    <w:p>
      <w:pPr>
        <w:spacing w:after="0" w:line="117"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23(a)</w:t>
      </w:r>
      <w:r>
        <w:rPr>
          <w:sz w:val="20"/>
          <w:szCs w:val="20"/>
          <w:color w:val="auto"/>
        </w:rPr>
        <w:tab/>
      </w:r>
      <w:r>
        <w:rPr>
          <w:rFonts w:ascii="Arial" w:cs="Arial" w:eastAsia="Arial" w:hAnsi="Arial"/>
          <w:sz w:val="18"/>
          <w:szCs w:val="18"/>
          <w:color w:val="auto"/>
        </w:rPr>
        <w:t>Consent of KPMG LLP.</w:t>
      </w:r>
    </w:p>
    <w:p>
      <w:pPr>
        <w:spacing w:after="0" w:line="117" w:lineRule="exact"/>
        <w:rPr>
          <w:sz w:val="20"/>
          <w:szCs w:val="20"/>
          <w:color w:val="auto"/>
        </w:rPr>
      </w:pPr>
    </w:p>
    <w:p>
      <w:pPr>
        <w:ind w:left="1040" w:hanging="939"/>
        <w:spacing w:after="0" w:line="259" w:lineRule="auto"/>
        <w:tabs>
          <w:tab w:leader="none" w:pos="102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Certification of the Chief Executive Officer of the Company and Lamar Media pursuant to Securities Exchange Act Rules 13a-14(a) and 15d-14(a) as adopted pursuant to Section 302 of the Sarbanes- Oxley Act of 2002.</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0"/>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Previously filed as Exhibit 10(f)(14) to the Company’s Annual Report on Form 10-K for the year ended December 31, 2013 (File No. 0-30242) filed on February 27, 2014 and incorporated herein by reference.</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Previously filed as Exhibit 10(f)(15) to the Company’s Annual Report on Form 10-K for the year ended December 31, 2013 (File No. 0-30242) filed on February 27, 2014 and incorporated herein by reference.</w:t>
      </w:r>
    </w:p>
    <w:p>
      <w:pPr>
        <w:spacing w:after="0" w:line="29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0-30242) filed on February 14, 2012 and incorporated herein by reference.</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0-30242) filed on October 31, 2012 and incorporated herein by reference.</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0-30242) filed on January 15, 2014 and incorporated herein by reference.</w:t>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as Exhibit 10.1 to the Company’s Current Report on Form 8-K (File No. 1-36756) filed on November 19, 2014 and incorporated herein by reference.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Previously filed as Exhibit 14.1 to the Company’s Annual Report on Form 10-K for the year ended December 31, 2003 (File No. 0-30242) filed on March 10, 2004 and incorporated herein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200" w:space="200"/>
            <w:col w:w="4960"/>
          </w:cols>
          <w:pgMar w:left="240" w:top="459" w:right="29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340"/>
          </w:cols>
          <w:pgMar w:left="240" w:top="459" w:right="1319" w:bottom="1440" w:gutter="0" w:footer="0" w:header="0"/>
        </w:sectPr>
      </w:pPr>
    </w:p>
    <w:p>
      <w:pPr>
        <w:spacing w:after="0" w:line="324" w:lineRule="exact"/>
        <w:rPr>
          <w:sz w:val="20"/>
          <w:szCs w:val="20"/>
          <w:color w:val="auto"/>
        </w:rPr>
      </w:pPr>
    </w:p>
    <w:p>
      <w:pPr>
        <w:ind w:left="40" w:firstLine="12"/>
        <w:spacing w:after="0" w:line="259" w:lineRule="auto"/>
        <w:rPr>
          <w:sz w:val="20"/>
          <w:szCs w:val="20"/>
          <w:color w:val="auto"/>
        </w:rPr>
      </w:pPr>
      <w:r>
        <w:rPr>
          <w:rFonts w:ascii="Arial" w:cs="Arial" w:eastAsia="Arial" w:hAnsi="Arial"/>
          <w:sz w:val="14"/>
          <w:szCs w:val="14"/>
          <w:b w:val="1"/>
          <w:bCs w:val="1"/>
          <w:color w:val="auto"/>
        </w:rPr>
        <w:t xml:space="preserve">EXHIBIT </w:t>
      </w:r>
      <w:r>
        <w:rPr>
          <w:rFonts w:ascii="Arial" w:cs="Arial" w:eastAsia="Arial" w:hAnsi="Arial"/>
          <w:sz w:val="14"/>
          <w:szCs w:val="14"/>
          <w:b w:val="1"/>
          <w:bCs w:val="1"/>
          <w:u w:val="single" w:color="auto"/>
          <w:color w:val="auto"/>
        </w:rPr>
        <w:t>NUMBER</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2160" w:type="dxa"/>
            <w:vAlign w:val="bottom"/>
          </w:tcPr>
          <w:p>
            <w:pPr>
              <w:spacing w:after="0"/>
              <w:rPr>
                <w:sz w:val="16"/>
                <w:szCs w:val="16"/>
                <w:color w:val="auto"/>
              </w:rPr>
            </w:pPr>
          </w:p>
        </w:tc>
        <w:tc>
          <w:tcPr>
            <w:tcW w:w="3420" w:type="dxa"/>
            <w:vAlign w:val="bottom"/>
            <w:gridSpan w:val="3"/>
          </w:tcPr>
          <w:p>
            <w:pPr>
              <w:ind w:left="1980"/>
              <w:spacing w:after="0"/>
              <w:rPr>
                <w:sz w:val="20"/>
                <w:szCs w:val="20"/>
                <w:color w:val="auto"/>
              </w:rPr>
            </w:pPr>
            <w:r>
              <w:rPr>
                <w:rFonts w:ascii="Arial" w:cs="Arial" w:eastAsia="Arial" w:hAnsi="Arial"/>
                <w:sz w:val="14"/>
                <w:szCs w:val="14"/>
                <w:b w:val="1"/>
                <w:bCs w:val="1"/>
                <w:color w:val="auto"/>
              </w:rPr>
              <w:t>METHOD OF FILING</w:t>
            </w:r>
          </w:p>
        </w:tc>
      </w:tr>
      <w:tr>
        <w:trPr>
          <w:trHeight w:val="20"/>
        </w:trPr>
        <w:tc>
          <w:tcPr>
            <w:tcW w:w="2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5240" w:type="dxa"/>
            <w:vAlign w:val="bottom"/>
            <w:gridSpan w:val="3"/>
          </w:tcPr>
          <w:p>
            <w:pPr>
              <w:spacing w:after="0"/>
              <w:rPr>
                <w:sz w:val="20"/>
                <w:szCs w:val="20"/>
                <w:color w:val="auto"/>
              </w:rPr>
            </w:pPr>
            <w:r>
              <w:rPr>
                <w:rFonts w:ascii="Arial" w:cs="Arial" w:eastAsia="Arial" w:hAnsi="Arial"/>
                <w:sz w:val="18"/>
                <w:szCs w:val="18"/>
                <w:color w:val="auto"/>
                <w:w w:val="94"/>
              </w:rPr>
              <w:t>Certification of the Chief Financial Officer of the Company and Lamar</w:t>
            </w: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w w:val="94"/>
              </w:rPr>
              <w:t>Media pursuant to Securities Exchange Act Rules 13a-14(a) and 15d-</w:t>
            </w:r>
          </w:p>
        </w:tc>
        <w:tc>
          <w:tcPr>
            <w:tcW w:w="1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w w:val="92"/>
              </w:rPr>
              <w:t>14(a) as adopted pursuant to Section 302 of the Sarbanes-Oxley Act of</w:t>
            </w:r>
          </w:p>
        </w:tc>
        <w:tc>
          <w:tcPr>
            <w:tcW w:w="1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2002.</w:t>
            </w:r>
          </w:p>
        </w:tc>
        <w:tc>
          <w:tcPr>
            <w:tcW w:w="1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2">
            <w:col w:w="680" w:space="240"/>
            <w:col w:w="9420"/>
          </w:cols>
          <w:pgMar w:left="240" w:top="459" w:right="131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32(a)</w:t>
            </w:r>
          </w:p>
        </w:tc>
        <w:tc>
          <w:tcPr>
            <w:tcW w:w="5420" w:type="dxa"/>
            <w:vAlign w:val="bottom"/>
          </w:tcPr>
          <w:p>
            <w:pPr>
              <w:ind w:left="220"/>
              <w:spacing w:after="0"/>
              <w:rPr>
                <w:sz w:val="20"/>
                <w:szCs w:val="20"/>
                <w:color w:val="auto"/>
              </w:rPr>
            </w:pPr>
            <w:r>
              <w:rPr>
                <w:rFonts w:ascii="Arial" w:cs="Arial" w:eastAsia="Arial" w:hAnsi="Arial"/>
                <w:sz w:val="18"/>
                <w:szCs w:val="18"/>
                <w:color w:val="auto"/>
                <w:w w:val="92"/>
              </w:rPr>
              <w:t>Certification pursuant to 18 U.S.C. Section 1350, as adopted pursuant</w:t>
            </w:r>
          </w:p>
        </w:tc>
        <w:tc>
          <w:tcPr>
            <w:tcW w:w="1260" w:type="dxa"/>
            <w:vAlign w:val="bottom"/>
          </w:tcPr>
          <w:p>
            <w:pPr>
              <w:ind w:left="160"/>
              <w:spacing w:after="0"/>
              <w:rPr>
                <w:sz w:val="20"/>
                <w:szCs w:val="20"/>
                <w:color w:val="auto"/>
              </w:rPr>
            </w:pPr>
            <w:r>
              <w:rPr>
                <w:rFonts w:ascii="Arial" w:cs="Arial" w:eastAsia="Arial" w:hAnsi="Arial"/>
                <w:sz w:val="18"/>
                <w:szCs w:val="18"/>
                <w:color w:val="auto"/>
                <w:w w:val="92"/>
              </w:rPr>
              <w:t>Filed herewith.</w:t>
            </w:r>
          </w:p>
        </w:tc>
      </w:tr>
      <w:tr>
        <w:trPr>
          <w:trHeight w:val="230"/>
        </w:trPr>
        <w:tc>
          <w:tcPr>
            <w:tcW w:w="600" w:type="dxa"/>
            <w:vAlign w:val="bottom"/>
          </w:tcPr>
          <w:p>
            <w:pPr>
              <w:spacing w:after="0"/>
              <w:rPr>
                <w:sz w:val="20"/>
                <w:szCs w:val="20"/>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to Section 906 of the Sarbanes-Oxley Act of 2002.</w:t>
            </w:r>
          </w:p>
        </w:tc>
        <w:tc>
          <w:tcPr>
            <w:tcW w:w="1260" w:type="dxa"/>
            <w:vAlign w:val="bottom"/>
          </w:tcPr>
          <w:p>
            <w:pPr>
              <w:spacing w:after="0"/>
              <w:rPr>
                <w:sz w:val="20"/>
                <w:szCs w:val="20"/>
                <w:color w:val="auto"/>
              </w:rPr>
            </w:pPr>
          </w:p>
        </w:tc>
      </w:tr>
    </w:tbl>
    <w:p>
      <w:pPr>
        <w:spacing w:after="0" w:line="94" w:lineRule="exact"/>
        <w:rPr>
          <w:sz w:val="20"/>
          <w:szCs w:val="20"/>
          <w:color w:val="auto"/>
        </w:rPr>
      </w:pPr>
    </w:p>
    <w:p>
      <w:pPr>
        <w:ind w:left="920" w:right="4520" w:hanging="912"/>
        <w:spacing w:after="0" w:line="285" w:lineRule="auto"/>
        <w:tabs>
          <w:tab w:leader="none" w:pos="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following materials from the combined Annual Report of the Company and Lamar Media Corp. on Form 10-K for the year ended December 31, 2014, formatted in XBRL (eXtensible Business Reporting Language): (i) Consolidated Balance Sheets as of December 31, 2014 and 2013 of the Company and Lamar Media,</w:t>
      </w:r>
    </w:p>
    <w:p>
      <w:pPr>
        <w:spacing w:after="0" w:line="2" w:lineRule="exact"/>
        <w:rPr>
          <w:rFonts w:ascii="Arial" w:cs="Arial" w:eastAsia="Arial" w:hAnsi="Arial"/>
          <w:sz w:val="16"/>
          <w:szCs w:val="16"/>
          <w:color w:val="auto"/>
        </w:rPr>
      </w:pPr>
    </w:p>
    <w:p>
      <w:pPr>
        <w:ind w:left="920" w:right="4560" w:firstLine="6"/>
        <w:spacing w:after="0" w:line="265" w:lineRule="auto"/>
        <w:tabs>
          <w:tab w:leader="none" w:pos="1185" w:val="left"/>
        </w:tabs>
        <w:numPr>
          <w:ilvl w:val="1"/>
          <w:numId w:val="38"/>
        </w:numPr>
        <w:rPr>
          <w:rFonts w:ascii="Arial" w:cs="Arial" w:eastAsia="Arial" w:hAnsi="Arial"/>
          <w:sz w:val="17"/>
          <w:szCs w:val="17"/>
          <w:color w:val="auto"/>
        </w:rPr>
      </w:pPr>
      <w:r>
        <w:rPr>
          <w:rFonts w:ascii="Arial" w:cs="Arial" w:eastAsia="Arial" w:hAnsi="Arial"/>
          <w:sz w:val="17"/>
          <w:szCs w:val="17"/>
          <w:color w:val="auto"/>
        </w:rPr>
        <w:t>Consolidated Statements of Operations for the years ended December 31, 2014, 2013 and 2012 of the Company and Lamar Media, (iii) Consolidated Statements of Stockholders’ Equity and Comprehensive Income (Deficit) for the years ended December 31, 2014, 2013 and 2012 of the Company and Lamar Media,</w:t>
      </w:r>
    </w:p>
    <w:p>
      <w:pPr>
        <w:spacing w:after="0" w:line="1" w:lineRule="exact"/>
        <w:rPr>
          <w:rFonts w:ascii="Arial" w:cs="Arial" w:eastAsia="Arial" w:hAnsi="Arial"/>
          <w:sz w:val="17"/>
          <w:szCs w:val="17"/>
          <w:color w:val="auto"/>
        </w:rPr>
      </w:pPr>
    </w:p>
    <w:p>
      <w:pPr>
        <w:jc w:val="both"/>
        <w:ind w:left="920" w:right="4700" w:firstLine="6"/>
        <w:spacing w:after="0" w:line="254" w:lineRule="auto"/>
        <w:tabs>
          <w:tab w:leader="none" w:pos="12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2014, 2013 and 2012 of the Company and Lamar Media, and (v) Notes to Consolidated Financial Statements of the Company and Lamar Media.</w:t>
      </w:r>
    </w:p>
    <w:p>
      <w:pPr>
        <w:spacing w:after="0" w:line="217" w:lineRule="exact"/>
        <w:rPr>
          <w:sz w:val="20"/>
          <w:szCs w:val="20"/>
          <w:color w:val="auto"/>
        </w:rPr>
      </w:pPr>
    </w:p>
    <w:p>
      <w:pPr>
        <w:ind w:left="5580" w:hanging="5572"/>
        <w:spacing w:after="0" w:line="449" w:lineRule="auto"/>
        <w:tabs>
          <w:tab w:leader="none" w:pos="2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in which the executive officers or directors of the Company participate. 101</w:t>
      </w:r>
    </w:p>
    <w:p>
      <w:pPr>
        <w:sectPr>
          <w:pgSz w:w="11900" w:h="16838" w:orient="portrait"/>
          <w:cols w:equalWidth="0" w:num="1">
            <w:col w:w="10340"/>
          </w:cols>
          <w:pgMar w:left="240" w:top="459" w:right="1319"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 Computation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5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4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253,153,000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39,774,000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7,525,000</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95,218,083</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94,387,230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93,379,246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exercise of stock options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66,043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358,285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287,395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Incremental shares of convertible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common shares and common equivalents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95,284,126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94,745,515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93,666,641</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Net income per common share basic and 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bl>
    <w:p>
      <w:pPr>
        <w:spacing w:after="0" w:line="187" w:lineRule="exact"/>
        <w:rPr>
          <w:sz w:val="20"/>
          <w:szCs w:val="20"/>
          <w:color w:val="auto"/>
        </w:rPr>
      </w:pPr>
    </w:p>
    <w:p>
      <w:pPr>
        <w:ind w:right="440" w:firstLine="456"/>
        <w:spacing w:after="0" w:line="286" w:lineRule="auto"/>
        <w:rPr>
          <w:sz w:val="20"/>
          <w:szCs w:val="20"/>
          <w:color w:val="auto"/>
        </w:rPr>
      </w:pPr>
      <w:r>
        <w:rPr>
          <w:rFonts w:ascii="Arial" w:cs="Arial" w:eastAsia="Arial" w:hAnsi="Arial"/>
          <w:sz w:val="17"/>
          <w:szCs w:val="17"/>
          <w:color w:val="auto"/>
        </w:rPr>
        <w:t>The above earnings per share (EPS) calculations are submitted in accordance with Statement of Financial Accounting Standards No. 128. An EPS calculation in accordance with Regulation S-K item 601 (b) (11) is not shown above for the years ended December 31, 2014, 2013 and 2012 because it produces an antidilutive result. The following information is disclosed for purposes of calculating antidilutive EPS for that period.</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Year Ended</w:t>
            </w:r>
          </w:p>
        </w:tc>
      </w:tr>
      <w:tr>
        <w:trPr>
          <w:trHeight w:val="149"/>
        </w:trPr>
        <w:tc>
          <w:tcPr>
            <w:tcW w:w="5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55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253,153,000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39,774,000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7,525,000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Income impact of assumed conversions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 plus assumed conversion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253,153,000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39,774,000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7,525,000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95,218,083</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94,387,230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93,379,246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exercise of stock options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66,043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358,285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287,395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Incremental shares from convertible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common shares plus dilutive potential common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95,284,126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94,745,515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93,666,641</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bl>
    <w:p>
      <w:pPr>
        <w:sectPr>
          <w:pgSz w:w="11900" w:h="16838" w:orient="portrait"/>
          <w:cols w:equalWidth="0" w:num="1">
            <w:col w:w="11420"/>
          </w:cols>
          <w:pgMar w:left="240" w:top="121" w:right="239" w:bottom="1440" w:gutter="0" w:footer="0" w:header="0"/>
        </w:sectPr>
      </w:pPr>
    </w:p>
    <w:bookmarkStart w:id="105" w:name="page106"/>
    <w:bookmarkEnd w:id="105"/>
    <w:p>
      <w:pPr>
        <w:ind w:left="10420"/>
        <w:spacing w:after="0"/>
        <w:rPr>
          <w:sz w:val="20"/>
          <w:szCs w:val="20"/>
          <w:color w:val="auto"/>
        </w:rPr>
      </w:pPr>
      <w:r>
        <w:rPr>
          <w:rFonts w:ascii="Arial" w:cs="Arial" w:eastAsia="Arial" w:hAnsi="Arial"/>
          <w:sz w:val="16"/>
          <w:szCs w:val="16"/>
          <w:b w:val="1"/>
          <w:bCs w:val="1"/>
          <w:color w:val="auto"/>
        </w:rPr>
        <w:t>Exhibit 12(a)</w:t>
      </w:r>
    </w:p>
    <w:p>
      <w:pPr>
        <w:spacing w:after="0" w:line="24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COMPUTATION OF RATIO OF EARNINGS TO FIXED CHARGES</w:t>
      </w:r>
      <w:r>
        <w:rPr>
          <w:rFonts w:ascii="Arial" w:cs="Arial" w:eastAsia="Arial" w:hAnsi="Arial"/>
          <w:sz w:val="15"/>
          <w:szCs w:val="15"/>
          <w:b w:val="1"/>
          <w:bCs w:val="1"/>
          <w:color w:val="auto"/>
        </w:rPr>
        <w:t>(1)</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Lamar Advertising’s ratio of earnings to fixed charges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rPr>
              <w:t>2010</w:t>
            </w:r>
            <w:r>
              <w:rPr>
                <w:rFonts w:ascii="Arial" w:cs="Arial" w:eastAsia="Arial" w:hAnsi="Arial"/>
                <w:sz w:val="12"/>
                <w:szCs w:val="12"/>
                <w:b w:val="1"/>
                <w:bCs w:val="1"/>
                <w:color w:val="auto"/>
              </w:rPr>
              <w:t>(2)</w:t>
            </w:r>
          </w:p>
        </w:tc>
        <w:tc>
          <w:tcPr>
            <w:tcW w:w="420" w:type="dxa"/>
            <w:vAlign w:val="bottom"/>
          </w:tcPr>
          <w:p>
            <w:pPr>
              <w:spacing w:after="0"/>
              <w:rPr>
                <w:sz w:val="12"/>
                <w:szCs w:val="12"/>
                <w:color w:val="auto"/>
              </w:rPr>
            </w:pPr>
          </w:p>
        </w:tc>
        <w:tc>
          <w:tcPr>
            <w:tcW w:w="68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68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88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76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Net (loss) income</w:t>
            </w:r>
          </w:p>
        </w:tc>
        <w:tc>
          <w:tcPr>
            <w:tcW w:w="37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(38,970)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6,858</w:t>
            </w: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7,890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$ 40,139</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$ 253,518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2280" w:type="dxa"/>
            <w:vAlign w:val="bottom"/>
            <w:gridSpan w:val="3"/>
          </w:tcPr>
          <w:p>
            <w:pPr>
              <w:jc w:val="right"/>
              <w:ind w:right="360"/>
              <w:spacing w:after="0"/>
              <w:rPr>
                <w:sz w:val="20"/>
                <w:szCs w:val="20"/>
                <w:color w:val="auto"/>
              </w:rPr>
            </w:pPr>
            <w:r>
              <w:rPr>
                <w:rFonts w:ascii="Arial" w:cs="Arial" w:eastAsia="Arial" w:hAnsi="Arial"/>
                <w:sz w:val="18"/>
                <w:szCs w:val="18"/>
                <w:color w:val="auto"/>
              </w:rPr>
              <w:t>(22,746)</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5,542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8,242</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22,841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(110,092)</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254,098</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239,842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227,520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221,584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182,472</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Earnings</w:t>
            </w:r>
          </w:p>
        </w:tc>
        <w:tc>
          <w:tcPr>
            <w:tcW w:w="1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192,382</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252,242</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284,564</w:t>
            </w:r>
          </w:p>
        </w:tc>
        <w:tc>
          <w:tcPr>
            <w:tcW w:w="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185,681</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170,524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156,762</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146,112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105,152</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Rents under leases representative of an interest factor</w:t>
            </w:r>
          </w:p>
        </w:tc>
        <w:tc>
          <w:tcPr>
            <w:tcW w:w="2280" w:type="dxa"/>
            <w:vAlign w:val="bottom"/>
            <w:gridSpan w:val="3"/>
          </w:tcPr>
          <w:p>
            <w:pPr>
              <w:jc w:val="right"/>
              <w:ind w:right="420"/>
              <w:spacing w:after="0"/>
              <w:rPr>
                <w:sz w:val="20"/>
                <w:szCs w:val="20"/>
                <w:color w:val="auto"/>
              </w:rPr>
            </w:pPr>
            <w:r>
              <w:rPr>
                <w:rFonts w:ascii="Arial" w:cs="Arial" w:eastAsia="Arial" w:hAnsi="Arial"/>
                <w:sz w:val="18"/>
                <w:szCs w:val="18"/>
                <w:color w:val="auto"/>
              </w:rPr>
              <w:t>68,052</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68,953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70,393</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75,107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76,955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2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365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Fixed charges</w:t>
            </w:r>
          </w:p>
        </w:tc>
        <w:tc>
          <w:tcPr>
            <w:tcW w:w="1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254,098</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239,842</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221,584</w:t>
            </w:r>
          </w:p>
        </w:tc>
        <w:tc>
          <w:tcPr>
            <w:tcW w:w="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0.8x</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1.1x</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1.1x</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1.3x</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1.8x</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88"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6"/>
          <w:szCs w:val="16"/>
          <w:color w:val="auto"/>
        </w:rPr>
        <w:t>The ratio of earnings to fixed charges is defined as earnings divided by fixed charges. For purposes of this ratio, earnings is defined as net income (loss) before income taxes and cumulative effect of a change in accounting principle and fixed charges. Fixed charges is defined as the sum of interest expense, preferred stock dividends and the component of rental expense that we believe to be representative of the interest factor for those amounts.</w:t>
      </w:r>
    </w:p>
    <w:p>
      <w:pPr>
        <w:ind w:left="460" w:hanging="452"/>
        <w:spacing w:after="0"/>
        <w:tabs>
          <w:tab w:leader="none" w:pos="460" w:val="left"/>
        </w:tabs>
        <w:numPr>
          <w:ilvl w:val="0"/>
          <w:numId w:val="41"/>
        </w:numPr>
        <w:rPr>
          <w:rFonts w:ascii="Arial" w:cs="Arial" w:eastAsia="Arial" w:hAnsi="Arial"/>
          <w:sz w:val="15"/>
          <w:szCs w:val="15"/>
          <w:color w:val="auto"/>
        </w:rPr>
      </w:pPr>
      <w:r>
        <w:rPr>
          <w:rFonts w:ascii="Arial" w:cs="Arial" w:eastAsia="Arial" w:hAnsi="Arial"/>
          <w:sz w:val="18"/>
          <w:szCs w:val="18"/>
          <w:color w:val="auto"/>
        </w:rPr>
        <w:t>For the year ended December 31, 2010, earnings were insufficient to cover fixed charges by $61.7 million.</w:t>
      </w:r>
    </w:p>
    <w:p>
      <w:pPr>
        <w:sectPr>
          <w:pgSz w:w="11900" w:h="16838" w:orient="portrait"/>
          <w:cols w:equalWidth="0" w:num="1">
            <w:col w:w="11420"/>
          </w:cols>
          <w:pgMar w:left="240" w:top="121" w:right="239" w:bottom="1440" w:gutter="0" w:footer="0" w:header="0"/>
        </w:sectPr>
      </w:pPr>
    </w:p>
    <w:bookmarkStart w:id="106" w:name="page107"/>
    <w:bookmarkEnd w:id="106"/>
    <w:p>
      <w:pPr>
        <w:ind w:left="10400"/>
        <w:spacing w:after="0"/>
        <w:rPr>
          <w:sz w:val="20"/>
          <w:szCs w:val="20"/>
          <w:color w:val="auto"/>
        </w:rPr>
      </w:pPr>
      <w:r>
        <w:rPr>
          <w:rFonts w:ascii="Arial" w:cs="Arial" w:eastAsia="Arial" w:hAnsi="Arial"/>
          <w:sz w:val="16"/>
          <w:szCs w:val="16"/>
          <w:b w:val="1"/>
          <w:bCs w:val="1"/>
          <w:color w:val="auto"/>
        </w:rPr>
        <w:t>Exhibit 12(b)</w:t>
      </w:r>
    </w:p>
    <w:p>
      <w:pPr>
        <w:spacing w:after="0" w:line="24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COMPUTATION OF RATIO OF EARNINGS TO FIXED CHARGES</w:t>
      </w:r>
      <w:r>
        <w:rPr>
          <w:rFonts w:ascii="Arial" w:cs="Arial" w:eastAsia="Arial" w:hAnsi="Arial"/>
          <w:sz w:val="15"/>
          <w:szCs w:val="15"/>
          <w:b w:val="1"/>
          <w:bCs w:val="1"/>
          <w:color w:val="auto"/>
        </w:rPr>
        <w:t>(1)</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Lamar Media’s ratio of earnings to fixed charges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rPr>
              <w:t>2010</w:t>
            </w:r>
            <w:r>
              <w:rPr>
                <w:rFonts w:ascii="Arial" w:cs="Arial" w:eastAsia="Arial" w:hAnsi="Arial"/>
                <w:sz w:val="12"/>
                <w:szCs w:val="12"/>
                <w:b w:val="1"/>
                <w:bCs w:val="1"/>
                <w:color w:val="auto"/>
              </w:rPr>
              <w:t>(2)</w:t>
            </w:r>
          </w:p>
        </w:tc>
        <w:tc>
          <w:tcPr>
            <w:tcW w:w="420" w:type="dxa"/>
            <w:vAlign w:val="bottom"/>
          </w:tcPr>
          <w:p>
            <w:pPr>
              <w:spacing w:after="0"/>
              <w:rPr>
                <w:sz w:val="12"/>
                <w:szCs w:val="12"/>
                <w:color w:val="auto"/>
              </w:rPr>
            </w:pPr>
          </w:p>
        </w:tc>
        <w:tc>
          <w:tcPr>
            <w:tcW w:w="68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68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88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76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Net (loss) income</w:t>
            </w:r>
          </w:p>
        </w:tc>
        <w:tc>
          <w:tcPr>
            <w:tcW w:w="36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(39,066)</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6,920</w:t>
            </w: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8,115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$ 40,338</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$ 287,035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2320" w:type="dxa"/>
            <w:vAlign w:val="bottom"/>
            <w:gridSpan w:val="3"/>
          </w:tcPr>
          <w:p>
            <w:pPr>
              <w:jc w:val="right"/>
              <w:ind w:right="360"/>
              <w:spacing w:after="0"/>
              <w:rPr>
                <w:sz w:val="20"/>
                <w:szCs w:val="20"/>
                <w:color w:val="auto"/>
              </w:rPr>
            </w:pPr>
            <w:r>
              <w:rPr>
                <w:rFonts w:ascii="Arial" w:cs="Arial" w:eastAsia="Arial" w:hAnsi="Arial"/>
                <w:sz w:val="18"/>
                <w:szCs w:val="18"/>
                <w:color w:val="auto"/>
              </w:rPr>
              <w:t>(22,490)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5,838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8,353</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22,977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(143,264)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253,569</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239,477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227,155</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221,219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182,107</w:t>
            </w:r>
          </w:p>
        </w:tc>
        <w:tc>
          <w:tcPr>
            <w:tcW w:w="0" w:type="dxa"/>
            <w:vAlign w:val="bottom"/>
          </w:tcPr>
          <w:p>
            <w:pPr>
              <w:spacing w:after="0"/>
              <w:rPr>
                <w:sz w:val="1"/>
                <w:szCs w:val="1"/>
                <w:color w:val="auto"/>
              </w:rPr>
            </w:pPr>
          </w:p>
        </w:tc>
      </w:tr>
      <w:tr>
        <w:trPr>
          <w:trHeight w:val="223"/>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Earnings</w:t>
            </w:r>
          </w:p>
        </w:tc>
        <w:tc>
          <w:tcPr>
            <w:tcW w:w="1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192,013</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252,235</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284,534</w:t>
            </w:r>
          </w:p>
        </w:tc>
        <w:tc>
          <w:tcPr>
            <w:tcW w:w="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185,517</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170,524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156,762</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146,112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105,152</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Rent under leases representative of an interest factor</w:t>
            </w:r>
          </w:p>
        </w:tc>
        <w:tc>
          <w:tcPr>
            <w:tcW w:w="2320" w:type="dxa"/>
            <w:vAlign w:val="bottom"/>
            <w:gridSpan w:val="3"/>
          </w:tcPr>
          <w:p>
            <w:pPr>
              <w:jc w:val="right"/>
              <w:ind w:right="420"/>
              <w:spacing w:after="0"/>
              <w:rPr>
                <w:sz w:val="20"/>
                <w:szCs w:val="20"/>
                <w:color w:val="auto"/>
              </w:rPr>
            </w:pPr>
            <w:r>
              <w:rPr>
                <w:rFonts w:ascii="Arial" w:cs="Arial" w:eastAsia="Arial" w:hAnsi="Arial"/>
                <w:sz w:val="18"/>
                <w:szCs w:val="18"/>
                <w:color w:val="auto"/>
              </w:rPr>
              <w:t>68,052</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68,953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70,393</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75,107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76,955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2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Fixed charges</w:t>
            </w:r>
          </w:p>
        </w:tc>
        <w:tc>
          <w:tcPr>
            <w:tcW w:w="1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253,569</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239,477</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221,219</w:t>
            </w:r>
          </w:p>
        </w:tc>
        <w:tc>
          <w:tcPr>
            <w:tcW w:w="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0.8x</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1.1x</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1.1x</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1.3x</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1.8x</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88"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6"/>
          <w:szCs w:val="16"/>
          <w:color w:val="auto"/>
        </w:rPr>
        <w:t>The ratio of earnings to fixed charges is defined as earnings divided by fixed charges. For purposes of this ratio, earnings is defined as net income (loss) before income taxes and cumulative effect of a change in accounting principle and fixed charges. Fixed charges is defined as the sum of interest expenses, preferred stock dividends and the component of rental expense that we believe to be representative of the interest factor for those amounts.</w:t>
      </w:r>
    </w:p>
    <w:p>
      <w:pPr>
        <w:ind w:left="460" w:hanging="452"/>
        <w:spacing w:after="0"/>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For the year ended December 31, 2010, earnings were insufficient to cover fixed charges by $61.6 million.</w:t>
      </w:r>
    </w:p>
    <w:p>
      <w:pPr>
        <w:sectPr>
          <w:pgSz w:w="11900" w:h="16838" w:orient="portrait"/>
          <w:cols w:equalWidth="0" w:num="1">
            <w:col w:w="11420"/>
          </w:cols>
          <w:pgMar w:left="240" w:top="121"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80" w:type="dxa"/>
            <w:vAlign w:val="bottom"/>
            <w:gridSpan w:val="2"/>
          </w:tcPr>
          <w:p>
            <w:pPr>
              <w:ind w:left="4360"/>
              <w:spacing w:after="0"/>
              <w:rPr>
                <w:sz w:val="20"/>
                <w:szCs w:val="20"/>
                <w:color w:val="auto"/>
              </w:rPr>
            </w:pPr>
            <w:r>
              <w:rPr>
                <w:rFonts w:ascii="Arial" w:cs="Arial" w:eastAsia="Arial" w:hAnsi="Arial"/>
                <w:sz w:val="18"/>
                <w:szCs w:val="18"/>
                <w:b w:val="1"/>
                <w:bCs w:val="1"/>
                <w:color w:val="auto"/>
                <w:w w:val="93"/>
              </w:rPr>
              <w:t>Exhibit 21(a)</w:t>
            </w:r>
          </w:p>
        </w:tc>
      </w:tr>
      <w:tr>
        <w:trPr>
          <w:trHeight w:val="432"/>
        </w:trPr>
        <w:tc>
          <w:tcPr>
            <w:tcW w:w="2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gridSpan w:val="3"/>
          </w:tcPr>
          <w:p>
            <w:pPr>
              <w:ind w:left="260"/>
              <w:spacing w:after="0"/>
              <w:rPr>
                <w:sz w:val="20"/>
                <w:szCs w:val="20"/>
                <w:color w:val="auto"/>
              </w:rPr>
            </w:pPr>
            <w:r>
              <w:rPr>
                <w:rFonts w:ascii="Arial" w:cs="Arial" w:eastAsia="Arial" w:hAnsi="Arial"/>
                <w:sz w:val="18"/>
                <w:szCs w:val="18"/>
                <w:b w:val="1"/>
                <w:bCs w:val="1"/>
                <w:color w:val="auto"/>
              </w:rPr>
              <w:t>Subsidiaries of Lamar Advertising Company</w:t>
            </w:r>
          </w:p>
        </w:tc>
      </w:tr>
      <w:tr>
        <w:trPr>
          <w:trHeight w:val="412"/>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2340" w:type="dxa"/>
            <w:vAlign w:val="bottom"/>
          </w:tcPr>
          <w:p>
            <w:pPr>
              <w:spacing w:after="0"/>
              <w:rPr>
                <w:sz w:val="24"/>
                <w:szCs w:val="24"/>
                <w:color w:val="auto"/>
              </w:rPr>
            </w:pPr>
          </w:p>
        </w:tc>
        <w:tc>
          <w:tcPr>
            <w:tcW w:w="5380" w:type="dxa"/>
            <w:vAlign w:val="bottom"/>
            <w:gridSpan w:val="2"/>
          </w:tcPr>
          <w:p>
            <w:pPr>
              <w:ind w:left="8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89"/>
        </w:trPr>
        <w:tc>
          <w:tcPr>
            <w:tcW w:w="2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Lamar Media Corp.</w:t>
            </w:r>
          </w:p>
        </w:tc>
        <w:tc>
          <w:tcPr>
            <w:tcW w:w="7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Arizona Logos,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Canadian TODS Limited</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Nova Scotia, Canada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Colorado Logos, Inc.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Colorado</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Delaware Logos,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Florida Logos, Inc.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Georgia Logos,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Interstate Logos,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Kansas Logos, Inc.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Kansas</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Kentucky Logos,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Kentucky</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Advantage GP Company,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Advantage Holding Company</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Advantage LP Company,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Advantage Outdoor Company, L.P.</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Advertising of Colorado Springs,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Colorado</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Advertising of Louisiana,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Advertising of Michigan, Inc.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Michigan</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Advertising of Penn,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Advertising of Puerto Rico, Inc.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Puerto Rico</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Advertising of South Dakota,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South Dakota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Advertising of Youngstown, Inc.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Advertising Southwest, Inc.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Air,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Canadian Outdoor Company</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Ontario, Canada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Central Outdoor,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Electrical, Inc.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Florida,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Investments,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Obie Company,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OCI North,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OCI South Corporation</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Mississippi</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Ohio Outdoor Holding Corp.</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Pensacola Transit, Inc.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Tennessee,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Service Company,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Transit,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Texas Limited Partnership</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Transit Advertising Canada Ltd.</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British Columbia, Canada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Lamar TRS Holdings,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Louisiana Interstate Logos,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Maine Logos, L.L.C.</w:t>
            </w:r>
          </w:p>
        </w:tc>
        <w:tc>
          <w:tcPr>
            <w:tcW w:w="23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Maine</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Michigan Logos, Inc.</w:t>
            </w:r>
          </w:p>
        </w:tc>
        <w:tc>
          <w:tcPr>
            <w:tcW w:w="23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Michigan</w:t>
            </w:r>
          </w:p>
        </w:tc>
      </w:tr>
    </w:tbl>
    <w:p>
      <w:pPr>
        <w:sectPr>
          <w:pgSz w:w="11900" w:h="16838" w:orient="portrait"/>
          <w:cols w:equalWidth="0" w:num="1">
            <w:col w:w="11420"/>
          </w:cols>
          <w:pgMar w:left="240" w:top="12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Minnesota Logos,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Mississippi Logos,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Missouri Logos,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Montana Logos,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Logos,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 Logos,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Jersey Logos,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Mexico Logos,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 Logos,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Oklahoma Logos,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Outdoor Marketing Systems,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Outdoor Promotions 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 Logos,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QMC Transit,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Carolina Logos,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Tennessee Logos,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Lamar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TLC Farms,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TLC Properties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TLC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TLC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Triumph Outdoor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Triumph Outdoor Rhode Island,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Utah Logos,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 Logos,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Logos,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Wisconsin Logos,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-215900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Mississippi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Oklahoma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Carolina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ectPr>
          <w:pgSz w:w="11900" w:h="16838" w:orient="portrait"/>
          <w:cols w:equalWidth="0" w:num="2">
            <w:col w:w="5340" w:space="720"/>
            <w:col w:w="4159"/>
          </w:cols>
          <w:pgMar w:left="240" w:top="274"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21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consent to the incorporation by reference in the registration statements Nos. 333-89034, 333-37858, 333-116008, 333-160943, 333-160945, 333-182365, 333-190603, and 333-190604 on Form S-8 of Lamar Advertising Company of (a) our reports dated February 26, 2015 with respect to the consolidated balance sheets of Lamar Advertising Company and subsidiaries as of December 31, 2014 and 2013, and the related consolidated statements of operations and comprehensive income, stockholders’ equity, and cash flows for each of the years in the three-year period ended December 31, 2014 and the related financial statement schedules, and the effectiveness of internal control over financial reporting as of December 31, 2014, and (b) our reports dated February 26, 2015 with respect to the consolidated balance sheets of Lamar Media Corp. and subsidiaries as of December 31, 2014 and 2013, and the related consolidated statements of operations and comprehensive income, stockholder’s equity, and cash flows for each of the years in the three-year period ended December 31, 2014 and the related financial statement schedules, and the effectiveness of internal control over financial reporting as of December 31, 2014, which reports appear in the December 31, 2014 annual report on Form 10-K of Lamar Advertising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KPMG LLP</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131"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combined annual report on Form 10-K of Lamar Advertising Company and Lamar Media Corp.;</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1"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86"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40" w:hanging="565"/>
        <w:spacing w:after="0" w:line="264"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29" w:lineRule="exact"/>
        <w:rPr>
          <w:rFonts w:ascii="Arial" w:cs="Arial" w:eastAsia="Arial" w:hAnsi="Arial"/>
          <w:sz w:val="16"/>
          <w:szCs w:val="16"/>
          <w:color w:val="auto"/>
        </w:rPr>
      </w:pPr>
    </w:p>
    <w:p>
      <w:pPr>
        <w:ind w:left="1140" w:right="480" w:hanging="565"/>
        <w:spacing w:after="0" w:line="27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Lamar Advertising Company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Keith A. Istre, certify that:</w:t>
      </w:r>
    </w:p>
    <w:p>
      <w:pPr>
        <w:spacing w:after="0" w:line="131"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combined annual report on Form 10-K of Lamar Advertising Company and Lamar Media Corp.;</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1"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86"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40" w:hanging="565"/>
        <w:spacing w:after="0" w:line="264"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29" w:lineRule="exact"/>
        <w:rPr>
          <w:rFonts w:ascii="Arial" w:cs="Arial" w:eastAsia="Arial" w:hAnsi="Arial"/>
          <w:sz w:val="16"/>
          <w:szCs w:val="16"/>
          <w:color w:val="auto"/>
        </w:rPr>
      </w:pPr>
    </w:p>
    <w:p>
      <w:pPr>
        <w:ind w:left="1140" w:right="480" w:hanging="565"/>
        <w:spacing w:after="0" w:line="277"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Keith A. Istre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Keith A. Istre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Lamar Advertising Company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Annual Report on Form 10-K of Lamar Advertising and Lamar Media for the year ended December 31, 2014 fully complies with the requirements of Section 13(a) or 15(d) of the Securities Exchange Act of 1934 and that information contained in the combined Form 10-K fairly presents, in all material respects, the financial condition and results of operations of Lamar Advertising and Lamar Media.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Dated: February 25, 2015</w:t>
            </w:r>
          </w:p>
        </w:tc>
        <w:tc>
          <w:tcPr>
            <w:tcW w:w="7540" w:type="dxa"/>
            <w:vAlign w:val="bottom"/>
            <w:gridSpan w:val="2"/>
          </w:tcPr>
          <w:p>
            <w:pPr>
              <w:ind w:left="2020"/>
              <w:spacing w:after="0"/>
              <w:rPr>
                <w:sz w:val="20"/>
                <w:szCs w:val="20"/>
                <w:color w:val="auto"/>
              </w:rPr>
            </w:pPr>
            <w:r>
              <w:rPr>
                <w:rFonts w:ascii="Arial" w:cs="Arial" w:eastAsia="Arial" w:hAnsi="Arial"/>
                <w:sz w:val="18"/>
                <w:szCs w:val="18"/>
                <w:color w:val="auto"/>
              </w:rPr>
              <w:t>By:  /s/ Sean E. Reilly</w:t>
            </w:r>
          </w:p>
        </w:tc>
      </w:tr>
      <w:tr>
        <w:trPr>
          <w:trHeight w:val="195"/>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Sean E. Reilly</w:t>
            </w:r>
          </w:p>
        </w:tc>
      </w:tr>
      <w:tr>
        <w:trPr>
          <w:trHeight w:val="230"/>
        </w:trPr>
        <w:tc>
          <w:tcPr>
            <w:tcW w:w="38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 Lamar Advertising Company</w:t>
            </w:r>
          </w:p>
        </w:tc>
      </w:tr>
      <w:tr>
        <w:trPr>
          <w:trHeight w:val="230"/>
        </w:trPr>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 Lamar Media Corp.</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Dated: February 25, 2015</w:t>
            </w:r>
          </w:p>
        </w:tc>
        <w:tc>
          <w:tcPr>
            <w:tcW w:w="7540" w:type="dxa"/>
            <w:vAlign w:val="bottom"/>
            <w:gridSpan w:val="2"/>
          </w:tcPr>
          <w:p>
            <w:pPr>
              <w:ind w:left="2020"/>
              <w:spacing w:after="0"/>
              <w:rPr>
                <w:sz w:val="20"/>
                <w:szCs w:val="20"/>
                <w:color w:val="auto"/>
              </w:rPr>
            </w:pPr>
            <w:r>
              <w:rPr>
                <w:rFonts w:ascii="Arial" w:cs="Arial" w:eastAsia="Arial" w:hAnsi="Arial"/>
                <w:sz w:val="18"/>
                <w:szCs w:val="18"/>
                <w:color w:val="auto"/>
              </w:rPr>
              <w:t>By:  /s/ Keith A. Istre</w:t>
            </w:r>
          </w:p>
        </w:tc>
      </w:tr>
      <w:tr>
        <w:trPr>
          <w:trHeight w:val="195"/>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Keith A. Istre</w:t>
            </w:r>
          </w:p>
        </w:tc>
      </w:tr>
      <w:tr>
        <w:trPr>
          <w:trHeight w:val="216"/>
        </w:trPr>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lowerRoman"/>
      <w:start w:val="4"/>
    </w:lvl>
  </w:abstractNum>
  <w:abstractNum w:abstractNumId="16">
    <w:nsid w:val="1E7FF521"/>
    <w:multiLevelType w:val="hybridMultilevel"/>
    <w:lvl w:ilvl="0">
      <w:lvlJc w:val="left"/>
      <w:lvlText w:val="(%1)"/>
      <w:numFmt w:val="lowerRoman"/>
      <w:start w:val="7"/>
    </w:lvl>
  </w:abstractNum>
  <w:abstractNum w:abstractNumId="17">
    <w:nsid w:val="7C3DBD3D"/>
    <w:multiLevelType w:val="hybridMultilevel"/>
    <w:lvl w:ilvl="0">
      <w:lvlJc w:val="left"/>
      <w:lvlText w:val="(%1)"/>
      <w:numFmt w:val="decimal"/>
      <w:start w:val="2"/>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Roman"/>
      <w:start w:val="4"/>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2"/>
    </w:lvl>
  </w:abstractNum>
  <w:abstractNum w:abstractNumId="22">
    <w:nsid w:val="3006C83E"/>
    <w:multiLevelType w:val="hybridMultilevel"/>
    <w:lvl w:ilvl="0">
      <w:lvlJc w:val="left"/>
      <w:lvlText w:val="%1."/>
      <w:numFmt w:val="decimal"/>
      <w:start w:val="350"/>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Roman"/>
      <w:start w:val="2"/>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upperLetter"/>
      <w:start w:val="6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upperLetter"/>
      <w:start w:val="1"/>
    </w:lvl>
  </w:abstractNum>
  <w:abstractNum w:abstractNumId="34">
    <w:nsid w:val="51EAD36B"/>
    <w:multiLevelType w:val="hybridMultilevel"/>
    <w:lvl w:ilvl="0">
      <w:lvlJc w:val="left"/>
      <w:lvlText w:val="%1."/>
      <w:numFmt w:val="decimal"/>
      <w:start w:val="2"/>
    </w:lvl>
  </w:abstractNum>
  <w:abstractNum w:abstractNumId="35">
    <w:nsid w:val="2D517796"/>
    <w:multiLevelType w:val="hybridMultilevel"/>
    <w:lvl w:ilvl="0">
      <w:lvlJc w:val="left"/>
      <w:lvlText w:val="%1."/>
      <w:numFmt w:val="decimal"/>
      <w:start w:val="3"/>
    </w:lvl>
  </w:abstractNum>
  <w:abstractNum w:abstractNumId="36">
    <w:nsid w:val="580BD78F"/>
    <w:multiLevelType w:val="hybridMultilevel"/>
    <w:lvl w:ilvl="0">
      <w:lvlJc w:val="left"/>
      <w:lvlText w:val="(%1)"/>
      <w:numFmt w:val="upperLetter"/>
      <w:start w:val="2"/>
    </w:lvl>
  </w:abstractNum>
  <w:abstractNum w:abstractNumId="37">
    <w:nsid w:val="153EA438"/>
    <w:multiLevelType w:val="hybridMultilevel"/>
    <w:lvl w:ilvl="0">
      <w:lvlJc w:val="left"/>
      <w:lvlText w:val="%1"/>
      <w:numFmt w:val="decimal"/>
      <w:start w:val="101"/>
    </w:lvl>
    <w:lvl w:ilvl="1">
      <w:lvlJc w:val="left"/>
      <w:lvlText w:val="(%2)"/>
      <w:numFmt w:val="lowerRoman"/>
      <w:start w:val="2"/>
    </w:lvl>
  </w:abstractNum>
  <w:abstractNum w:abstractNumId="38">
    <w:nsid w:val="3855585C"/>
    <w:multiLevelType w:val="hybridMultilevel"/>
    <w:lvl w:ilvl="0">
      <w:lvlJc w:val="left"/>
      <w:lvlText w:val="%1"/>
      <w:numFmt w:val="decimal"/>
      <w:start w:val="1"/>
    </w:lvl>
    <w:lvl w:ilvl="1">
      <w:lvlJc w:val="left"/>
      <w:lvlText w:val="(%2)"/>
      <w:numFmt w:val="lowerRoman"/>
      <w:start w:val="4"/>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2020-01-22T17:50:51Z</dcterms:created>
  <dcterms:modified xsi:type="dcterms:W3CDTF">2020-01-22T17:50:51Z</dcterms:modified>
</cp:coreProperties>
</file>