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8" w:lineRule="exact"/>
        <w:rPr>
          <w:sz w:val="24"/>
          <w:szCs w:val="24"/>
          <w:color w:val="auto"/>
        </w:rPr>
      </w:pPr>
    </w:p>
    <w:p>
      <w:pPr>
        <w:ind w:left="4440" w:right="4400" w:hanging="4401"/>
        <w:spacing w:after="0" w:line="476" w:lineRule="auto"/>
        <w:tabs>
          <w:tab w:leader="none" w:pos="571" w:val="left"/>
        </w:tabs>
        <w:numPr>
          <w:ilvl w:val="1"/>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2022</w:t>
      </w:r>
    </w:p>
    <w:p>
      <w:pPr>
        <w:spacing w:after="0" w:line="19" w:lineRule="exact"/>
        <w:rPr>
          <w:rFonts w:ascii="Wingdings" w:cs="Wingdings" w:eastAsia="Wingdings" w:hAnsi="Wingdings"/>
          <w:sz w:val="12"/>
          <w:szCs w:val="12"/>
          <w:b w:val="1"/>
          <w:bCs w:val="1"/>
          <w:color w:val="auto"/>
        </w:rPr>
      </w:pPr>
    </w:p>
    <w:p>
      <w:pPr>
        <w:ind w:left="560" w:hanging="534"/>
        <w:spacing w:after="0"/>
        <w:tabs>
          <w:tab w:leader="none" w:pos="5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4440" w:type="dxa"/>
        <w:tblCellMar>
          <w:top w:w="0" w:type="dxa"/>
          <w:left w:w="0" w:type="dxa"/>
          <w:bottom w:w="0" w:type="dxa"/>
          <w:right w:w="0" w:type="dxa"/>
        </w:tblCellMar>
      </w:tblPr>
      <w:tr>
        <w:trPr>
          <w:trHeight w:val="149"/>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For the transition period from</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300" w:type="dxa"/>
            <w:vAlign w:val="bottom"/>
            <w:tcBorders>
              <w:bottom w:val="single" w:sz="8" w:color="auto"/>
            </w:tcBorders>
          </w:tcPr>
          <w:p>
            <w:pPr>
              <w:spacing w:after="0"/>
              <w:rPr>
                <w:sz w:val="12"/>
                <w:szCs w:val="12"/>
                <w:color w:val="auto"/>
              </w:rPr>
            </w:pPr>
          </w:p>
        </w:tc>
      </w:tr>
      <w:tr>
        <w:trPr>
          <w:trHeight w:val="193"/>
        </w:trPr>
        <w:tc>
          <w:tcPr>
            <w:tcW w:w="236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Commission File Number 1-36756</w:t>
            </w:r>
          </w:p>
        </w:tc>
      </w:tr>
    </w:tbl>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Lamar Advertising Company</w:t>
      </w:r>
    </w:p>
    <w:p>
      <w:pPr>
        <w:spacing w:after="0" w:line="4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1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Lamar Media Corp.</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names of registrants as specified in their charters)</w:t>
      </w:r>
    </w:p>
    <w:p>
      <w:pPr>
        <w:spacing w:after="0" w:line="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60" w:type="dxa"/>
            <w:vAlign w:val="bottom"/>
          </w:tcPr>
          <w:p>
            <w:pPr>
              <w:jc w:val="center"/>
              <w:ind w:left="16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60" w:type="dxa"/>
            <w:vAlign w:val="bottom"/>
          </w:tcPr>
          <w:p>
            <w:pPr>
              <w:jc w:val="center"/>
              <w:ind w:left="16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420" w:type="dxa"/>
            <w:vAlign w:val="bottom"/>
            <w:gridSpan w:val="4"/>
          </w:tcPr>
          <w:p>
            <w:pPr>
              <w:jc w:val="center"/>
              <w:ind w:right="1860"/>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176"/>
        </w:trPr>
        <w:tc>
          <w:tcPr>
            <w:tcW w:w="386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5"/>
        </w:trPr>
        <w:tc>
          <w:tcPr>
            <w:tcW w:w="386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91"/>
        </w:trPr>
        <w:tc>
          <w:tcPr>
            <w:tcW w:w="386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(225) 926-1000</w:t>
            </w:r>
          </w:p>
        </w:tc>
        <w:tc>
          <w:tcPr>
            <w:tcW w:w="382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OF LAMAR ADVERTISING COMPANY</w:t>
            </w:r>
          </w:p>
        </w:tc>
        <w:tc>
          <w:tcPr>
            <w:tcW w:w="382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16"/>
        </w:trPr>
        <w:tc>
          <w:tcPr>
            <w:tcW w:w="3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163"/>
        </w:trPr>
        <w:tc>
          <w:tcPr>
            <w:tcW w:w="3860" w:type="dxa"/>
            <w:vAlign w:val="bottom"/>
            <w:tcBorders>
              <w:left w:val="single" w:sz="8" w:color="auto"/>
              <w:bottom w:val="single" w:sz="8" w:color="auto"/>
            </w:tcBorders>
          </w:tcPr>
          <w:p>
            <w:pPr>
              <w:jc w:val="center"/>
              <w:ind w:left="49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Trading Symbol(s)</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69"/>
        </w:trPr>
        <w:tc>
          <w:tcPr>
            <w:tcW w:w="3860" w:type="dxa"/>
            <w:vAlign w:val="bottom"/>
            <w:tcBorders>
              <w:left w:val="single" w:sz="8" w:color="auto"/>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LAMR</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40"/>
        </w:trPr>
        <w:tc>
          <w:tcPr>
            <w:tcW w:w="3860" w:type="dxa"/>
            <w:vAlign w:val="bottom"/>
          </w:tcPr>
          <w:p>
            <w:pPr>
              <w:spacing w:after="0"/>
              <w:rPr>
                <w:sz w:val="20"/>
                <w:szCs w:val="20"/>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OF LAMAR ADVERTISING COMPANY</w:t>
            </w:r>
          </w:p>
        </w:tc>
        <w:tc>
          <w:tcPr>
            <w:tcW w:w="3820" w:type="dxa"/>
            <w:vAlign w:val="bottom"/>
          </w:tcPr>
          <w:p>
            <w:pPr>
              <w:spacing w:after="0"/>
              <w:rPr>
                <w:sz w:val="20"/>
                <w:szCs w:val="20"/>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REGISTERED PURSUANT TO SECTION 12(g)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8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SECURITIES OF LAMAR MEDIA CORP.</w:t>
            </w:r>
          </w:p>
        </w:tc>
        <w:tc>
          <w:tcPr>
            <w:tcW w:w="382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8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SECURITIES OF LAMAR MEDIA CORP.</w:t>
            </w:r>
          </w:p>
        </w:tc>
        <w:tc>
          <w:tcPr>
            <w:tcW w:w="382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REGISTERED PURSUANT TO SECTION 12(g) OF THE ACT:</w:t>
            </w:r>
          </w:p>
        </w:tc>
        <w:tc>
          <w:tcPr>
            <w:tcW w:w="3820" w:type="dxa"/>
            <w:vAlign w:val="bottom"/>
          </w:tcPr>
          <w:p>
            <w:pPr>
              <w:spacing w:after="0"/>
              <w:rPr>
                <w:sz w:val="12"/>
                <w:szCs w:val="12"/>
                <w:color w:val="auto"/>
              </w:rPr>
            </w:pPr>
          </w:p>
        </w:tc>
      </w:tr>
      <w:tr>
        <w:trPr>
          <w:trHeight w:val="182"/>
        </w:trPr>
        <w:tc>
          <w:tcPr>
            <w:tcW w:w="3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820" w:type="dxa"/>
            <w:vAlign w:val="bottom"/>
          </w:tcPr>
          <w:p>
            <w:pPr>
              <w:spacing w:after="0"/>
              <w:rPr>
                <w:sz w:val="15"/>
                <w:szCs w:val="15"/>
                <w:color w:val="auto"/>
              </w:rPr>
            </w:pPr>
          </w:p>
        </w:tc>
      </w:tr>
      <w:tr>
        <w:trPr>
          <w:trHeight w:val="212"/>
        </w:trPr>
        <w:tc>
          <w:tcPr>
            <w:tcW w:w="386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w:t>
            </w:r>
          </w:p>
        </w:tc>
        <w:tc>
          <w:tcPr>
            <w:tcW w:w="3820" w:type="dxa"/>
            <w:vAlign w:val="bottom"/>
          </w:tcPr>
          <w:p>
            <w:pPr>
              <w:spacing w:after="0"/>
              <w:rPr>
                <w:sz w:val="18"/>
                <w:szCs w:val="18"/>
                <w:color w:val="auto"/>
              </w:rPr>
            </w:pPr>
          </w:p>
        </w:tc>
      </w:tr>
    </w:tbl>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a well-known seasoned issuer, as defined in Rule 405 of the Securities Act.</w:t>
            </w:r>
          </w:p>
        </w:tc>
        <w:tc>
          <w:tcPr>
            <w:tcW w:w="92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3"/>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not required to file reports pursuant to Section 13 or Section 15(d) of the Exchange Act.  Yes</w:t>
            </w:r>
          </w:p>
        </w:tc>
        <w:tc>
          <w:tcPr>
            <w:tcW w:w="20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7"/>
              </w:rPr>
              <w:t xml:space="preserve">No </w:t>
            </w:r>
            <w:r>
              <w:rPr>
                <w:rFonts w:ascii="Wingdings" w:cs="Wingdings" w:eastAsia="Wingdings" w:hAnsi="Wingdings"/>
                <w:sz w:val="13"/>
                <w:szCs w:val="13"/>
                <w:b w:val="1"/>
                <w:bCs w:val="1"/>
                <w:color w:val="auto"/>
                <w:w w:val="97"/>
              </w:rPr>
              <w:t>x</w:t>
            </w:r>
          </w:p>
        </w:tc>
      </w:tr>
      <w:tr>
        <w:trPr>
          <w:trHeight w:val="216"/>
        </w:trPr>
        <w:tc>
          <w:tcPr>
            <w:tcW w:w="680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9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87"/>
              </w:rPr>
              <w:t>No</w:t>
            </w:r>
          </w:p>
        </w:tc>
        <w:tc>
          <w:tcPr>
            <w:tcW w:w="700" w:type="dxa"/>
            <w:vAlign w:val="bottom"/>
          </w:tcPr>
          <w:p>
            <w:pPr>
              <w:ind w:left="60"/>
              <w:spacing w:after="0"/>
              <w:rPr>
                <w:sz w:val="20"/>
                <w:szCs w:val="20"/>
                <w:color w:val="auto"/>
              </w:rPr>
            </w:pPr>
            <w:r>
              <w:rPr>
                <w:rFonts w:ascii="Wingdings" w:cs="Wingdings" w:eastAsia="Wingdings" w:hAnsi="Wingdings"/>
                <w:sz w:val="13"/>
                <w:szCs w:val="13"/>
                <w:b w:val="1"/>
                <w:bCs w:val="1"/>
                <w:color w:val="auto"/>
              </w:rPr>
              <w:t>x</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Indicate by check mark if Lamar Media Corp. is not required to file reports pursuant to Section 13 or Section 15(d) of the Exchange Act.</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w:t>
            </w:r>
          </w:p>
        </w:tc>
        <w:tc>
          <w:tcPr>
            <w:tcW w:w="20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spacing w:after="0"/>
              <w:rPr>
                <w:sz w:val="17"/>
                <w:szCs w:val="17"/>
                <w:color w:val="auto"/>
              </w:rPr>
            </w:pPr>
          </w:p>
        </w:tc>
      </w:tr>
    </w:tbl>
    <w:p>
      <w:pPr>
        <w:spacing w:after="0" w:line="24" w:lineRule="exact"/>
        <w:rPr>
          <w:sz w:val="24"/>
          <w:szCs w:val="24"/>
          <w:color w:val="auto"/>
        </w:rPr>
      </w:pPr>
    </w:p>
    <w:p>
      <w:pPr>
        <w:ind w:right="8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50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60" w:type="dxa"/>
            <w:vAlign w:val="bottom"/>
          </w:tcPr>
          <w:p>
            <w:pPr>
              <w:ind w:left="660"/>
              <w:spacing w:after="0"/>
              <w:rPr>
                <w:sz w:val="20"/>
                <w:szCs w:val="20"/>
                <w:color w:val="auto"/>
              </w:rPr>
            </w:pPr>
            <w:r>
              <w:rPr>
                <w:rFonts w:ascii="Wingdings" w:cs="Wingdings" w:eastAsia="Wingdings" w:hAnsi="Wingdings"/>
                <w:sz w:val="13"/>
                <w:szCs w:val="13"/>
                <w:b w:val="1"/>
                <w:bCs w:val="1"/>
                <w:color w:val="auto"/>
              </w:rPr>
              <w:t>x</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119" w:lineRule="exact"/>
        <w:rPr>
          <w:sz w:val="24"/>
          <w:szCs w:val="24"/>
          <w:color w:val="auto"/>
        </w:rPr>
      </w:pPr>
    </w:p>
    <w:p>
      <w:pPr>
        <w:ind w:right="80"/>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Lamar Advertising Company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5" w:lineRule="exact"/>
        <w:rPr>
          <w:sz w:val="24"/>
          <w:szCs w:val="24"/>
          <w:color w:val="auto"/>
        </w:rPr>
      </w:pPr>
    </w:p>
    <w:p>
      <w:pPr>
        <w:ind w:right="100"/>
        <w:spacing w:after="0" w:line="16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5" w:lineRule="exact"/>
        <w:rPr>
          <w:sz w:val="24"/>
          <w:szCs w:val="24"/>
          <w:color w:val="auto"/>
        </w:rPr>
      </w:pPr>
    </w:p>
    <w:p>
      <w:pPr>
        <w:ind w:right="240"/>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24"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80" w:type="dxa"/>
            <w:vAlign w:val="bottom"/>
          </w:tcPr>
          <w:p>
            <w:pPr>
              <w:ind w:left="660"/>
              <w:spacing w:after="0"/>
              <w:rPr>
                <w:sz w:val="20"/>
                <w:szCs w:val="20"/>
                <w:color w:val="auto"/>
              </w:rPr>
            </w:pPr>
            <w:r>
              <w:rPr>
                <w:rFonts w:ascii="Wingdings" w:cs="Wingdings" w:eastAsia="Wingdings" w:hAnsi="Wingdings"/>
                <w:sz w:val="13"/>
                <w:szCs w:val="13"/>
                <w:b w:val="1"/>
                <w:bCs w:val="1"/>
                <w:color w:val="auto"/>
              </w:rPr>
              <w:t>x</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92" w:lineRule="exact"/>
        <w:rPr>
          <w:sz w:val="24"/>
          <w:szCs w:val="24"/>
          <w:color w:val="auto"/>
        </w:rPr>
      </w:pPr>
    </w:p>
    <w:p>
      <w:pPr>
        <w:ind w:right="10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40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00"/>
        <w:spacing w:after="0" w:line="15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24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50" w:lineRule="exact"/>
        <w:tabs>
          <w:tab w:leader="none" w:pos="5640" w:val="left"/>
          <w:tab w:leader="none" w:pos="6120" w:val="left"/>
        </w:tabs>
        <w:rPr>
          <w:sz w:val="20"/>
          <w:szCs w:val="20"/>
          <w:color w:val="auto"/>
        </w:rPr>
      </w:pPr>
      <w:r>
        <w:rPr>
          <w:rFonts w:ascii="Times New Roman" w:cs="Times New Roman" w:eastAsia="Times New Roman" w:hAnsi="Times New Roman"/>
          <w:sz w:val="13"/>
          <w:szCs w:val="13"/>
          <w:color w:val="auto"/>
        </w:rPr>
        <w:t>Indicate by check mark if either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ectPr>
          <w:pgSz w:w="11900" w:h="16838" w:orient="portrait"/>
          <w:cols w:equalWidth="0" w:num="1">
            <w:col w:w="11220"/>
          </w:cols>
          <w:pgMar w:left="320" w:top="229" w:right="359" w:bottom="0" w:gutter="0" w:footer="0" w:header="0"/>
        </w:sectPr>
      </w:pPr>
    </w:p>
    <w:bookmarkStart w:id="1" w:name="page2"/>
    <w:bookmarkEnd w:id="1"/>
    <w:p>
      <w:pPr>
        <w:ind w:right="20"/>
        <w:spacing w:after="0" w:line="259" w:lineRule="auto"/>
        <w:rPr>
          <w:sz w:val="20"/>
          <w:szCs w:val="20"/>
          <w:color w:val="auto"/>
        </w:rPr>
      </w:pPr>
      <w:r>
        <w:rPr>
          <w:rFonts w:ascii="Times New Roman" w:cs="Times New Roman" w:eastAsia="Times New Roman" w:hAnsi="Times New Roman"/>
          <w:sz w:val="13"/>
          <w:szCs w:val="13"/>
          <w:color w:val="auto"/>
        </w:rPr>
        <w:t>The aggregate market value of the voting stock held by nonaffiliates of Lamar Advertising Company was $7,547,230,179 based on $87.97 per share as reported at the close of trading on the NASDAQ Global Select Market on June 30, 2022, the last business day of the registrant’s most recently completed second fiscal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30, 2022, the aggregate market value of the voting stock held by nonaffiliates of Lamar Media Corp. was $0.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4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Outstanding at February 1, 2023</w:t>
            </w:r>
          </w:p>
        </w:tc>
      </w:tr>
      <w:tr>
        <w:trPr>
          <w:trHeight w:val="16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Lamar Advertising Company Class A common stock, $0.001 par value per share</w:t>
            </w: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87,327,832 shares</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Lamar Advertising Company Class B common stock, $0.001 par value per share</w:t>
            </w: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14,420,085 shares</w:t>
            </w:r>
          </w:p>
        </w:tc>
      </w:tr>
      <w:tr>
        <w:trPr>
          <w:trHeight w:val="175"/>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Lamar Media Corp. common stock, $0.001 par value per share</w:t>
            </w: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w:t>
            </w:r>
          </w:p>
        </w:tc>
      </w:tr>
      <w:tr>
        <w:trPr>
          <w:trHeight w:val="270"/>
        </w:trPr>
        <w:tc>
          <w:tcPr>
            <w:tcW w:w="4140" w:type="dxa"/>
            <w:vAlign w:val="bottom"/>
          </w:tcPr>
          <w:p>
            <w:pPr>
              <w:spacing w:after="0"/>
              <w:rPr>
                <w:sz w:val="23"/>
                <w:szCs w:val="23"/>
                <w:color w:val="auto"/>
              </w:rPr>
            </w:pPr>
          </w:p>
        </w:tc>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Parts into Which Incorporated</w:t>
            </w:r>
          </w:p>
        </w:tc>
      </w:tr>
      <w:tr>
        <w:trPr>
          <w:trHeight w:val="164"/>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Proxy Statement for the Annual Meeting of Stockholders scheduled to be held on May 10, 2023 (Proxy Statement)</w:t>
            </w:r>
          </w:p>
        </w:tc>
        <w:tc>
          <w:tcPr>
            <w:tcW w:w="120" w:type="dxa"/>
            <w:vAlign w:val="bottom"/>
          </w:tcPr>
          <w:p>
            <w:pPr>
              <w:spacing w:after="0"/>
              <w:rPr>
                <w:sz w:val="14"/>
                <w:szCs w:val="14"/>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 III</w:t>
            </w:r>
          </w:p>
        </w:tc>
      </w:tr>
    </w:tbl>
    <w:p>
      <w:pPr>
        <w:spacing w:after="0" w:line="104" w:lineRule="exact"/>
        <w:rPr>
          <w:sz w:val="20"/>
          <w:szCs w:val="20"/>
          <w:color w:val="auto"/>
        </w:rPr>
      </w:pPr>
    </w:p>
    <w:p>
      <w:pPr>
        <w:jc w:val="both"/>
        <w:ind w:right="20" w:firstLine="567"/>
        <w:spacing w:after="0" w:line="260" w:lineRule="auto"/>
        <w:rPr>
          <w:sz w:val="20"/>
          <w:szCs w:val="20"/>
          <w:color w:val="auto"/>
        </w:rPr>
      </w:pPr>
      <w:r>
        <w:rPr>
          <w:rFonts w:ascii="Times New Roman" w:cs="Times New Roman" w:eastAsia="Times New Roman" w:hAnsi="Times New Roman"/>
          <w:sz w:val="11"/>
          <w:szCs w:val="11"/>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p>
      <w:pPr>
        <w:spacing w:after="0" w:line="2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EE"/>
        </w:rPr>
        <w:t>Business</w:t>
      </w:r>
    </w:p>
    <w:p>
      <w:pPr>
        <w:spacing w:after="0" w:line="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General</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Corporate History</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Operating Strategies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Capital Allocation Strategy</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Company Operations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Competition</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Geographic Diversification</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Taxable REIT Subsidiaries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Advertising Tenants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Regulation</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300" w:type="dxa"/>
            <w:vAlign w:val="bottom"/>
            <w:gridSpan w:val="16"/>
          </w:tcPr>
          <w:p>
            <w:pPr>
              <w:spacing w:after="0"/>
              <w:rPr>
                <w:sz w:val="17"/>
                <w:szCs w:val="17"/>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Real Estate Portfolio</w:t>
            </w:r>
          </w:p>
        </w:tc>
        <w:tc>
          <w:tcPr>
            <w:tcW w:w="6120" w:type="dxa"/>
            <w:vAlign w:val="bottom"/>
            <w:gridSpan w:val="1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Contract Expirations</w:t>
            </w:r>
          </w:p>
        </w:tc>
        <w:tc>
          <w:tcPr>
            <w:tcW w:w="6140" w:type="dxa"/>
            <w:vAlign w:val="bottom"/>
            <w:gridSpan w:val="15"/>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Human Capital Resources</w:t>
            </w: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Inflation</w:t>
            </w:r>
          </w:p>
        </w:tc>
        <w:tc>
          <w:tcPr>
            <w:tcW w:w="5760" w:type="dxa"/>
            <w:vAlign w:val="bottom"/>
            <w:gridSpan w:val="12"/>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Seasonality</w:t>
            </w:r>
          </w:p>
        </w:tc>
        <w:tc>
          <w:tcPr>
            <w:tcW w:w="6800" w:type="dxa"/>
            <w:vAlign w:val="bottom"/>
            <w:gridSpan w:val="23"/>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Available Information</w:t>
            </w:r>
          </w:p>
        </w:tc>
        <w:tc>
          <w:tcPr>
            <w:tcW w:w="6040" w:type="dxa"/>
            <w:vAlign w:val="bottom"/>
            <w:gridSpan w:val="13"/>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Risk Factors</w:t>
            </w: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6040" w:type="dxa"/>
            <w:vAlign w:val="bottom"/>
            <w:gridSpan w:val="13"/>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740" w:type="dxa"/>
            <w:vAlign w:val="bottom"/>
            <w:gridSpan w:val="21"/>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286"/>
        </w:trPr>
        <w:tc>
          <w:tcPr>
            <w:tcW w:w="14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PART II</w:t>
            </w:r>
          </w:p>
        </w:tc>
      </w:tr>
      <w:tr>
        <w:trPr>
          <w:trHeight w:val="194"/>
        </w:trPr>
        <w:tc>
          <w:tcPr>
            <w:tcW w:w="1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2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20" w:type="dxa"/>
            <w:vAlign w:val="bottom"/>
            <w:gridSpan w:val="3"/>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Lamar Advertising Company</w:t>
            </w:r>
          </w:p>
        </w:tc>
        <w:tc>
          <w:tcPr>
            <w:tcW w:w="5520" w:type="dxa"/>
            <w:vAlign w:val="bottom"/>
            <w:gridSpan w:val="11"/>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0"/>
              </w:rPr>
              <w:t>Overview</w:t>
            </w:r>
          </w:p>
        </w:tc>
        <w:tc>
          <w:tcPr>
            <w:tcW w:w="6520" w:type="dxa"/>
            <w:vAlign w:val="bottom"/>
            <w:gridSpan w:val="18"/>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6"/>
              </w:rPr>
              <w:t>Non-GAAP Financial Measures</w:t>
            </w:r>
          </w:p>
        </w:tc>
        <w:tc>
          <w:tcPr>
            <w:tcW w:w="4920" w:type="dxa"/>
            <w:vAlign w:val="bottom"/>
            <w:gridSpan w:val="9"/>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Results of Operations: Years Ended December 31, 2022 and 2021</w:t>
            </w:r>
          </w:p>
        </w:tc>
        <w:tc>
          <w:tcPr>
            <w:tcW w:w="2500" w:type="dxa"/>
            <w:vAlign w:val="bottom"/>
            <w:gridSpan w:val="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Liquidity and Capital Resources</w:t>
            </w:r>
          </w:p>
        </w:tc>
        <w:tc>
          <w:tcPr>
            <w:tcW w:w="4900" w:type="dxa"/>
            <w:vAlign w:val="bottom"/>
            <w:gridSpan w:val="8"/>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6"/>
              </w:rPr>
              <w:t>Critical Accounting Estimates</w:t>
            </w:r>
          </w:p>
        </w:tc>
        <w:tc>
          <w:tcPr>
            <w:tcW w:w="5060" w:type="dxa"/>
            <w:vAlign w:val="bottom"/>
            <w:gridSpan w:val="10"/>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Accounting Standards and Regulatory Update</w:t>
            </w:r>
          </w:p>
        </w:tc>
        <w:tc>
          <w:tcPr>
            <w:tcW w:w="3920" w:type="dxa"/>
            <w:vAlign w:val="bottom"/>
            <w:gridSpan w:val="7"/>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Lamar Media</w:t>
            </w:r>
          </w:p>
        </w:tc>
        <w:tc>
          <w:tcPr>
            <w:tcW w:w="6660" w:type="dxa"/>
            <w:vAlign w:val="bottom"/>
            <w:gridSpan w:val="20"/>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Results of Operations: Years Ended December 31, 2022 and 2021</w:t>
            </w:r>
          </w:p>
        </w:tc>
        <w:tc>
          <w:tcPr>
            <w:tcW w:w="2500" w:type="dxa"/>
            <w:vAlign w:val="bottom"/>
            <w:gridSpan w:val="4"/>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20" w:type="dxa"/>
            <w:vAlign w:val="bottom"/>
            <w:gridSpan w:val="6"/>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Financial Statements</w:t>
            </w:r>
          </w:p>
        </w:tc>
      </w:tr>
      <w:tr>
        <w:trPr>
          <w:trHeight w:val="20"/>
        </w:trPr>
        <w:tc>
          <w:tcPr>
            <w:tcW w:w="14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60" w:type="dxa"/>
            <w:vAlign w:val="bottom"/>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600" w:type="dxa"/>
            <w:vAlign w:val="bottom"/>
            <w:gridSpan w:val="2"/>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08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Controls and Procedures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21"/>
                <w:szCs w:val="21"/>
                <w:color w:val="auto"/>
              </w:rPr>
            </w:pPr>
          </w:p>
        </w:tc>
        <w:tc>
          <w:tcPr>
            <w:tcW w:w="6320" w:type="dxa"/>
            <w:vAlign w:val="bottom"/>
            <w:gridSpan w:val="17"/>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120" w:type="dxa"/>
            <w:vAlign w:val="bottom"/>
            <w:gridSpan w:val="5"/>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104</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104</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105</w:t>
      </w:r>
    </w:p>
    <w:p>
      <w:pPr>
        <w:spacing w:after="0" w:line="200" w:lineRule="exact"/>
        <w:rPr>
          <w:sz w:val="20"/>
          <w:szCs w:val="20"/>
          <w:color w:val="auto"/>
        </w:rPr>
      </w:pPr>
    </w:p>
    <w:p>
      <w:pPr>
        <w:sectPr>
          <w:pgSz w:w="11900" w:h="16838" w:orient="portrait"/>
          <w:cols w:equalWidth="0" w:num="2">
            <w:col w:w="10200" w:space="720"/>
            <w:col w:w="26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0000EE"/>
        </w:rPr>
        <w:t>Directors, Executive Officers and Corporate Governance</w:t>
      </w:r>
    </w:p>
    <w:p>
      <w:pPr>
        <w:spacing w:after="0" w:line="58"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u w:val="single" w:color="auto"/>
          <w:color w:val="0000EE"/>
        </w:rPr>
        <w:t>Executive Compensation</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u w:val="single" w:color="auto"/>
          <w:color w:val="0000EE"/>
        </w:rPr>
        <w:t>Security Ownership of Certain Beneficial Owners and Management and Related Stockholder Matters</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0000EE"/>
        </w:rPr>
        <w:t>Certain Relationships and Related Transactions, and Director Independence</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u w:val="single" w:color="auto"/>
          <w:color w:val="0000EE"/>
        </w:rPr>
        <w:t>Principal Accounting Fees and Services</w:t>
      </w:r>
    </w:p>
    <w:p>
      <w:pPr>
        <w:spacing w:after="0" w:line="5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EE"/>
        </w:rPr>
        <w:t>Exhibits, Financial Statement Schedules</w:t>
      </w:r>
    </w:p>
    <w:p>
      <w:pPr>
        <w:spacing w:after="0" w:line="58"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000EE"/>
        </w:rPr>
        <w:t>Form 10-K Summary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Index to Exhibits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2">
            <w:col w:w="10200" w:space="720"/>
            <w:col w:w="26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 (vii) expected timing and amount of distributions to our stockholders; (viii) estimated risks; (ix) our ability to maintain compliance with applicable covenants and restrictions included in Lamar Media Corp’s (“Lamar Media”) senior credit facility, Accounts Receivable Securitization Program (as defined herein) and the indentures relating to its outstanding notes; (x) stock price; and (xi) our ability to remain qualified as a real estate investment trust (“REIT”).</w:t>
      </w:r>
    </w:p>
    <w:p>
      <w:pPr>
        <w:spacing w:after="0" w:line="194"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including inflationary pressures; (ii) the levels of expenditures on advertising in general and outdoor advertising in particular;</w:t>
      </w:r>
    </w:p>
    <w:p>
      <w:pPr>
        <w:spacing w:after="0" w:line="3" w:lineRule="exact"/>
        <w:rPr>
          <w:sz w:val="20"/>
          <w:szCs w:val="20"/>
          <w:color w:val="auto"/>
        </w:rPr>
      </w:pPr>
    </w:p>
    <w:p>
      <w:pPr>
        <w:jc w:val="both"/>
        <w:ind w:firstLine="8"/>
        <w:spacing w:after="0" w:line="251"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 (ix) the integration of businesses and assets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 (xiii) our ability to effectively mitigate the threat of and damages caused by hurricanes and other kinds of severe weather; (xiv) our ability to maintain our status as a REIT; and (xv) changes in tax laws applicable to REITs or in the interpretation of those laws.</w:t>
      </w:r>
    </w:p>
    <w:p>
      <w:pPr>
        <w:spacing w:after="0" w:line="19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industry and market data presented throughout this report are based on the experience and estimates of our management and the data in reports issued by third-parties, including the Out of Home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rent space for advertising on billboards, buses, shelters, benches, logo plates and in airport terminals. We offer our customers a fully integrated service, satisfying all aspects of their display requirements from ad copy production to placement and maintenance.</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three types of outdoor advertising displays: billboards, logo signs and transit advertising displays.</w:t>
      </w:r>
    </w:p>
    <w:p>
      <w:pPr>
        <w:spacing w:after="0" w:line="223"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Billboards. </w:t>
      </w:r>
      <w:r>
        <w:rPr>
          <w:rFonts w:ascii="Times New Roman" w:cs="Times New Roman" w:eastAsia="Times New Roman" w:hAnsi="Times New Roman"/>
          <w:sz w:val="18"/>
          <w:szCs w:val="18"/>
          <w:color w:val="auto"/>
        </w:rPr>
        <w:t>As of December 31, 2022, we owned and operated approximately 160,200 billboard advertising displays in 45 states and Canada.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 most of our advertising space on two types of billboards: bulletins and posters.</w:t>
      </w:r>
    </w:p>
    <w:p>
      <w:pPr>
        <w:spacing w:after="0" w:line="50"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generally large, illuminated advertising structures that are located on major highways and target vehicular traffic.</w:t>
      </w:r>
    </w:p>
    <w:p>
      <w:pPr>
        <w:spacing w:after="0" w:line="117" w:lineRule="exact"/>
        <w:rPr>
          <w:rFonts w:ascii="Times New Roman" w:cs="Times New Roman" w:eastAsia="Times New Roman" w:hAnsi="Times New Roman"/>
          <w:sz w:val="18"/>
          <w:szCs w:val="18"/>
          <w:i w:val="1"/>
          <w:iCs w:val="1"/>
          <w:color w:val="auto"/>
        </w:rPr>
      </w:pPr>
    </w:p>
    <w:p>
      <w:pPr>
        <w:ind w:left="1140" w:right="20" w:hanging="565"/>
        <w:spacing w:after="0" w:line="284" w:lineRule="auto"/>
        <w:tabs>
          <w:tab w:leader="none" w:pos="11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generally smaller advertising structures that are located on major traffic arteries and city streets and target vehicular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pedestrian traffic.</w:t>
      </w:r>
    </w:p>
    <w:p>
      <w:pPr>
        <w:spacing w:after="0" w:line="160"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In addition to traditional billboards, we also rent space on digital billboards, which are generally located on major traffic arteries and city streets. As of December 31, 2022, we owned and operated approximately 4,500 digital billboard advertising displays in 43 states and Canada.</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We rent advertising space on logo signs located near highway exits.</w:t>
      </w:r>
    </w:p>
    <w:p>
      <w:pPr>
        <w:spacing w:after="0" w:line="117" w:lineRule="exact"/>
        <w:rPr>
          <w:sz w:val="20"/>
          <w:szCs w:val="20"/>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generally advertise nearby gas, food, camping, lodging and other attractions.</w:t>
      </w:r>
    </w:p>
    <w:p>
      <w:pPr>
        <w:spacing w:after="0" w:line="22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are the largest provider of logo signs in the United States, operating 23 of the 26 privatized state logo sign contracts. As of December 31, 2022, we operated approximately 139,000 logo sign advertising displays in 23 states and the province of Ontario, Canada.</w:t>
      </w:r>
    </w:p>
    <w:p>
      <w:pPr>
        <w:spacing w:after="0" w:line="16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advertising displays. </w:t>
      </w:r>
      <w:r>
        <w:rPr>
          <w:rFonts w:ascii="Times New Roman" w:cs="Times New Roman" w:eastAsia="Times New Roman" w:hAnsi="Times New Roman"/>
          <w:sz w:val="18"/>
          <w:szCs w:val="18"/>
          <w:color w:val="auto"/>
        </w:rPr>
        <w:t>We also rent advertising space on the exterior and interior of public transportation vehicles, in airport terminals,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 shelters and benches in over 80 markets. As of December 31, 2022, we operated approximately 47,500 transit advertising displays in 24 states and Canada.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operated under the Lamar name since our founding in 1902 and have been publicly traded on NASDAQ under the symbol “LAMR”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1996.</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2014, we completed a reorganization in order to qualify as a real estate investment trust (a “REIT”) for federal income tax purposes. During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and we refer to Lamar Advertising’s wholly owned subsidiary Lamar Media Corp. as “Lamar Media.”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strive to be a leading provider of outdoor advertising services in each of the markets that we serve, and our operating strategies for achieving that goal include:</w:t>
      </w:r>
    </w:p>
    <w:p>
      <w:pPr>
        <w:spacing w:after="0" w:line="15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provide high quality local sales and service. </w:t>
      </w:r>
      <w:r>
        <w:rPr>
          <w:rFonts w:ascii="Times New Roman" w:cs="Times New Roman" w:eastAsia="Times New Roman" w:hAnsi="Times New Roman"/>
          <w:sz w:val="18"/>
          <w:szCs w:val="18"/>
          <w:color w:val="auto"/>
        </w:rPr>
        <w:t>We seek to identify and closely monitor the needs of our tenants and to provide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full complement of high quality advertising services. Local advertising constituted approximately 78% of our outdoor net revenues for the year ended December 31, 2022, which management believes is higher than the industry average. We believe that the experience of our regional, territory and local managers has contributed greatly to our success. For example, our regional managers have been with us for an average of 31 years. In an effort to provide high quality sales and service at the local level, we employed approximately 950 local account executives as of December 31, 2022.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183"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a centralized control and decentralized management structure. </w:t>
      </w:r>
      <w:r>
        <w:rPr>
          <w:rFonts w:ascii="Times New Roman" w:cs="Times New Roman" w:eastAsia="Times New Roman" w:hAnsi="Times New Roman"/>
          <w:sz w:val="18"/>
          <w:szCs w:val="18"/>
          <w:color w:val="auto"/>
        </w:rPr>
        <w:t>Our management believes that, for our particular business, centralized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176"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focus on internal growth. </w:t>
      </w:r>
      <w:r>
        <w:rPr>
          <w:rFonts w:ascii="Times New Roman" w:cs="Times New Roman" w:eastAsia="Times New Roman" w:hAnsi="Times New Roman"/>
          <w:sz w:val="18"/>
          <w:szCs w:val="18"/>
          <w:color w:val="auto"/>
        </w:rPr>
        <w:t>Within our existing markets we seek to increase our revenue and improve cash flow by employing 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17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we routinely invest in upgrading our existing displays and constructing new displays. Since January 1, 2013, we have invested approximately $1.2 billion in capitalized expenditures, which include improvements to our existing real estate portfolio, improvements to recently acquired locations and the construction of new locations. Our regular improvement and expansion of our advertising display inventory allows us to provide high quality service to our current tenants and to attract new tenants.</w:t>
      </w:r>
    </w:p>
    <w:p>
      <w:pPr>
        <w:spacing w:after="0" w:line="176" w:lineRule="exact"/>
        <w:rPr>
          <w:sz w:val="20"/>
          <w:szCs w:val="20"/>
          <w:color w:val="auto"/>
        </w:rPr>
      </w:pPr>
    </w:p>
    <w:p>
      <w:pPr>
        <w:jc w:val="both"/>
        <w:ind w:firstLine="56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pursue other outdoor advertising opportunities. </w:t>
      </w:r>
      <w:r>
        <w:rPr>
          <w:rFonts w:ascii="Times New Roman" w:cs="Times New Roman" w:eastAsia="Times New Roman" w:hAnsi="Times New Roman"/>
          <w:sz w:val="18"/>
          <w:szCs w:val="18"/>
          <w:color w:val="auto"/>
        </w:rPr>
        <w:t>We plan to renew existing logo sign contracts and pursue additional logo 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and airport advertising opportunities as they become available.</w:t>
      </w:r>
    </w:p>
    <w:p>
      <w:pPr>
        <w:spacing w:after="0" w:line="179"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Reinvesting in capital expenditures including digital technology. </w:t>
      </w:r>
      <w:r>
        <w:rPr>
          <w:rFonts w:ascii="Times New Roman" w:cs="Times New Roman" w:eastAsia="Times New Roman" w:hAnsi="Times New Roman"/>
          <w:sz w:val="18"/>
          <w:szCs w:val="18"/>
          <w:color w:val="auto"/>
        </w:rPr>
        <w:t>We have a history of investing in capital expenditures, particularly in our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spent approximately $167.1 million in total capital expenditures in fiscal year 2022, of which approximately $81.1 million was spent on digital technology. We expect our 2023 capitalized expenditures to be approximately $185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STRATEGY</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2022, we generated $781.6 million of cash from operating activities, which was used to fund capital expenditures, acquisitions, and dividends to our stockholders.</w:t>
      </w:r>
    </w:p>
    <w:p>
      <w:pPr>
        <w:spacing w:after="0" w:line="71" w:lineRule="exact"/>
        <w:rPr>
          <w:sz w:val="20"/>
          <w:szCs w:val="20"/>
          <w:color w:val="auto"/>
        </w:rPr>
      </w:pPr>
    </w:p>
    <w:p>
      <w:pPr>
        <w:jc w:val="both"/>
        <w:ind w:left="1140" w:hanging="565"/>
        <w:spacing w:after="0" w:line="26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program. </w:t>
      </w:r>
      <w:r>
        <w:rPr>
          <w:rFonts w:ascii="Times New Roman" w:cs="Times New Roman" w:eastAsia="Times New Roman" w:hAnsi="Times New Roman"/>
          <w:sz w:val="18"/>
          <w:szCs w:val="18"/>
          <w:color w:val="auto"/>
        </w:rPr>
        <w:t>We will continue to reinvest in our existing assets and expand our outdoor advertising display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new construction. This includes growth and maintenance capital expenditures associated with the construction of new and existing billboard displays, the entrance into and renewal of logo sign and transit contracts, technology-related investments and the purchase of real estate and operating equipment.</w:t>
      </w:r>
    </w:p>
    <w:p>
      <w:pPr>
        <w:spacing w:after="0" w:line="68" w:lineRule="exact"/>
        <w:rPr>
          <w:rFonts w:ascii="Times New Roman" w:cs="Times New Roman" w:eastAsia="Times New Roman" w:hAnsi="Times New Roman"/>
          <w:sz w:val="18"/>
          <w:szCs w:val="18"/>
          <w:color w:val="auto"/>
        </w:rPr>
      </w:pPr>
    </w:p>
    <w:p>
      <w:pPr>
        <w:ind w:left="1140" w:hanging="565"/>
        <w:spacing w:after="0" w:line="286"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will seek to pursue strategic acquisitions of outdoor advertising businesses and assets. This includes acquisitions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and in new markets where we can meet our return on investment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criteria. When evaluating investments in new markets, our return on investment criteria reflects the additional risks inherent to the particular geographic area.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Billboard Advertising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rent most of our advertising space on two types of billboard advertising displays: bulletins and posters. As of December 31, 2022, we owned and operated approximately 160,200 billboard advertising displays in 45 states and Canada. In 2022, we derived approximately 76% of our billboard advertising net revenues from bulletin rentals and 24% from poster rentals.</w:t>
      </w:r>
    </w:p>
    <w:p>
      <w:pPr>
        <w:spacing w:after="0" w:line="17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large, advertising structures (the most common size is 14 feet high by 48 feet wide, or 672 square feet) consisting of panels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2022, we operated approximately 78,600 bulletin displays.</w:t>
      </w:r>
    </w:p>
    <w:p>
      <w:pPr>
        <w:spacing w:after="0" w:line="18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individually-selected bulletin space to advertisers for the duration of the contract (ranging from 4 to 52 weeks). We also rent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7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smaller advertising structures (the most common size is 11 feet high by 23 feet wide, or 253 square feet; we also operate junior posters,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5 feet high by 11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2022, we operated approximately 81,600 poster displays.</w:t>
      </w:r>
    </w:p>
    <w:p>
      <w:pPr>
        <w:spacing w:after="0" w:line="18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addition to the traditional static displays, we also rent digital billboards. Digital billboards are large electronic light emitting diode (“LED”) displays (the most common sizes are 14 feet high by 48 feet wide, or 672 square feet; 10.5 feet high by 36 feet wide, or 378 square feet; and 10 feet high by 21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2022, our inventory included approximately 4,500 digital display billboards in various markets. These 4,500 digital billboards generated approximately 30% of billboard advertising net revenue.</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Logo Sign Advertising</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entered the logo sign advertising business in 1988 and have become the largest provider of logo sign services in the United States, operating 23 of the 26 privatized state logo contracts. We erect logo signs, which generally advertise nearby gas, food, camping, lodging and other attractions, and directional signs, which direct vehicle traffic to nearby services and tourist attractions, near highway exits. As of December 31, 2022, we operated approximately 42,400 logo sign structures containing approximately 139,000 logo advertising displays in the United States and Canada.</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the logo sign contracts in the province of Ontario, Canada and in the following states: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Kansas</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Minnesota</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Montana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Hampshire</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188"/>
        </w:trPr>
        <w:tc>
          <w:tcPr>
            <w:tcW w:w="11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160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Kentucky</w:t>
            </w:r>
          </w:p>
        </w:tc>
        <w:tc>
          <w:tcPr>
            <w:tcW w:w="164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Mississippi</w:t>
            </w:r>
          </w:p>
        </w:tc>
        <w:tc>
          <w:tcPr>
            <w:tcW w:w="152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color w:val="auto"/>
              </w:rPr>
              <w:t>Nebraska</w:t>
            </w:r>
          </w:p>
        </w:tc>
        <w:tc>
          <w:tcPr>
            <w:tcW w:w="1840" w:type="dxa"/>
            <w:vAlign w:val="bottom"/>
          </w:tcPr>
          <w:p>
            <w:pPr>
              <w:ind w:left="460"/>
              <w:spacing w:after="0" w:line="188" w:lineRule="exact"/>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Oklahoma</w:t>
            </w:r>
          </w:p>
        </w:tc>
        <w:tc>
          <w:tcPr>
            <w:tcW w:w="10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Utah</w:t>
            </w: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ind w:left="440"/>
              <w:spacing w:after="0" w:line="271" w:lineRule="exact"/>
              <w:rPr>
                <w:sz w:val="20"/>
                <w:szCs w:val="20"/>
                <w:color w:val="auto"/>
              </w:rPr>
            </w:pPr>
            <w:r>
              <w:rPr>
                <w:rFonts w:ascii="Times New Roman" w:cs="Times New Roman" w:eastAsia="Times New Roman" w:hAnsi="Times New Roman"/>
                <w:sz w:val="18"/>
                <w:szCs w:val="18"/>
                <w:color w:val="auto"/>
              </w:rPr>
              <w:t>Missouri</w:t>
            </w:r>
            <w:r>
              <w:rPr>
                <w:rFonts w:ascii="Times New Roman" w:cs="Times New Roman" w:eastAsia="Times New Roman" w:hAnsi="Times New Roman"/>
                <w:sz w:val="28"/>
                <w:szCs w:val="28"/>
                <w:color w:val="auto"/>
                <w:vertAlign w:val="superscript"/>
              </w:rPr>
              <w:t>(1)</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Nevada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Mexico</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Carolina</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Wisconsin</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43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4" w:lineRule="exact"/>
        <w:rPr>
          <w:sz w:val="20"/>
          <w:szCs w:val="20"/>
          <w:color w:val="auto"/>
        </w:rPr>
      </w:pPr>
    </w:p>
    <w:p>
      <w:pPr>
        <w:ind w:left="560" w:hanging="552"/>
        <w:spacing w:after="0"/>
        <w:tabs>
          <w:tab w:leader="none" w:pos="56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logo sign contract in Missouri is operated by a 66 2/3% owned partnership.</w:t>
      </w:r>
    </w:p>
    <w:p>
      <w:pPr>
        <w:spacing w:after="0" w:line="198"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also operate the tourist oriented directional signing (“TODS”) programs for the states of Colorado, Kansas, Kentucky, Louisiana, Michigan, Mississippi, Missouri, Montana, Nebraska, Nevada, New Jersey, Ohio, South Carolina, Utah, and the province of Ontario, Canada, providing approximately 16,400 advertising displays.</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2022, 4 are subject to renewal or expiration in 2023.</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 Advertising</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3-10 years, many with renewable options for contract extension. We rent transit advertising displays in airport terminals and on bus shelters, benches and buses in over 80 transit markets, and our production staff provides a full range of creative and installation services to our transit advertising tenants. As of December 31, 2022, we operated approximately 47,500 transit advertising displays in 24 states and Canada.</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54" w:lineRule="exact"/>
        <w:rPr>
          <w:sz w:val="20"/>
          <w:szCs w:val="20"/>
          <w:color w:val="auto"/>
        </w:rPr>
      </w:pPr>
    </w:p>
    <w:p>
      <w:pPr>
        <w:jc w:val="both"/>
        <w:ind w:left="1140" w:hanging="565"/>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outdoor advertising providers, such as (i) Clear Channel Outdoor Holdings, Inc., which operates billboards, street furniture displays, transit displays and other out-of-home advertising displays and (ii) Outfront Media, Inc., which operates traditional outdoor, street furniture and transit advertising properties.</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Broadcast and cable television, radio, print media, direct mail marketing, the internet, social media and applications used in conjunction with wireless devices.</w:t>
      </w:r>
    </w:p>
    <w:p>
      <w:pPr>
        <w:spacing w:after="0" w:line="53" w:lineRule="exact"/>
        <w:rPr>
          <w:rFonts w:ascii="Times New Roman" w:cs="Times New Roman" w:eastAsia="Times New Roman" w:hAnsi="Times New Roman"/>
          <w:sz w:val="18"/>
          <w:szCs w:val="18"/>
          <w:color w:val="auto"/>
        </w:rPr>
      </w:pPr>
    </w:p>
    <w:p>
      <w:pPr>
        <w:ind w:left="1140" w:right="16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DIVERSIFICATION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 to total revenue. Markets with less than 1% of total displays are grouped in the category “all other United States.”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Percentage of Revenues for the year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8"/>
          </w:tcPr>
          <w:p>
            <w:pPr>
              <w:ind w:left="700"/>
              <w:spacing w:after="0"/>
              <w:rPr>
                <w:sz w:val="20"/>
                <w:szCs w:val="20"/>
                <w:color w:val="auto"/>
              </w:rPr>
            </w:pPr>
            <w:r>
              <w:rPr>
                <w:rFonts w:ascii="Times New Roman" w:cs="Times New Roman" w:eastAsia="Times New Roman" w:hAnsi="Times New Roman"/>
                <w:sz w:val="13"/>
                <w:szCs w:val="13"/>
                <w:b w:val="1"/>
                <w:bCs w:val="1"/>
                <w:color w:val="auto"/>
              </w:rPr>
              <w:t>Number of Displays for the year ended,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Static</w:t>
            </w:r>
          </w:p>
        </w:tc>
        <w:tc>
          <w:tcPr>
            <w:tcW w:w="140" w:type="dxa"/>
            <w:vAlign w:val="bottom"/>
          </w:tcPr>
          <w:p>
            <w:pPr>
              <w:spacing w:after="0"/>
              <w:rPr>
                <w:sz w:val="10"/>
                <w:szCs w:val="10"/>
                <w:color w:val="auto"/>
              </w:rPr>
            </w:pPr>
          </w:p>
        </w:tc>
        <w:tc>
          <w:tcPr>
            <w:tcW w:w="8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Digital</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Transit</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Logo</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Static</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Digital</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Transit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Logo</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Billboard</w:t>
            </w:r>
          </w:p>
        </w:tc>
        <w:tc>
          <w:tcPr>
            <w:tcW w:w="1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Billboard</w:t>
            </w: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Billboard</w:t>
            </w: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Billboard</w:t>
            </w: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Total</w:t>
            </w:r>
          </w:p>
        </w:tc>
        <w:tc>
          <w:tcPr>
            <w:tcW w:w="0" w:type="dxa"/>
            <w:vAlign w:val="bottom"/>
          </w:tcPr>
          <w:p>
            <w:pPr>
              <w:spacing w:after="0"/>
              <w:rPr>
                <w:sz w:val="1"/>
                <w:szCs w:val="1"/>
                <w:color w:val="auto"/>
              </w:rPr>
            </w:pPr>
          </w:p>
        </w:tc>
      </w:tr>
      <w:tr>
        <w:trPr>
          <w:trHeight w:val="18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Displays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Displays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York, NY</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Chicago, IL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Pittsburgh, PA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Cleveland, OH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San Bernardino,</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Seattle, WA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Knoxville, TN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Indianapolis, IN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Reading, PA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Raleigh, NC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Richmond, VA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Greenville-</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Spartanburg, SC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Hartford, CT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Birmingham, 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Oklahoma City,</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OK</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84"/>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3,374</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Cincinnati, OH</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Providence, RI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All US Logo</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Programs*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92.3 %</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144,623</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39.8 %</w:t>
            </w:r>
          </w:p>
        </w:tc>
        <w:tc>
          <w:tcPr>
            <w:tcW w:w="0" w:type="dxa"/>
            <w:vAlign w:val="bottom"/>
          </w:tcPr>
          <w:p>
            <w:pPr>
              <w:spacing w:after="0"/>
              <w:rPr>
                <w:sz w:val="1"/>
                <w:szCs w:val="1"/>
                <w:color w:val="auto"/>
              </w:rPr>
            </w:pPr>
          </w:p>
        </w:tc>
      </w:tr>
      <w:tr>
        <w:trPr>
          <w:trHeight w:val="121"/>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All Other United</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61.1 %</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121,052</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21,606</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145,803</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Canada*</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10,685</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21,037</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155,761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155,308</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363,044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Total Revenue (in</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millions)</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7"/>
              </w:rPr>
              <w:t>$1,292.3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521.7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w w:val="95"/>
              </w:rPr>
              <w:t>$138.0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80.1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7"/>
              </w:rPr>
              <w:t>$2,032.1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Logo displays at December 31, 2022 include 16,352 displays related to the tourist oriented direction signing ("TODS") programs.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TAXABLE REIT SUBSIDIARIES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We may, from time to time, change the election of previously designated TRSs to be treated as qualified REIT subsidiaries (“QRSs”) or other disregarded entities, and may reorganize and transfer certain assets or operations from our TRSs to other subsidiaries, including QRSs.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2022, the annual revenue generated by our TRSs in the aggregate was approximately $323.2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TENANTS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tenant base is diverse. The table below sets forth the industries from which we derived most of our billboard advertising revenues for the year ended December 31, 2022, as well as the percentage of billboard advertising revenues attributable to the advertisers in those industries. The individual advertisers in these industries accounted for approximately 70% of our billboard advertising net revenues in the year ended December 31, 2022. No individual tenant accounted for more than 2% of our billboard advertising net revenues in that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Net</w:t>
            </w:r>
          </w:p>
        </w:tc>
        <w:tc>
          <w:tcPr>
            <w:tcW w:w="0" w:type="dxa"/>
            <w:vAlign w:val="bottom"/>
          </w:tcPr>
          <w:p>
            <w:pPr>
              <w:spacing w:after="0"/>
              <w:rPr>
                <w:sz w:val="1"/>
                <w:szCs w:val="1"/>
                <w:color w:val="auto"/>
              </w:rPr>
            </w:pPr>
          </w:p>
        </w:tc>
      </w:tr>
      <w:tr>
        <w:trPr>
          <w:trHeight w:val="137"/>
        </w:trPr>
        <w:tc>
          <w:tcPr>
            <w:tcW w:w="9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Categories</w:t>
            </w: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Billboard</w:t>
            </w:r>
          </w:p>
        </w:tc>
        <w:tc>
          <w:tcPr>
            <w:tcW w:w="0" w:type="dxa"/>
            <w:vAlign w:val="bottom"/>
          </w:tcPr>
          <w:p>
            <w:pPr>
              <w:spacing w:after="0"/>
              <w:rPr>
                <w:sz w:val="1"/>
                <w:szCs w:val="1"/>
                <w:color w:val="auto"/>
              </w:rPr>
            </w:pPr>
          </w:p>
        </w:tc>
      </w:tr>
      <w:tr>
        <w:trPr>
          <w:trHeight w:val="190"/>
        </w:trPr>
        <w:tc>
          <w:tcPr>
            <w:tcW w:w="930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Advertising Revenues</w:t>
            </w:r>
          </w:p>
        </w:tc>
        <w:tc>
          <w:tcPr>
            <w:tcW w:w="0" w:type="dxa"/>
            <w:vAlign w:val="bottom"/>
          </w:tcPr>
          <w:p>
            <w:pPr>
              <w:spacing w:after="0"/>
              <w:rPr>
                <w:sz w:val="1"/>
                <w:szCs w:val="1"/>
                <w:color w:val="auto"/>
              </w:rPr>
            </w:pPr>
          </w:p>
        </w:tc>
      </w:tr>
      <w:tr>
        <w:trPr>
          <w:trHeight w:val="23"/>
        </w:trPr>
        <w:tc>
          <w:tcPr>
            <w:tcW w:w="9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Amusement — Entertainment/Sports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 Banks, Credit Unions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9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PORTFOLIO</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we lease an additional 149 operating facilities at an aggregate lease expense for 2022 of approximately $9.2 million.</w:t>
      </w:r>
    </w:p>
    <w:p>
      <w:pPr>
        <w:spacing w:after="0" w:line="17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We own approximately 10,500 parcels of property beneath our advertising displays. As of December 31, 2022, we leased approximately 72,500 outdoor sites, accounting for an annualized lease expense of approximately $319.3 million. This amount represented approximately 18%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75% of our leases will expire or be subject to renewal in the next 5 years, 15% will expire or be subject to renewal in 6 to 10 years and 10%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number of leased and owned sites by state as of December 31, 2022, which is sorted from greatest to least in number and percentage of leased sites. States in which we lease less than 2% of our portfolio are grouped in the category “All Other States and Canada”.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billboard leased</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owned</w:t>
            </w:r>
          </w:p>
        </w:tc>
        <w:tc>
          <w:tcPr>
            <w:tcW w:w="14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5420" w:type="dxa"/>
            <w:vAlign w:val="bottom"/>
            <w:gridSpan w:val="2"/>
            <w:vMerge w:val="continue"/>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sites</w:t>
            </w:r>
          </w:p>
        </w:tc>
        <w:tc>
          <w:tcPr>
            <w:tcW w:w="154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billboard sites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 and Canada</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8"/>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EXPIRATIONS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We employed approximately 3,500 people as of December 31, 2022. Approximately 300 employees were engaged in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general administration at our corporate headquarters in Baton Rouge, Louisiana, and the remainder, including approximately 950 local account executives, were employed in our operating offices.</w:t>
      </w:r>
    </w:p>
    <w:p>
      <w:pPr>
        <w:spacing w:after="0" w:line="17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Fifteen of our local offices employ billposters and construction personnel who are covered by collective bargaining agreements. We believe that our relationship with our employees, including our approximately 100 unionized employees, is favorable, and we have never experienced a strike or work stoppage.</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Lamar’s business continues to grow, so does the Company’s strong commitment to recruiting a work force with diverse talents, as well as to developing and retaining the successful members of our sales and management teams. Our 950 local account executives and approximately 175 local management employees have been with the Company for an average of 12 years. We regularly provide on-site training and remote sales training videos to enhance the skills of our sales and management team members.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employ approximately 1,150 operations employees, including operations management. These employees are responsible for installing advertising copy, maintaining our billboard inventory and ensuring our billboards, logos and transit displays are in safe operating condition. We empower these employees to have a safety-first mentality, which includes the authority to stop an installation or other work job for any safety concern. We also provide training and certification to our operations employees, including training for crane operations and climbing safety. Our management regularly conducts scheduled safety meetings and unscheduled job observations to ensure that we maintain a safety mindset every day.</w:t>
      </w:r>
    </w:p>
    <w:p>
      <w:pPr>
        <w:spacing w:after="0" w:line="18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recognize that our organization grows stronger as we are able to draw on the skills of employees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backgrounds and life experiences, particularly as the audiences that we serve become more diverse. We want to embrace Lamar employees’ unique differences of race, gender and gender identity, religion, sexual orientation, ethnicity, nationality, socioeconomic status, language, ability, age, religious commitment, veteran status, or political perspective. As such, we are committed to cultivating a culture where all employees see the opportunity to show up to work as their most authentic selves.</w:t>
      </w:r>
    </w:p>
    <w:p>
      <w:pPr>
        <w:spacing w:after="0" w:line="185"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2022, approximately 36% of our work force was female, 17% of our employees and 33% of our named executive offices identified themselves as minorities, while 33% of our Board of Directors was female and one of our nine directors was a member of a minority group.</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established several initiatives aimed at further diversifying our work force, including establishing an alliance with a hiring network that helps bring us a more diverse pool of candidates and creating an internal women’s leadership network that provides our female leaders with tools and a supportive community to help them develop into senior-level managers. Our Executive Vice President of Human Resources, who also serves as our Chief Diversity Officer, is charged with providing training that reinforces our commitment to treat all of our employees with dignity and respect.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2020 and 2021 inflation did not have a significant impact on our business. During 2022, as a result of the inflationary environment in the U.S., we experienced increases in our direct and general and administrative costs, including increases in labor costs and utilities. Increases in expenses were largely offset by increases in our advertising rates. We also experienced increased interest expenses related to rising interest rates. We expect the inflationary environment and these pressures to continue into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our website is not part of this Annual Report.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substantial debt may adversely affect its business, financial condition and financial results.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has borrowed substantially in the past and will continue to borrow in the future. At December 31, 2022, Lamar Advertising Company’s wholly owned subsidiary, Lamar Media, had approximately $3.31 billion of total debt outstanding, net of deferred financing costs, consisting of approximately $985.8 million in bank debt outstanding under Lamar Media’s senior credit facility, $2.08 billion in various series of senior notes, $249.4 million under the Accounts Receivable Securitization Program and $2.0 million in other seller notes. Despite the level of debt presently outstanding, the terms of the indentures governing Lamar Media’s notes and the terms of the senior credit facility and Accounts Receivable Securitization Program allow Lamar Media to incur substantially more debt, including approximately $694.0 million available for borrowing under the revolving credit facility as of December 31, 2022.</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substantial debt and its use of cash flow from operations to make principal and interest payments on its debt may, among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w:t>
      </w:r>
    </w:p>
    <w:p>
      <w:pPr>
        <w:spacing w:after="0" w:line="99" w:lineRule="exact"/>
        <w:rPr>
          <w:sz w:val="20"/>
          <w:szCs w:val="20"/>
          <w:color w:val="auto"/>
        </w:rPr>
      </w:pPr>
    </w:p>
    <w:p>
      <w:pPr>
        <w:jc w:val="both"/>
        <w:ind w:left="1140" w:hanging="565"/>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cash flow available to fund the Company’s working capital, capital expenditures, acquisitions or other general corporate requirements;</w:t>
      </w:r>
    </w:p>
    <w:p>
      <w:pPr>
        <w:spacing w:after="0" w:line="53"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obtain additional financing to fund future dividend distributions, working capital, capital expenditures or other general corporate requirements;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relative to those of its competitors that have less debt;</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industry;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w:t>
      </w:r>
    </w:p>
    <w:p>
      <w:pPr>
        <w:spacing w:after="0" w:line="239" w:lineRule="exact"/>
        <w:rPr>
          <w:sz w:val="20"/>
          <w:szCs w:val="20"/>
          <w:color w:val="auto"/>
        </w:rPr>
      </w:pPr>
    </w:p>
    <w:p>
      <w:pPr>
        <w:jc w:val="both"/>
        <w:ind w:firstLine="567"/>
        <w:spacing w:after="0" w:line="241" w:lineRule="auto"/>
        <w:rPr>
          <w:sz w:val="20"/>
          <w:szCs w:val="20"/>
          <w:color w:val="auto"/>
        </w:rPr>
      </w:pPr>
      <w:r>
        <w:rPr>
          <w:rFonts w:ascii="Times New Roman" w:cs="Times New Roman" w:eastAsia="Times New Roman" w:hAnsi="Times New Roman"/>
          <w:sz w:val="18"/>
          <w:szCs w:val="18"/>
          <w:color w:val="auto"/>
        </w:rPr>
        <w:t>Lamar Media has variable rate debt outstanding under the senior credit facility and its Accounts Receivable Securitization Program. Increases in the interest rates applicable to these borrowings have recently resulted in increased interest expense, which has impacted the Company's net income. Interest rates may continue to increase as a result of macroeconomic factors outside of our control. The Company may take actions in the future to mitigate its interest rate exposure, however, it cannot guarantee that the actions that it takes to mitigate these risks will be effective. Additionally, to the extent we refinance existing debt obligations or seek to enter into new debt financing arrangements in the current interest rate environment, we expect that such arrangements would be subject to higher interest rates than our existing debt obligations, which would further increase our interest expense.</w:t>
      </w: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these problems could adversely affect the Company’s business, financial condition and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generate sufficient cash flow to satisfy its significant debt service obligations.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ability to generate cash flow from operations to make principal and interest payments on its debt will depend on its future performance, which will be affected by a range of economic, competitive and business factors. The Company cannot control many of these factors, including general economic conditions, its customers’ allocation of advertising expenditures among available media and the amount spent on advertising in general, and its business would be negatively impacted if the general economy were to deteriorate in the future. If its operations do not generate sufficient cash flow from operations to satisfy its debt service obligations, the Company may need to borrow additional funds to make these payments or undertake alternative financing plans, such as refinancing or restructuring its debt, or reducing or delaying capital investments and acquisitions. The Company cannot guarantee that such additional funds or alternative financing will be available on favorable terms, if at all. The Company’s inability to generate sufficient cash flow from operations or obtain additional funds or alternative financing on acceptable terms could have a material adverse effect on our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5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the ability of the Company and Lamar Media to, among other things:</w:t>
      </w:r>
    </w:p>
    <w:p>
      <w:pPr>
        <w:spacing w:after="0" w:line="54" w:lineRule="exact"/>
        <w:rPr>
          <w:sz w:val="20"/>
          <w:szCs w:val="20"/>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inter-company distributions.</w:t>
      </w:r>
    </w:p>
    <w:p>
      <w:pPr>
        <w:spacing w:after="0" w:line="22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At December 31, 2022, the terms of Lamar Media’s senior credit facility and of its Accounts Receivable Securitization Program also restrict the Company from exceeding a specified secured debt ratio. Lamar Media is also subject to certain other financial covenants relating to the incurrence of additional debt. Please see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8"/>
          <w:szCs w:val="18"/>
          <w:color w:val="auto"/>
        </w:rPr>
        <w:t>” for a description of the specific financial ratio requirements under the senior credit facility.</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83"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Lamar Media could be in default under the senior credit facility and the Accounts Receivable Securitization Program (which could result in an event of default under the indentures governing its outstanding notes). In the event of such a default under the senior credit facility, the lenders under the senior credit facility could accelerate all of the debt outstanding, could elect to institute foreclosure proceedings against Lamar Media’s assets, and it could be forced into bankruptcy or liquidation. Any of these events could adversely affect Lamar Media’s business, financial condition and financial results. In the event of such a default under the Accounts Receivable Securitization Program, the lenders under the Accounts Receivable Securitization Program could accelerate all of the debt outstanding, could elect to institute foreclosure proceedings against the assets of the Special Purpose Subsidiaries (as defined herein), and the Special Purpose Subsidiaries could be forced into bankruptcy or liquidation. Any of these events could adversely affect the Company’s business, financial condition and financial results.</w:t>
      </w:r>
    </w:p>
    <w:p>
      <w:pPr>
        <w:spacing w:after="0" w:line="19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2022, members of the Reilly family, including Kevin P. Reilly, Jr., the Company’s Executive Chairman, and Sean Reilly, the Company’s President and Chief Executive Officer, and their affiliates, owned in the aggregate approximately 15% of the Company’s outstanding common stock, assuming the conversion of all Class B common stock to Class A common stock. As of that date, their combined holdings represented approximately 62% of the voting power of Lamar Advertising’s outstanding capital stock, which would give the Reilly family and their affiliates the power to:</w:t>
      </w:r>
    </w:p>
    <w:p>
      <w:pPr>
        <w:spacing w:after="0" w:line="72" w:lineRule="exact"/>
        <w:rPr>
          <w:sz w:val="20"/>
          <w:szCs w:val="20"/>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Company’s entire Board of Directors;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Company’s management and policies; and</w:t>
      </w:r>
    </w:p>
    <w:p>
      <w:pPr>
        <w:spacing w:after="0" w:line="117"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outcome of any corporate transaction or other matter requiring stockholder approval, including charter amendments, mergers, consolidations, financings and asset sales.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Reilly family may have interests that are different than yours in making these decisions.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UPREIT structure may result in potential conflicts of interest.</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are structured as an “UPREIT,” which stands for “umbrella partnership real estate investment trust.” While limited partners of Lamar Advertising Limited Partnership (the “Operating Partnership”) do not generally have any right to participate in or exercise management power over the business and affairs of the Operating Partnership, they do have the right to vote on certain amendments to the partnership agreement of the Operating Partnership, as well as on certain other matters. Persons holding such voting rights may exercise them in a manner that conflicts with the interests of our stockholders.</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partnership agreement of the Operating Partnership provides that, for so long as we own a controlling interest in the Operating Partnership, any conflict that cannot be resolved in a manner not adverse to either our stockholders or the limited partners shall be resolved by the general partner in favor of our stockholders. Circumstances may arise in the future when the interests of limited partners in the Operating Partnership may conflict with the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5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has historically grown through acquisitions. During the year ended December 31, 2022, we completed acquisitions for a total cash purchase price of approximately $479.8 million.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future success of our acquisition strategy could be adversely affected by many factors, including the following:</w:t>
      </w:r>
    </w:p>
    <w:p>
      <w:pPr>
        <w:spacing w:after="0" w:line="117" w:lineRule="exact"/>
        <w:rPr>
          <w:sz w:val="20"/>
          <w:szCs w:val="20"/>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of suitable acquisition candidates is dwindling, and we may have a more difficult time negotiating acquisitions on favorable terms;</w:t>
      </w:r>
    </w:p>
    <w:p>
      <w:pPr>
        <w:spacing w:after="0" w:line="117"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for acquisition candidates from other outdoor advertising companies and private equity funds (particularly funds that are focused on investing in media and/or infastruc, some of which may have greater financial resources than we do, which may result in higher prices for those businesses and assets;</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the capital needed to finance potential acquisitions and may be unable to obtain any required consents from our current lenders to obtain alternate financing;</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REIT requirements may hinder our ability to make certain investments and may limit our acquisition opportunities;</w:t>
      </w:r>
    </w:p>
    <w:p>
      <w:pPr>
        <w:spacing w:after="0" w:line="117"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key personnel of acquired businesses;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and cost savings anticipated in our acquisitions;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industry consolidates further, larger mergers and acquisitions may face substantial scrutiny under antitrust laws.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obstacles to our opportunistic acquisition strategy may have an adverse effect on our future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suffer losses due to asset impairment charges for goodwill and other intangible assets.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tested goodwill for impairment on December 31, 2022. Based on the Company’s review at December 31, 2022,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is below the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logo sign contracts are subject to state award and renewal.</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2022, the Company generated approximately 4% of its revenues from state-awarded logo sign contracts. In bidding for these contracts, the Company competes against other national logo sign providers as well as numerous smaller local logo sign providers. As a logo sign provider, the Company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Company as a logo sign provider for early termination. At the end of the contract term, the Company, as a logo sign provider, transfers ownership of the logo sign structures to the state. Depending on the contract, the logo provider may or may not be entitled to compensation for the structures at the end of the contract term.</w:t>
      </w:r>
    </w:p>
    <w:p>
      <w:pPr>
        <w:spacing w:after="0" w:line="7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Of the Company’s 24 logo sign contracts in place at December 31, 2022, 4 are subject to renewal or expiration in 2023. The Company may be unable to renew its expiring contracts. The Company may also lose the bidding on new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contingency plans relating to hurricanes and other natural disasters fail, the resulting losses could hurt the Company’s business.</w:t>
      </w:r>
    </w:p>
    <w:p>
      <w:pPr>
        <w:spacing w:after="0" w:line="108" w:lineRule="exact"/>
        <w:rPr>
          <w:sz w:val="20"/>
          <w:szCs w:val="20"/>
          <w:color w:val="auto"/>
        </w:rPr>
      </w:pPr>
    </w:p>
    <w:p>
      <w:pPr>
        <w:jc w:val="both"/>
        <w:ind w:firstLine="567"/>
        <w:spacing w:after="0" w:line="242" w:lineRule="auto"/>
        <w:rPr>
          <w:sz w:val="20"/>
          <w:szCs w:val="20"/>
          <w:color w:val="auto"/>
        </w:rPr>
      </w:pPr>
      <w:r>
        <w:rPr>
          <w:rFonts w:ascii="Times New Roman" w:cs="Times New Roman" w:eastAsia="Times New Roman" w:hAnsi="Times New Roman"/>
          <w:sz w:val="18"/>
          <w:szCs w:val="18"/>
          <w:color w:val="auto"/>
        </w:rPr>
        <w:t>The Company has determined that it is uneconomical to insure against losses resulting from hurricanes and other natural disasters. Although the Company has developed contingency plans designed to mitigate the threat posed by hurricanes and other forms of inclement weather to its real estate portfolio (e.g., removing advertising faces at the onset of a storm, when possible, which better permits the structures to withstand high winds during the storm), these plans could fail and significant losses could result. To the extent that such natural disaster events become more frequent or destructive because of climate change, we may incur increased costs related to storm remediation and preparation.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The Company may have available net operating loss (“NOL”) carry forwards that could reduce or substantially eliminate its REIT taxable income, and thus it may not be required to distribute material amounts of cash to qualify for taxation as a REIT. The Company expects that, for the foreseeable future, it may utilize available NOL carry forwards to reduce its REIT taxable income.</w:t>
      </w:r>
    </w:p>
    <w:p>
      <w:pPr>
        <w:spacing w:after="0" w:line="7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rent. Consequently, the Company’s distribution levels may fluctuate.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54" w:lineRule="exact"/>
        <w:rPr>
          <w:sz w:val="20"/>
          <w:szCs w:val="20"/>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and transfer of Lamar Advertising common stock that are intended to facilitate the Company’s compliance with certain REIT rules relating to share ownership;</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and informational requirements and time limitations on any director nomination or proposal that a stockholder wishes to make at a meeting of stockholders;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its directors, which would otherwise permit less than a majority of stockholders to elect directors; and</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Section 203 of the DGCL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These provisions may have the effect of entrenching the Company’s management team and may deprive the Company’s stockholders of the opportunity to sell their shares to potential acquirers at a premium over prevailing prices. This potential inability to obtain a control premium could reduce the price of Lamar Advertising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rents advertising space on outdoor structures to generate revenues. Advertising spending is particularly sensitive to changes in economic conditions.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Additionally, the occurrence of any of the following external events could further depress the Company’s revenues:</w:t>
      </w:r>
    </w:p>
    <w:p>
      <w:pPr>
        <w:spacing w:after="0" w:line="117" w:lineRule="exact"/>
        <w:rPr>
          <w:sz w:val="20"/>
          <w:szCs w:val="20"/>
          <w:color w:val="auto"/>
        </w:rPr>
      </w:pPr>
    </w:p>
    <w:p>
      <w:pPr>
        <w:ind w:left="1140" w:hanging="565"/>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widespread reallocation of advertising expenditures to other available media by significant renters of the Company’s displays; and</w:t>
      </w:r>
    </w:p>
    <w:p>
      <w:pPr>
        <w:spacing w:after="0" w:line="30"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 decline in the amount spent on advertising, in general, or outdoor advertising in particular as a result of macroeconomic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competition from larger and more diversified outdoor advertisers and other forms of advertising that could hurt its performance.</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80"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local regulation impact the Company’s operations, financial condition and financial results.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breaches and we may incur significant legal and financial exposure.</w:t>
      </w:r>
    </w:p>
    <w:p>
      <w:pPr>
        <w:spacing w:after="0" w:line="108"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intrusions, has generally increased and become more sophisticated over time. Although we have implemented physical and electronic security measures designed to protect against the loss, misuse and alteration of our websites, digital assets, proprietary business information and any personal identifiable information (“PII”) that we collect, no security measures are impenetrable and we and outside parties we interact with may be unable to anticipate or prevent unauthorized access. A security breach could occur due to the actions of outside parties, employee error, malfeasance or a combination of these or other actions. An increase in the number of our employees and outside parties with which we do business working remotely may increase the risk of a cybersecurity incident, which has required us to modify our security measures.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an actual or perceived breach of our security were to occur, proprietary or competitive information may be misappropriated, and we could experience disruptions in our business operations, information processes and internal controls. In addition, the public perception of the effectiveness of our security measures may be harmed and adversely affect our competitive position. In the event of a security breach, we could suffer significant legal and financial exposure in connection with remediation efforts, investigations and legal proceedings, which could lead to the need for additional resources in our security and system protection measures.</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have been and expect to continue to be the target of fraudulent activities and security breaches; however, to date they have not had a material impact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 matters.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Governments, shareholders, customers, employees and other stakeholders are increasingly focusing on corporate ESG practices and disclosures, and expectations in this area are rapidly evolving and growing. We may incur costs related to ESG initiatives, including those related to producing enhanced mandatory or voluntary disclosures about our business. If we are unable to respond effectively to ESG matters, our reputation, business, financial condition and results of operations could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technical and complex provisions of the U.S.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in any taxable year, Lamar Advertising fails to qualify for taxation as a REIT, and is not entitled to relief under the Code:</w:t>
      </w:r>
    </w:p>
    <w:p>
      <w:pPr>
        <w:spacing w:after="0" w:line="117" w:lineRule="exact"/>
        <w:rPr>
          <w:sz w:val="20"/>
          <w:szCs w:val="20"/>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be allowed a deduction for distributions to its stockholders in computing its taxable income;</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its corporate subsidiaries, including Lamar Media, will be subject to applicable federal and state income tax, including any applicable state-level alternative minimum tax, on its taxable income at regular corporate rates;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distributions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the reduced tax rates on dividend income from non-REIT corporations.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Qualified dividend income payable to U.S. stockholders that are individuals, trusts and estates are generally subject to tax at reduced rates. Dividends payable by REITs, however, generally are not eligible for the reduced qualified dividend rates. For taxable years beginning before January 1, 2026, non-corporate taxpayers may generally deduct 20% of certain pass-through business income, including “qualified REIT dividends” (generally, dividends received by a REIT shareholder that are not designated as capital gain dividends or qualified dividend income), subject to certain limitations. Although this deduction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the stock of REITs, including our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assets deemed held for sale in the ordinary course of business is subject to 100% tax.</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we sell any of our assets, the IRS may determine that the sale is a disposition of an asset held primarily for sale to customers in the ordinary course of a trade or business. Gain from this kind of sale will generally be subject to a 100% tax. Whether an asset is held "primarily for sale to customers in the ordinary course of a trade or business" depends on the particular facts and circumstances of the sale. Although we will attempt to comply with the terms of safe-harbor provisions in the Internal Revenue Code prescribing when asset sales will not be so characterized, we cannot assure you that we will be able to do so.</w:t>
      </w:r>
    </w:p>
    <w:p>
      <w:pPr>
        <w:spacing w:after="0" w:line="20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a REIT, Lamar Advertising is required to distribute to its stockholders with respect to each taxable year at least 90% of its REIT taxable income (excluding capital gains and net of any available NOL carry forwards) in order to qualify as a REIT, and 100% of its REIT taxable income (excluding capital gains and net of any available NOL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specified in our existing and future debt instruments may limit Lamar Advertising’s ability to make required REIT distributions.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Lamar Advertising’s qualification for taxation as a REIT but do nevertheless prevent it from distributing 100% of its REIT taxable income, it will be subject to U.S. federal corporate income tax, and potentially a nondeductible excise tax, on the retained amounts.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5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require it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Lamar Advertising, its subsidiaries (other than TRSs) to forego otherwise attractive opportunities.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certain REIT requirements prior to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limitations contained in the Lamar Advertising charter may restrict stockholders from acquiring or transferring certain amounts of shares.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Advertising’s operating partnership does not qualify as a partnership, its income may be subject to taxation, and Lamar Advertising would no longer qualify as a REIT.</w:t>
      </w:r>
    </w:p>
    <w:p>
      <w:pPr>
        <w:spacing w:after="0" w:line="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Internal Revenue Code classifies “publicly traded partnerships” as associations taxable as corporations (rather than as partnerships), unless substantially all of their taxable income consists of specified types of passive income. Lamar Advertising structured the Operating Partnership to be classified as a partnership for federal income tax purposes. However, no assurance can be given the IRS will not challenge Lamar Advertising’s position or will classify the Operating Partnership as a “publicly traded partnership” for federal income tax purposes. To minimize this risk, Lamar Advertising has placed certain restrictions on the transfer and/or redemption of partnership units in the Amended and Restated Limited Partnership Agreement of the Operating Partnership. If the IRS would assert successfully that the Operating Partnership should be treated as a “publicly traded partnership” and substantially all of the Operating Partnership’s gross income did not consist of the specified types of passive income, the Internal Revenue Code would treat the Operating partnership as an association taxable as a corporation. In such event, Lamar Advertising would cease to qualify as a REIT. In addition, the imposition of a corporate tax on the Operating Partnership would reduce the amount of distributions the Operating Partnership could make to Lamar Advertising and, in turn, reduce the amount of cash available to Lamar Advertising to pay dividends to our shareholders.</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Cuts and Jobs Act, the CARES Act and the Inflation Reduction Act, as well as any future tax legislation, may impact the Company’s business and security holders.</w:t>
      </w:r>
    </w:p>
    <w:p>
      <w:pPr>
        <w:spacing w:after="0" w:line="5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December 22, 2017, H.R. 1, informally titled the Tax Cuts and Jobs Act (the “TCJA”) was signed into law. The TCJA made major changes to the Code, including a number of provisions of the Code that affect the taxation of REITs and their stockholders. Among the changes made by the TCJA are permanently reducing the generally applicable corporate tax rate, generally reducing the tax rate applicable to individuals and other non-corporate taxpayers for tax years beginning after December 31, 2017 and before January 1, 2026, eliminating or modifying certain previously allowed deductions (including substantially limiting interest deductibility and, for individuals, the deduction for non-business state and local taxes). On March 27, 2020, legislation intended to support the economy during the COVID-19 pandemic, the Coronavirus Aid, Relief, and Economic Security Act (the “CARES Act”), was signed into law. The CARES Act made technical corrections, or temporary modifications, to certain of the provisions of the TCJA, including, without limitation, the provisions of the TCJA concerning NOLs and interest expense deductions. Certain CARES Act related interest expense deduction changes are discussed in the following subsection. With respect to NOLs, effective for taxable years beginning on or after January 1, 2018, the TCJA limited the deduction for NOL carryforwards to 80% of taxable income (before the deduction) and eliminated NOL carrybacks for individuals and non-REIT corporations (NOL carrybacks did not apply to REITs under prior law), but allows for indefinite NOL carryforwards. The CARES Act repealed such 80% limitation for carryforwards to taxable years beginning before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January 1, 2021. The CARES Act also allows a five-year carryback for NOLs arising in 2018, 2019, or 2020. The TCJA’s NOL limitations (even as modified by the CARES Act) may result in Lamar Advertising having to make additional distributions in order to comply with REIT distribution requirements or avoid taxes on retained income and gains.</w:t>
      </w:r>
    </w:p>
    <w:p>
      <w:pPr>
        <w:spacing w:after="0" w:line="176" w:lineRule="exact"/>
        <w:rPr>
          <w:sz w:val="20"/>
          <w:szCs w:val="20"/>
          <w:color w:val="auto"/>
        </w:rPr>
      </w:pPr>
    </w:p>
    <w:p>
      <w:pPr>
        <w:jc w:val="both"/>
        <w:ind w:firstLine="567"/>
        <w:spacing w:after="0" w:line="273" w:lineRule="auto"/>
        <w:rPr>
          <w:sz w:val="20"/>
          <w:szCs w:val="20"/>
          <w:color w:val="auto"/>
        </w:rPr>
      </w:pPr>
      <w:r>
        <w:rPr>
          <w:rFonts w:ascii="Times New Roman" w:cs="Times New Roman" w:eastAsia="Times New Roman" w:hAnsi="Times New Roman"/>
          <w:sz w:val="17"/>
          <w:szCs w:val="17"/>
          <w:color w:val="auto"/>
        </w:rPr>
        <w:t>On August 16, 2022, President Biden signed into law the Inflation Reduction Act of 2022 (the “IRA”). The IRA includes numerous tax provisions that impact corporations, including the implementation of a 15% corporate alternative minimum tax based on “adjusted financial statement income” exceeding $1 billion, as well as a 1% excise tax on certain stock repurchases and economically similar transactions. However, REITs are excluded from the definition of an “applicable corporation” and therefore are not subject to the corporate alternative minimum tax. Additionally, the 1% excise tax specifically does not apply to stock repurchases by REITs. Any taxable REIT subsidiaries of Lamar Advertising operate as standalone corporations and therefore could be adversely affected by the IRA. Lamar Advertising will continue to analyze and monitor the application of the IRA to its business; however, the effect of these changes on the value of Lamar Advertising’s assets, shares of Lamar Advertising stock or market conditions, generally, is uncertain.</w:t>
      </w:r>
    </w:p>
    <w:p>
      <w:pPr>
        <w:spacing w:after="0" w:line="17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individual and collective impact of the changes made by the TCJA, the CARES Act and the IRA on REITs and their security holders are uncertain and may not become evident for some period of time. The effect of any technical corrections with respect to the TCJA, the CARES Act or the IRA could have an adverse effect on Lamar Advertising, its subsidiaries, and holders of its securities. It is also possible additional tax legislation could be enacted in the future, as a result of the COVID-19 pandemic or otherwise, which could have an adverse effect on Lamar Advertising, its subsidiaries, and holders of its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may potentially be unable to deduct the full amount of its interest expense pursuant to the TCJA and the CARES Act.</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For taxable years beginning after December 31, 2017, interest deductions for businesses with average annual gross receipts of over $25 million are capped at 30% of the business’ “adjusted taxable income” plus business interest income pursuant to the TCJA. For these purposes, for taxable years beginning after December 31, 2017 and before January 1, 2022, “adjusted taxable income” is computed without regard to deductions allowable for depreciation, amortization, or depletion. The CARES Act increased the aforementioned 30% limitation to 50% for taxable years beginning in 2019 or 2020 and permitted an entity to elect to use its 2019 adjusted taxable income to calculate the applicable limitation for its 2020 taxable year. For taxable years beginning after December 31, 2021, “adjusted taxable income” is calculated by taking deductions allowable for depreciation, amortization, or depletion into account.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election to date and has not yet determined whether it will make such election at a later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changes or other actions affecting REITs could have a negative effect on Lamar Advertising and its subsidiaries.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U.S. federal income tax consequences to it of such qualification.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applicable state and local corporate taxes, which may have adverse consequences on its total return to its stockholders.</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the Company leases an additional 149 operating facilities at an aggregate lease expense for 2022 of approximately $9.2 million.</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own approximately 10,500 parcels of property beneath our outdoor advertising structures. As of December 31, 2022, we leased approximately 72,500 active outdoor sites, accounting for a total annual lease expense of approximately $319.3 million. This amount represented approximately 18% of billboard advertising net revenues for the year ended December 31, 2022.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left="840" w:right="10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THE REGISTRANT’S COMMON EQUITY, RELATED STOCKHOLDER MATTERS AND ISSUER PURCHASES OF EQUITY SECURITIES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has been publicly traded since August 2, 1996 and is currently listed on the NASDAQ Global Select Market under the symbol “LAMR.” As of December 31, 2022, the Class A common stock was held by 86 stockholders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B common stock is not publicly traded and is held of record by members of the Reilly family and their affiliated entities, including the Reilly Family, LLC (the “RFLLC”), formerly the Reilly Family Limited Partnership. Kevin P. Reilly, Jr., our Executive Chairman of the Board, is the executive manager of the RFLLC and Sean E. Reilly, our President and Chief Executive Officer, and Wendell Reilly and Anna Reilly, each of whom is a member of our Board of Directors are also managers of the RFLLC.</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Series AA preferred stock is entitled to preferential dividends, in an annual aggregate amount of $364,903,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the repurchase of up to $250.0 million of the Company’s Class A common stock. On September 20, 2021, the Board of Directors authorized the extension of the repurchase program through March 31, 2023. There were no repurchases under the program as of December 31, 2022. On February 23, 2023, the Company’s Board of Directors authorized the renewal of the repurchase program through September 30, 2024. The Company’s management may opt not to make any repurchases under the program, or may make aggregate purchases less than the total amount authorized.</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33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years ended December 31, 2022 and 2021. This discussion should be read in conjunction with the consolidated financial statements of the Company and the related notes.</w:t>
      </w:r>
    </w:p>
    <w:p>
      <w:pPr>
        <w:spacing w:after="0" w:line="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Discussion of our results of operations for the years ended December 31, 2021 and 2020 can be found in Part II, Item 7 of our Annual Report on Form 10-K for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or the issuance of debt or equity securities. See </w:t>
      </w:r>
      <w:r>
        <w:rPr>
          <w:rFonts w:ascii="Times New Roman" w:cs="Times New Roman" w:eastAsia="Times New Roman" w:hAnsi="Times New Roman"/>
          <w:sz w:val="18"/>
          <w:szCs w:val="18"/>
          <w:i w:val="1"/>
          <w:iCs w:val="1"/>
          <w:color w:val="auto"/>
        </w:rPr>
        <w:t>“Liquidity and Capital Resources- Sources of Cash,</w:t>
      </w:r>
      <w:r>
        <w:rPr>
          <w:rFonts w:ascii="Times New Roman" w:cs="Times New Roman" w:eastAsia="Times New Roman" w:hAnsi="Times New Roman"/>
          <w:sz w:val="18"/>
          <w:szCs w:val="18"/>
          <w:color w:val="auto"/>
        </w:rPr>
        <w:t>” for more information. During the year ended December 31, 2022, the Company completed multiple acquisitions for a total cash purchase price of approximately $479.8 million. See “</w:t>
      </w:r>
      <w:r>
        <w:rPr>
          <w:rFonts w:ascii="Times New Roman" w:cs="Times New Roman" w:eastAsia="Times New Roman" w:hAnsi="Times New Roman"/>
          <w:sz w:val="18"/>
          <w:szCs w:val="18"/>
          <w:i w:val="1"/>
          <w:iCs w:val="1"/>
          <w:color w:val="auto"/>
        </w:rPr>
        <w:t>Uses of Cash-Acquisitions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two years: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45,415</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55,285</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PP&amp;E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w:t>
            </w:r>
          </w:p>
        </w:tc>
      </w:tr>
      <w:tr>
        <w:trPr>
          <w:trHeight w:val="248"/>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167,078</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126,090</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expect our 2023 capital expenditures to be approximately $185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Umbrella Partnership Real Estate Investment Trust</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previously announced, on July 1,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 This reorganization is not expected to have any material impact on the Company's combined financial statements or business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 is a supplement to net revenue to enable investors to compare period over 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29"/>
        </w:trPr>
        <w:tc>
          <w:tcPr>
            <w:tcW w:w="8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$244.7 million or 13.7% to $2.03 billion for the year ended December 31, 2022 from $1.79 billion for the same period in 2021. This increase was attributable to an increase in billboard net revenues of $200.4 million, an increase in transit net revenues of $42.3 million and an increase in logo net revenues of $2.0 million over the prior year.</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2022, as compared to acquisition-adjusted net revenues for the comparable period in 2021, increased $180.6 million, or 9.8%. This increase was attributable to an increase of $142.5 million in billboard net revenues, an increase of $36.3 million in transit net revenues and an increase of $1.8 million in logo net revenues. See “</w:t>
      </w:r>
      <w:r>
        <w:rPr>
          <w:rFonts w:ascii="Times New Roman" w:cs="Times New Roman" w:eastAsia="Times New Roman" w:hAnsi="Times New Roman"/>
          <w:sz w:val="18"/>
          <w:szCs w:val="18"/>
          <w:i w:val="1"/>
          <w:iCs w:val="1"/>
          <w:color w:val="auto"/>
        </w:rPr>
        <w:t>Reconciliations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$123.4 million, or 12.4% to $1.12 billion for the year ended December 31, 2022 from $997.0 million in the same period in 2021. The $123.4 million increase over the prior year is primarily comprised of an increase in total direct, general and administrative and corporate expenses (excluding stock-based compensation and transaction expenses) of $133.8 million primarily related to an increase in our variable billboard lease costs and transit and airport franchise costs, as well as increases in our workforce.</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$78.2 million to $349.4 million for the year ended December 31, 2022 as compared to $271.3 million for the same period in 2021. The increase is primarily due to the revision in the cost estimate included in the calculation of asset retirement obligations during 2022, as well as acquisitions and capital expenditures that occurred in the second half of 2021 and during 2022.</w:t>
      </w:r>
    </w:p>
    <w:p>
      <w:pPr>
        <w:spacing w:after="0" w:line="176"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on disposition of assets of $15.7 million as compared to a gain on disposition of assets of $2.1 million for the same period in 2021. The gain on disposition of assets for the year ended December 31, 2022 primarily resulted from a gain of $12.6 million from a contingent payment received in connection with the Company's 2018 sale of Puerto Rico assets.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$56.8 million to $578.0 million for the year ended December 31, 2022 compared to $521.2 million for the same period in 2021.</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recorded a $21.6 million loss on debt extinguishment related to Lamar Media's repayment of its 5 3/4% Senior Notes. There was no loss on debt extinguishment during the year ended December 31, 2022.</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$21.1 million for the year ended December 31, 2022 to $127.5 million as compared to $106.4 million for the year ended December 31, 2021. The increase in interest expense is primarily related to the increase in interest rates on the Accounts Receivable Securitization Program and senior credit facility.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$4.3 million and $3.4 million for the years ended December 31, 2022 and 2021, respectively, as a result of an investment that occurred in July of 2021.</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and the decrease in loss on extinguishment of debt, offset by the increase in interest expense over the comparable period in 2021, resulted in a $58.8 million increase in net income before income taxes.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recorded income tax expense of $17.5 million for the year ended December 31, 2022 as compared to income tax expense of $9.3 million for the same period in 2021.The $17.5 million tax expense includes an expense of $6.6 million for the reduction of Puerto Rico deferred tax assets for the year ended December 31, 2022. The $17.5 million equates to an effective tax rate for the year ended December 31, 2022 of approximately 3.8%, which differs from the federal statutory rate primarily due to our qualification for taxation as a REIT and adjustments for foreign items.</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year ended December 31, 2022 of $438.6 million, as compared to net income of $388.1 million for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year ended December 31, 2021 by adding to or subtracting from it the net revenue generated by the acquired or divested assets prior to our acquisition or divestiture of these assets for the same time frame that those assets were owned in the year ended December 31, 2022.</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year ended December 31, 2021 as well as a comparison of 2021 acquisition-adjusted net revenue to 2022 reported net revenue for the year ended December 31, 2022, are provided below:</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2,032,140</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80" w:type="dxa"/>
            <w:vAlign w:val="bottom"/>
            <w:tcBorders>
              <w:top w:val="single" w:sz="8" w:color="CFF0FC"/>
              <w:bottom w:val="single" w:sz="8" w:color="CFF0FC"/>
            </w:tcBorders>
            <w:shd w:val="clear" w:color="auto" w:fill="CFF0FC"/>
          </w:tcPr>
          <w:p>
            <w:pPr>
              <w:spacing w:after="0"/>
              <w:rPr>
                <w:sz w:val="21"/>
                <w:szCs w:val="21"/>
                <w:color w:val="auto"/>
              </w:rPr>
            </w:pPr>
          </w:p>
        </w:tc>
        <w:tc>
          <w:tcPr>
            <w:tcW w:w="9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2,032,140</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1,851,515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2022 increased 13.4% to $938.1 million. The increase in adjusted EBITDA was primarily attributable to the increase in our gross margin (net revenue less direct advertising expense, exclusive of depreciation and amortization and capitalized contract fulfillment costs, net) of $153.8 million, and was partially offset by an increase in general and administrative and corporate expenses of $43.1 million, excluding the impact of stock-based compensation expense and transaction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81,984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year ended December 31, 2022 was $757.0 million as compared to FFO of $643.4 million for the same period in 2021. AFFO for the year ended December 31, 2022 increased 12.3% to $749.7 million as compared to $667.7 million for the same period in 2021. The increase in AFFO was primarily attributable to the increase in our gross margin (net revenue less direct advertising expense, exclusive of depreciation and amortization and capitalized contract fulfillment costs, net), partially offset by an increase in total general and administrative and corporate expenses (excluding the effect of stock-based compensation expense and transaction expenses) and capital expenditures related to the maintenance of our advertising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its senior credit facility and Accounts Receivable Securitization Program. The Company’s wholly owned subsidiary, Lamar Media Corp., is the principal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December 31, 2022 we had $746.6 million of total liquidity, which is comprised of $52.6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$694.0 million of availability under the revolving portion of the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Company had a working capital deficit of $361.5 million and $274.4 million, respectively. The working capital deficit for the year ended December 31, 2022 is primarily related to the $249.4 million outstanding under the Accounts Receivable Securitization Program as well as $205.8 million in current operating lease liabilities which has a corresponding right of use asset recorded in long term assets. We expect to have enough cash on hand and availability under our revolving credit facility to meet our operating needs for the next twelve months.</w:t>
      </w:r>
    </w:p>
    <w:p>
      <w:pPr>
        <w:spacing w:after="0" w:line="17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years ended December 31, 2022 and 2021 our cash provided by operating activities was $781.6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$734.4 million, respectively. The increase in cash provided by operating activities for the year ended December 31, 2022 over the same period in 2021 relates to an increase in revenues offset by an increase in operating expenses (excluding depreciation and amortization). We expect to generate cash flows from operations during 2023 in excess of our cash needs for operations, capital expenditures and dividends, as described herein.</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Accounts Receivable Securitization Program, as amended.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5"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2022, there was $250.0 million of outstanding aggregate borrowings under the Accounts Receivable Securitization Program at a borrowing rate of approximately 5.3%. Lamar Media has no additional availability under the Accounts Receivable Securitization Program as of December 31, 2022. The Accounts Receivable Securitization Program will mature on July 21, 2025.</w:t>
      </w:r>
    </w:p>
    <w:p>
      <w:pPr>
        <w:spacing w:after="0" w:line="17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May 1, 2018, the Company entered into an equity distribution agreement (the “Sales Agreement”) with J.P.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 to time, issue and sell shares of its Class A common stock, having an aggregate offering price of up to $400.0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December 31, 2022.</w:t>
      </w:r>
    </w:p>
    <w:p>
      <w:pPr>
        <w:spacing w:after="0" w:line="188"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 new automatically effective shelf registration statement (No. 333-257243)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allows Lamar Advertising to offer and sell an indeterminate amount of additional shares of its Class A common stock. During the year ended December 31, 2022, the Company did not issue any shares under the shelf registration statement.</w:t>
      </w:r>
    </w:p>
    <w:p>
      <w:pPr>
        <w:spacing w:after="0" w:line="17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w:t>
      </w:r>
    </w:p>
    <w:p>
      <w:pPr>
        <w:spacing w:after="0" w:line="18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February 6, 2025 (the “revolving credit facility”), (ii) a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29, 2022, Lamar Media entered into Amendment No. 2 (the "Amendment No. 2") to the Fourth Amended and Restated Credit Agreement with certain of Lamar Media's subsidiaries as guarantors, JPMorgan Chase Bank, N.A. as administrative agent and the lenders party thereto. The Amendment No. 2 establishes a new $350.0 million Senior Secured Term Loan A loan (the "Term A loans") as a new class of incremental term loans. The Term A loans will mature on February 6, 2025 and bear interest at Term SOFR plus 1.25% and a credit spread adjustment of 0.10%. The covenants, events of default and other terms of the senior credit facility apply to the Term A loans. Lamar Media borrowed all $350.0 million in Term A loans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29, 2022. Proceeds from the Term A loans were used to repay outstanding balances on the revolving credit facility and a portion of the outstanding balance on our Accounts Receivable Securitization Program.</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2022, the aggregate balance outstanding under the senior credit facility was $995.0 million, consisting of $600.0 million in Term B loans aggregate principal balance, $350.0 million in Term A loans aggregate principal balance and $45.0 million outstanding borrowings under our revolving credit facility. Lamar Media had approximately $694.0 million of unused capacity under the revolving credit facility.</w:t>
      </w:r>
    </w:p>
    <w:p>
      <w:pPr>
        <w:spacing w:after="0" w:line="17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Note Offerings. </w:t>
      </w:r>
      <w:r>
        <w:rPr>
          <w:rFonts w:ascii="Times New Roman" w:cs="Times New Roman" w:eastAsia="Times New Roman" w:hAnsi="Times New Roman"/>
          <w:sz w:val="18"/>
          <w:szCs w:val="18"/>
          <w:color w:val="auto"/>
        </w:rPr>
        <w:t>On January 22, 2021, Lamar Media issued, through an institutional private placement, $550.0 million in aggregate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3 5/8% Senior Notes due 2031 (the “3 5/8% Senior Notes”). The issuance of the 3 5/8% Senior Notes resulted in net proceeds to Lamar Media of approximately $542.5 million. Lamar Media used the proceeds of this offering, together with cash on hand and borrowings under the revolving credit facility and Accounts Receivable Securitization Program, to redeem all of its outstanding $650.0 million aggregate principal amount 5 3/4% Senior Notes due 2026. See </w:t>
      </w:r>
      <w:r>
        <w:rPr>
          <w:rFonts w:ascii="Times New Roman" w:cs="Times New Roman" w:eastAsia="Times New Roman" w:hAnsi="Times New Roman"/>
          <w:sz w:val="18"/>
          <w:szCs w:val="18"/>
          <w:i w:val="1"/>
          <w:iCs w:val="1"/>
          <w:color w:val="auto"/>
        </w:rPr>
        <w:t>Uses of Cash-Note Redemption</w:t>
      </w:r>
      <w:r>
        <w:rPr>
          <w:rFonts w:ascii="Times New Roman" w:cs="Times New Roman" w:eastAsia="Times New Roman" w:hAnsi="Times New Roman"/>
          <w:sz w:val="18"/>
          <w:szCs w:val="18"/>
          <w:color w:val="auto"/>
        </w:rPr>
        <w:t xml:space="preserve">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119"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2023 in excess of our cash needs for operations, capital expenditures and dividends, as described herein.</w:t>
      </w:r>
    </w:p>
    <w:p>
      <w:pPr>
        <w:spacing w:after="0" w:line="173"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58"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As of December 31, 2022, Lamar Media has outstanding all of the 3 3/4% Senior Notes, the 4%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4 7/8% Senior Notes and the 3 5/8% Senior Notes.</w:t>
      </w:r>
    </w:p>
    <w:p>
      <w:pPr>
        <w:spacing w:after="0" w:line="16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54" w:lineRule="exact"/>
        <w:rPr>
          <w:sz w:val="20"/>
          <w:szCs w:val="20"/>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117"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117"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117" w:lineRule="exact"/>
        <w:rPr>
          <w:rFonts w:ascii="Times New Roman" w:cs="Times New Roman" w:eastAsia="Times New Roman" w:hAnsi="Times New Roman"/>
          <w:sz w:val="18"/>
          <w:szCs w:val="18"/>
          <w:color w:val="auto"/>
        </w:rPr>
      </w:pPr>
    </w:p>
    <w:p>
      <w:pPr>
        <w:ind w:left="1060" w:hanging="485"/>
        <w:spacing w:after="0" w:line="282" w:lineRule="auto"/>
        <w:tabs>
          <w:tab w:leader="none" w:pos="10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5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117"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December 31, 2022 we were, and currently, we are in compliance with all such tests under the senior credit facility.</w:t>
      </w:r>
    </w:p>
    <w:p>
      <w:pPr>
        <w:spacing w:after="0" w:line="18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subsidiaries (other than the Special Purpose Subsidiaries (as defined above under “</w:t>
      </w:r>
      <w:r>
        <w:rPr>
          <w:rFonts w:ascii="Times New Roman" w:cs="Times New Roman" w:eastAsia="Times New Roman" w:hAnsi="Times New Roman"/>
          <w:sz w:val="18"/>
          <w:szCs w:val="18"/>
          <w:i w:val="1"/>
          <w:iCs w:val="1"/>
          <w:color w:val="auto"/>
        </w:rPr>
        <w:t>Sources of Cash-Accounts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 than or equal to 4.5 to 1.0.</w:t>
      </w:r>
    </w:p>
    <w:p>
      <w:pPr>
        <w:spacing w:after="0" w:line="16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ind w:firstLine="567"/>
        <w:spacing w:after="0" w:line="251"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w:t>
      </w:r>
    </w:p>
    <w:p>
      <w:pPr>
        <w:spacing w:after="0" w:line="11" w:lineRule="exact"/>
        <w:rPr>
          <w:sz w:val="20"/>
          <w:szCs w:val="20"/>
          <w:color w:val="auto"/>
        </w:rPr>
      </w:pPr>
    </w:p>
    <w:p>
      <w:pPr>
        <w:jc w:val="both"/>
        <w:ind w:firstLine="8"/>
        <w:spacing w:after="0" w:line="253" w:lineRule="auto"/>
        <w:tabs>
          <w:tab w:leader="none" w:pos="2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the senior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119" w:lineRule="exact"/>
        <w:rPr>
          <w:sz w:val="20"/>
          <w:szCs w:val="20"/>
          <w:color w:val="auto"/>
        </w:rPr>
      </w:pPr>
    </w:p>
    <w:p>
      <w:pPr>
        <w:jc w:val="both"/>
        <w:ind w:right="2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$167.1 million for the year ended December 31, 2022.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are categorized as growth or maintenance as described below.</w:t>
      </w:r>
    </w:p>
    <w:p>
      <w:pPr>
        <w:spacing w:after="0" w:line="50" w:lineRule="exact"/>
        <w:rPr>
          <w:sz w:val="20"/>
          <w:szCs w:val="20"/>
          <w:color w:val="auto"/>
        </w:rPr>
      </w:pPr>
    </w:p>
    <w:p>
      <w:pPr>
        <w:jc w:val="both"/>
        <w:ind w:left="660" w:firstLine="239"/>
        <w:spacing w:after="0" w:line="267" w:lineRule="auto"/>
        <w:tabs>
          <w:tab w:leader="none" w:pos="13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capital expenditures </w:t>
      </w:r>
      <w:r>
        <w:rPr>
          <w:rFonts w:ascii="Times New Roman" w:cs="Times New Roman" w:eastAsia="Times New Roman" w:hAnsi="Times New Roman"/>
          <w:sz w:val="18"/>
          <w:szCs w:val="18"/>
          <w:color w:val="auto"/>
        </w:rPr>
        <w:t>include discretionary capital expenditures incurred primarily for the expansion or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markets and construction of new advertising sites. Growth capital expenditures also include certain technology-related investments necessary to support and scale for future customer demand of our outdoor advertising services, and other capital projects.</w:t>
      </w:r>
    </w:p>
    <w:p>
      <w:pPr>
        <w:spacing w:after="0" w:line="65" w:lineRule="exact"/>
        <w:rPr>
          <w:rFonts w:ascii="Times New Roman" w:cs="Times New Roman" w:eastAsia="Times New Roman" w:hAnsi="Times New Roman"/>
          <w:sz w:val="18"/>
          <w:szCs w:val="18"/>
          <w:color w:val="auto"/>
        </w:rPr>
      </w:pPr>
    </w:p>
    <w:p>
      <w:pPr>
        <w:ind w:left="660" w:firstLine="239"/>
        <w:spacing w:after="0" w:line="284" w:lineRule="auto"/>
        <w:tabs>
          <w:tab w:leader="none" w:pos="13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capital expenditures </w:t>
      </w:r>
      <w:r>
        <w:rPr>
          <w:rFonts w:ascii="Times New Roman" w:cs="Times New Roman" w:eastAsia="Times New Roman" w:hAnsi="Times New Roman"/>
          <w:sz w:val="18"/>
          <w:szCs w:val="18"/>
          <w:color w:val="auto"/>
        </w:rPr>
        <w:t>include capital expenditures not otherwise categorized as growth capital expenditures, including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to enhance existing advertising sites, general asset improvements, and ordinary corporate capital expenditures.</w:t>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anticipate our 2023 total capital expenditures will be approximately $185 million.</w:t>
      </w:r>
    </w:p>
    <w:p>
      <w:pPr>
        <w:spacing w:after="0" w:line="22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year ended December 31, 2022, the Company completed 73 acquisitions for a total cash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$479.8 million. The acquisitions occurring during the year ended December 31, 2022 were financed using available cash on hand, borrowings under the revolving credit facility and borrowings under the Accounts Receivable Securitization Program.</w:t>
      </w:r>
    </w:p>
    <w:p>
      <w:pPr>
        <w:spacing w:after="0" w:line="17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May 4, 2022, the Company acquired Burkhart Advertising Inc. which included more than 1,500 billboard structures and 3,200 billboard faces, including 23 digital displays. On December 9, 2022, the Company acquired assets from Fairway Outdoor and Standard Outdoor which included approximately 1,600 billboard structures and 3,600 billboard displays. These acquisitions were funded with a combination of cash on hand, borrowings under our revolving credit facility and borrowings under the Accounts Receivable Securitization Program.</w:t>
      </w:r>
    </w:p>
    <w:p>
      <w:pPr>
        <w:spacing w:after="0" w:line="178"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On July 12, 2021, Lamar acquired a minority stake in Vistar Media ("Vistar"), a leading global provider of programmatic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digital out-of-home sector. Management believes that Lamar's investment of $30.0 million will help Vistar strengthen its balance sheet, expand its research and development and extend its reach into new markets. Lamar received a seat on Vistar's Board of Directors.</w:t>
      </w:r>
    </w:p>
    <w:p>
      <w:pPr>
        <w:spacing w:after="0" w:line="173"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Note Redemption. </w:t>
      </w:r>
      <w:r>
        <w:rPr>
          <w:rFonts w:ascii="Times New Roman" w:cs="Times New Roman" w:eastAsia="Times New Roman" w:hAnsi="Times New Roman"/>
          <w:sz w:val="18"/>
          <w:szCs w:val="18"/>
          <w:color w:val="auto"/>
        </w:rPr>
        <w:t>On February 3, 2021, the Company redeemed in full all $650.0 million aggregate principal amount 5 3/4% Senior Notes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2026. The 5 3/4% Senior Notes redemption was completed using the proceeds received from the 3 5/8% Senior Notes offering completed on January 22, 2021, together with cash on hand and borrowings under the revolving credit facility and Accounts Receivable Securitization Program. The notes were redeemed at a redemption price equal to 102.875% of the aggregate principal amount of the outstanding notes, plus accrued and unpaid interest to (but not including) the redemption date. During the year ended December 31, 2021, the Company recorded a loss on debt extinguishment of $21.6 million related to the note redemption. See </w:t>
      </w:r>
      <w:r>
        <w:rPr>
          <w:rFonts w:ascii="Times New Roman" w:cs="Times New Roman" w:eastAsia="Times New Roman" w:hAnsi="Times New Roman"/>
          <w:sz w:val="18"/>
          <w:szCs w:val="18"/>
          <w:i w:val="1"/>
          <w:iCs w:val="1"/>
          <w:color w:val="auto"/>
        </w:rPr>
        <w:t>Sources of Cash- Note Offerings</w:t>
      </w:r>
      <w:r>
        <w:rPr>
          <w:rFonts w:ascii="Times New Roman" w:cs="Times New Roman" w:eastAsia="Times New Roman" w:hAnsi="Times New Roman"/>
          <w:sz w:val="18"/>
          <w:szCs w:val="18"/>
          <w:color w:val="auto"/>
        </w:rPr>
        <w:t xml:space="preserve"> for more information.</w:t>
      </w:r>
    </w:p>
    <w:p>
      <w:pPr>
        <w:spacing w:after="0" w:line="18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During the year ended December 31, 2022, the Company declared and paid distributions of $508.2 million, or $5.00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During the year ended December 31, 2021, the Company declared and paid distributions of $404.8 million, or $4.00 per share of common stock. On February 23, 2023, the Company’s Board of Directors approved a dividend of $1.25 per common share to be paid on March 31, 2023. Subject to the approval of the Company’s Board of Directors, the Company expects aggregate quarterly distributions to stockholders in 2023 will be $5.00 per common share, including the dividend payable on March 31, 2023.</w:t>
      </w:r>
    </w:p>
    <w:p>
      <w:pPr>
        <w:spacing w:after="0" w:line="18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74"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Special Purpose Acquisition Company. </w:t>
      </w:r>
      <w:r>
        <w:rPr>
          <w:rFonts w:ascii="Times New Roman" w:cs="Times New Roman" w:eastAsia="Times New Roman" w:hAnsi="Times New Roman"/>
          <w:sz w:val="18"/>
          <w:szCs w:val="18"/>
          <w:color w:val="auto"/>
        </w:rPr>
        <w:t>On April 6, 2021, Lamar Partnering Corporation ("LPC"), a newly formed special purpose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indirect wholly-owned subsidiary of the Company, filed a Registration Statement on Form S-1, with the Securities and Exchange Commission (the "SEC"). On June 21, 2022, LPC filed its request to withdraw its registration statement with the SEC. In conjunction with the withdrawn offering, the Company incurred a transaction expense of $1.2 million for the write-off of deferred offering costs incurred on behalf of LPC's registration statement. The $1.2 million in expenses are included in Corporate expenses in our Consolidated Statement of Income and Comprehensive Income at December 31, 2022.</w:t>
      </w:r>
    </w:p>
    <w:p>
      <w:pPr>
        <w:spacing w:after="0" w:line="18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Class A common stock. Additionally, the Board of Directors has authorized Lamar Media to repurchase up to $250.0 million in outstanding senior or senior subordinated notes and other indebtedness outstanding from time to time under the senior credit facility. On September 20, 2021, the Board of Directors authorized the extension of the repurchase program through March 31, 2023. There were no repurchases under the program as of December 31, 2022. On February 23, 2023, the Company’s Board of Directors authorized the renewal of the repurchase program through September 30, 2024. The Company's management may opt not to make any repurchases under the program, or may make aggregate purchases less than the total amount authorized.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ended December 31, 2023 and thereafter are comprised of contractual obligations, required annual distributions and other opportunistic expenditures.</w:t>
      </w:r>
    </w:p>
    <w:p>
      <w:pPr>
        <w:spacing w:after="0" w:line="160"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December 31, 2022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w:t>
            </w:r>
          </w:p>
        </w:tc>
      </w:tr>
      <w:tr>
        <w:trPr>
          <w:trHeight w:val="230"/>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1,624.3</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690.7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5,308.2</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maturities assume there is no refinancing prior to the existing maturity date.</w:t>
      </w:r>
    </w:p>
    <w:p>
      <w:pPr>
        <w:spacing w:after="0" w:line="27"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on our variable rate instruments assume rates at the December 2022 levels. See Item 7A, "Quantitative and Qualitative Disclosures About Market Risk" for further discussion on interest rate risk.</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On February 23, 2023, the Company’s Board of Directors approved a dividend of $1.25 per common share to be paid on March 31, 2023. Our Board of Directors will continue to evaluate future dividends in order to continue to satisfy the requirements needed to maintain our REIT status.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$47.2 million from $734.4 million in 2021 to $781.6 million for the year ended December 31, 2022, primarily resulting from an increase in revenues of approximately $244.7 million offset by an increase in operating expenses (excluding stock-based compensation, gain on disposition of assets and depreciation and amortization) of approximately $137.6 million, as well as increases in interest expense of $21.1 million and income tax expense and $8.2 million as compared to the comparable period in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increased $157.3 million from $461.8 million in 2021 to $619.1 million in 2022 primarily due to a net increase in the amount of assets acquired through acquisitions, investments and capital expenditures of $178.5 million, offset by decreases in notes receivable, as compared to the same period in 2021.</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$209.3 million for the year ended December 31, 2022 as compared to $294.5 million in 2021. This decrease in cash used in financing activities of $85.2 million for the year ended December 31, 2022 is primarily due to increased borrowings on the senior credit facility and accounts receivable securitization program in 2022, offset by an increase in cash paid for dividends and distributions in 2022 over the comparable period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8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had an asset retirement obligation of $390.4 million as of December 31, 2022. This liability relates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obligation upon the termination or non-renewal of a lease to dismantle and remove its billboard structures from the leased land and to restore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This calculation includes 100% of the Company’s billboard structures on leased land (which currently consist of approximately 72,500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8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The Company accounts for transactions that meet the definition of a business and group asset purchases as acquisitions.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 business,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allocates the purchase price to the assets acquired and the liabilities assumed at their estimated relative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176" w:lineRule="exact"/>
        <w:rPr>
          <w:sz w:val="20"/>
          <w:szCs w:val="20"/>
          <w:color w:val="auto"/>
        </w:rPr>
      </w:pPr>
    </w:p>
    <w:p>
      <w:pPr>
        <w:jc w:val="both"/>
        <w:ind w:firstLine="56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Liabilities and Right of Use Assets. </w:t>
      </w:r>
      <w:r>
        <w:rPr>
          <w:rFonts w:ascii="Times New Roman" w:cs="Times New Roman" w:eastAsia="Times New Roman" w:hAnsi="Times New Roman"/>
          <w:sz w:val="18"/>
          <w:szCs w:val="18"/>
          <w:color w:val="auto"/>
        </w:rPr>
        <w:t>On January 1, 2019, the Company adopted ASU No.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 (Codified as ASC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recording operating lease liabilities and right of use assets on our consolidated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balance sheet. Our operating lease liabilities (including short-term liabilities) and right of use asset balances were $1.24 billion and $1.27 billion as of December 31, 2022, respectively. The balance is recorded based on the present value of the remaining minimum rental payments under the leasing standard for our existing operating leases. The key estimates for our leases include (1) the discount rate used to discount the unpaid lease payments to present value and (2) lease term. Our leases generally do not include a readily determinable implicit rate, therefore, using a portfolio approach, we determine our collateralized incremental borrowing rate to discount the lease payments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AND REGULATORY UPDATE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21, "New Accounting Pronouncements" to our consolidated financial statements included in Part II, Item 8 of this report for a discussion of our Accounting Standards and Regulatory Update.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years ended December 31, 2022 and 2021. This discussion should be read in conjunction with the consolidated financial statements of Lamar Media and the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30"/>
        </w:trPr>
        <w:tc>
          <w:tcPr>
            <w:tcW w:w="82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21.8 %</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$244.7 million or 13.7% to $2.03 billion for the year ended December 31, 2022 from $1.79 billion for the same period in 2021. This increase was attributable to an increase in billboard net revenues of $200.4 million, an increase in transit net revenues of $42.3 million and an increase in logo net revenues of $2.0 million over the prior year.</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2022, as compared to acquisition-adjusted net revenues for the comparable period in 2021, increased $180.6 million, or 9.8%. The $180.6 million increase in net revenues is due to a $142.5 million increase in billboard net revenues, a $36.3 million increase in transit net revenues and an increase of $1.8 million in logo net revenues. See “Reconciliations” below.</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$123.7 million, or 12.4% to $1.12 billion for the year ended December 31, 2022 from $996.2 million in the same period in 2021. The $123.7 million increase over the prior year is primarily comprised of an increase in total direct, general and administrative and corporate expenses (excluding stock-based compensation and transaction expenses) of $134.2 million primarily related to an increase in our variable billboard lease costs and transit and airport franchise costs, as well as increases in our workforce.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$78.2 million to $349.4 million for the year ended December 31, 2022 as compared to $271.3 million for the same period in 2021. The increase is due to the revision in the cost estimate included in the calculation of asset retirement obligations during 2022, as well as acquisitions and capital expenditures that occurred in the second half of 2021 and during 2022.</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Lamar Media recognized a gain on disposition of assets of $15.7 million as compared to a gain on disposition of assets of $2.1 million for the same period in 2021. The gain on disposition of assets for the year ended December 31, 2022 primarily resulted from a gain of $12.6 million from a contingent payment received in connection with the Company's 2018 sale of Puerto Rico assets.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increased $56.5 million to $578.5 million for the year ended December 31, 2022 compared to $522.0 million for the same period in 2021.</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Lamar Media recorded a $21.6 million loss on debt extinguishment related to the repayment of its 5 3/4% Senior Notes. There was no loss on debt extinguishment during the year ended December 31, 2022.</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increased $21.1 million for the year ended December 31, 2022 to $127.5 million as compared to $106.4 million for the year ended December 31, 2021. The increase in interest expense is primarily related to the increase in interest rates on the Accounts Receivable Securitization Program and senior credit facility.</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Equity in earnings of investee was $4.3 million and $3.4 million for the years ended December 31, 2022 and 2021, respectively, as a result of an investment that occurred in July of 2021.</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and the decrease in loss on extinguishment of debt, offset by the increase in interest expense over the comparable period in 2021, resulted in a $58.4 million increase in net income before income taxes.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recorded income tax expense of $17.5 million for the year ended December 31, 2022 as compared to an income tax expense of $9.3 million for the same period in 2021. The $17.5 million tax expense includes an expense of $15.2 million for the reduction of Puerto Rico deferred tax assets for the year ended December 31, 2022. The $17.5 million equates to an effective tax rate for the year ended December 31, 2022 of approximately 3.8%, which differs from the federal statutory rate primarily due to our qualification for taxation as a REIT and adjustments for foreign items.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year ended December 31, 2022 of $439.1 million, as compared to net income of $388.9 million for the same period in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2020 have contributed to our net revenue results for the periods presented, we provide 2021 acquisition-adjusted net revenue, which adjusts our 2021 net revenue for the year ended December 31, 2021 by adding to or subtracting from it the net revenue generated by the acquired or divested assets prior to our acquisition or divestiture of these assets for the same time frame that those assets were owned in the year ended December 31, 2022.</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2021 reported net revenue to 2021 acquisition-adjusted net revenue for the year ended December 31, 2021 as well as a comparison of 2021 acquisition-adjusted net revenue to 2022 reported net revenue for the year ended December 31, 2022, are provided below:</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1,787,401</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64,114</w:t>
            </w:r>
          </w:p>
        </w:tc>
      </w:tr>
      <w:tr>
        <w:trPr>
          <w:trHeight w:val="248"/>
        </w:trPr>
        <w:tc>
          <w:tcPr>
            <w:tcW w:w="84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1,851,515</w:t>
            </w: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2022 increased 13.3% to $938.6 million. The increase in adjusted EBITDA was primarily attributable to the increase in our gross margin (net revenue less direct advertising expense, exclusive of depreciation and amortization and capitalized contract fulfillment costs, net) of $153.8 million, and was partially offset by an increase in general and administrative and corporate expenses of $43.4 million, excluding the impact of stock-based compensation expense and transaction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FFO for the year ended December 31, 2022 was $757.5 million as compared to FFO of $644.2 million for the same period in 2021. AFFO for the year ended December 31, 2022 increased 12.2% to $750.2 million as compared to $668.6 million for the same period in 2021. The increase in AFFO was primarily attributable to the increase in our gross margin (net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less direct advertising expense, exclusive of depreciation and amortization and capitalized contract fulfillment costs, net), offset by an increase in total general and administrative and corporate expenses (excluding the effect of stock-based compensation expense and transaction expenses) and capital expenditures related to the maintenance of our advertising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2022, and should be read in conjunction with Note 9 of the Notes to the Company’s Consolidated Financial Statements.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Corp. has variable rate debt outstanding under the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December 31, 2022 there was approximately $1.24 billion of indebtedness outstanding under the senior credit facility and Accounts Receivable Securitization Program, or approximately 37.2% of the Company’s outstanding long-term debt (including current maturities) on that date, bearing interest at variable rates. The aggregate interest expense for 2022 with respect to borrowings under the senior credit facility and the Accounts Receivable Securitization Program was $35.7 million, and the weighted average interest rate applicable to these borrowings during 2022 was 3.1%. Assuming that the weighted average interest rate was 200 basis points higher (that is 5.1% rather than 3.1%), then the Company’s 2022 interest expense would have increased by approximately $21.2 million for the year ended December 31, 2022.</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Adjusted LIBO Rate or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6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2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6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Rouge, LA, Audit Firm ID: 185)</w:t>
            </w:r>
          </w:p>
        </w:tc>
        <w:tc>
          <w:tcPr>
            <w:tcW w:w="2180" w:type="dxa"/>
            <w:vAlign w:val="bottom"/>
            <w:gridSpan w:val="2"/>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20" w:type="dxa"/>
            <w:vAlign w:val="bottom"/>
          </w:tcPr>
          <w:p>
            <w:pPr>
              <w:spacing w:after="0"/>
              <w:rPr>
                <w:sz w:val="19"/>
                <w:szCs w:val="19"/>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 Audit Firm ID: 185)</w:t>
            </w:r>
          </w:p>
        </w:tc>
        <w:tc>
          <w:tcPr>
            <w:tcW w:w="2420" w:type="dxa"/>
            <w:vAlign w:val="bottom"/>
            <w:gridSpan w:val="3"/>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920" w:type="dxa"/>
            <w:vAlign w:val="bottom"/>
            <w:gridSpan w:val="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0"/>
        </w:trPr>
        <w:tc>
          <w:tcPr>
            <w:tcW w:w="20" w:type="dxa"/>
            <w:vAlign w:val="bottom"/>
          </w:tcPr>
          <w:p>
            <w:pPr>
              <w:spacing w:after="0"/>
              <w:rPr>
                <w:sz w:val="21"/>
                <w:szCs w:val="21"/>
                <w:color w:val="auto"/>
              </w:rPr>
            </w:pPr>
          </w:p>
        </w:tc>
        <w:tc>
          <w:tcPr>
            <w:tcW w:w="8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2022, 2021 and 2020</w:t>
            </w:r>
          </w:p>
        </w:tc>
        <w:tc>
          <w:tcPr>
            <w:tcW w:w="1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0" w:type="dxa"/>
            <w:vAlign w:val="bottom"/>
          </w:tcPr>
          <w:p>
            <w:pPr>
              <w:spacing w:after="0"/>
              <w:rPr>
                <w:sz w:val="21"/>
                <w:szCs w:val="21"/>
                <w:color w:val="auto"/>
              </w:rPr>
            </w:pPr>
          </w:p>
        </w:tc>
        <w:tc>
          <w:tcPr>
            <w:tcW w:w="7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2021 and 2020</w:t>
            </w:r>
          </w:p>
        </w:tc>
        <w:tc>
          <w:tcPr>
            <w:tcW w:w="2980" w:type="dxa"/>
            <w:vAlign w:val="bottom"/>
            <w:gridSpan w:val="5"/>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20" w:type="dxa"/>
            <w:vAlign w:val="bottom"/>
          </w:tcPr>
          <w:p>
            <w:pPr>
              <w:spacing w:after="0"/>
              <w:rPr>
                <w:sz w:val="21"/>
                <w:szCs w:val="21"/>
                <w:color w:val="auto"/>
              </w:rPr>
            </w:pPr>
          </w:p>
        </w:tc>
        <w:tc>
          <w:tcPr>
            <w:tcW w:w="6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3660" w:type="dxa"/>
            <w:vAlign w:val="bottom"/>
            <w:gridSpan w:val="6"/>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gridSpan w:val="9"/>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2022, 2021 and 2020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2022, 2021 and 2020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Advertising’s management assessed the effectiveness of Lamar Advertising’s internal control over financial reporting as of December 31, 2022.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Advertising’s management has concluded that, as of December 31, 2022, Lamar Advertising’s internal control over financial reporting is effective based on those criteria. The effectiveness of Lamar Advertising’s internal control over financial reporting as of December 31, 2022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Lamar Advertising Company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and comprehensive income, stockholders’ equity, and cash flows for each of the years in the three-year period ended December 31, 2022, and the related notes and financial statement schedules II to III (collectively, the consolidated financial statements), and our report dated February 24, 2023 expressed an unqualified opinion on those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18"/>
          <w:szCs w:val="18"/>
          <w:color w:val="auto"/>
        </w:rPr>
        <w:t>.</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Advertising Company and subsidiaries (the Company) as of December 31, 2022 and 2021, the related consolidated statements of income and comprehensive income, stockholders’ equity, and cash flows for each of the years in the three-year period ended December 31, 2022, and the related notes and financial statement schedules II to III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2023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Assessment of the accounting lease term for the portfolio of billboard land leases</w:t>
      </w:r>
    </w:p>
    <w:p>
      <w:pPr>
        <w:spacing w:after="0" w:line="214" w:lineRule="exact"/>
        <w:rPr>
          <w:sz w:val="20"/>
          <w:szCs w:val="20"/>
          <w:color w:val="auto"/>
        </w:rPr>
      </w:pPr>
    </w:p>
    <w:p>
      <w:pPr>
        <w:jc w:val="both"/>
        <w:ind w:left="580"/>
        <w:spacing w:after="0" w:line="235" w:lineRule="auto"/>
        <w:rPr>
          <w:sz w:val="20"/>
          <w:szCs w:val="20"/>
          <w:color w:val="auto"/>
        </w:rPr>
      </w:pPr>
      <w:r>
        <w:rPr>
          <w:rFonts w:ascii="Times New Roman" w:cs="Times New Roman" w:eastAsia="Times New Roman" w:hAnsi="Times New Roman"/>
          <w:sz w:val="18"/>
          <w:szCs w:val="18"/>
          <w:color w:val="auto"/>
        </w:rPr>
        <w:t xml:space="preserve">As discussed in Note 7 to the consolidated financial statements, a lessee determines the lease term at the commencement date by identifying the non-cancellable period of the lease and then adding any periods for which it is reasonably certain to exercise a renewal option (or not to exercise a termination option). The Company has approximately 72,500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215" w:lineRule="exact"/>
        <w:rPr>
          <w:sz w:val="20"/>
          <w:szCs w:val="20"/>
          <w:color w:val="auto"/>
        </w:rPr>
      </w:pPr>
    </w:p>
    <w:p>
      <w:pPr>
        <w:jc w:val="both"/>
        <w:ind w:left="580" w:right="20"/>
        <w:spacing w:after="0" w:line="235"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8" w:name="page49"/>
    <w:bookmarkEnd w:id="48"/>
    <w:p>
      <w:pPr>
        <w:jc w:val="both"/>
        <w:ind w:left="580"/>
        <w:spacing w:after="0" w:line="23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FF0FC"/>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99,788</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$11,418 and $11,195 as of 2022 and 2021,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269,917</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364,552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388,607</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4,109,146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3,782,288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(2,609,447)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(2,445,014)</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1,499,699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1,337,274</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1,224,672</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right of 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1,936,426</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(note 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1,206,625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1,045,177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83,401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98,448</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6,475,214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6,047,494</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Current maturities of long-term debt, net of deferred financing costs of $593 and $585 in 2022 and 2021,</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respectively (note 9)</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(note 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135,038</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137,103</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662,965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 of $32,022 and $36,274 in 2022 and 2021, respectively (note 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(note 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retirement obligation (note 10)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390,442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5,279,840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4,830,405</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(note 14):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Series AA preferred stock, par value $0.001, $63.80 cumulative dividends, authorized 5,720 shares; 5,720 shares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issued and outstanding at 2022 and 2021</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A common stock, par value $0.001, 362,500,000 shares authorized, 88,110,928 and 87,540,838 shares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87,327,232 and 86,852,821 outstanding at 2022 and 2021, respectively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$0.001, 37,500,000 shares authorized, 14,420,085 shares issued and</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outstanding at 2022 and 2021</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2,061,671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2,001,399</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comprehensive (loss)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(734,415)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Cost of shares held in treasury, 783,696 and 688,017 shares in 2022 and 2021,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1,195,374</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1,217,089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6,475,214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6,047,494</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 (note 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1,568,856</w:t>
            </w: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557,661</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287,874</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70,944</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(note 11)</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251,296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1,454,139</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1,266,214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1,158,749</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410,107</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137,623</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248,046</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(note 12)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243,386</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101,527,778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101,133,269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100,756,361</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101,634,543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101,349,865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100,902,700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388,090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2"/>
                <w:szCs w:val="12"/>
                <w:color w:val="auto"/>
              </w:rPr>
            </w:pPr>
          </w:p>
        </w:tc>
        <w:tc>
          <w:tcPr>
            <w:tcW w:w="760" w:type="dxa"/>
            <w:vAlign w:val="bottom"/>
            <w:vMerge w:val="restart"/>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Series AA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Add’l</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80" w:type="dxa"/>
            <w:vAlign w:val="bottom"/>
            <w:gridSpan w:val="2"/>
            <w:vMerge w:val="continue"/>
          </w:tcPr>
          <w:p>
            <w:pPr>
              <w:spacing w:after="0"/>
              <w:rPr>
                <w:sz w:val="10"/>
                <w:szCs w:val="10"/>
                <w:color w:val="auto"/>
              </w:rPr>
            </w:pPr>
          </w:p>
        </w:tc>
        <w:tc>
          <w:tcPr>
            <w:tcW w:w="13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760" w:type="dxa"/>
            <w:vAlign w:val="bottom"/>
          </w:tcPr>
          <w:p>
            <w:pPr>
              <w:jc w:val="center"/>
              <w:ind w:left="137"/>
              <w:spacing w:after="0" w:line="122" w:lineRule="exact"/>
              <w:rPr>
                <w:sz w:val="20"/>
                <w:szCs w:val="20"/>
                <w:color w:val="auto"/>
              </w:rPr>
            </w:pPr>
            <w:r>
              <w:rPr>
                <w:rFonts w:ascii="Times New Roman" w:cs="Times New Roman" w:eastAsia="Times New Roman" w:hAnsi="Times New Roman"/>
                <w:sz w:val="13"/>
                <w:szCs w:val="13"/>
                <w:b w:val="1"/>
                <w:bCs w:val="1"/>
                <w:color w:val="auto"/>
                <w:w w:val="94"/>
              </w:rPr>
              <w:t>PREF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CMN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left="1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CMN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13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12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320" w:type="dxa"/>
            <w:vAlign w:val="bottom"/>
          </w:tcPr>
          <w:p>
            <w:pPr>
              <w:spacing w:after="0"/>
              <w:rPr>
                <w:sz w:val="15"/>
                <w:szCs w:val="15"/>
                <w:color w:val="auto"/>
              </w:rPr>
            </w:pPr>
          </w:p>
        </w:tc>
        <w:tc>
          <w:tcPr>
            <w:tcW w:w="7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2019</w:t>
            </w:r>
          </w:p>
        </w:tc>
        <w:tc>
          <w:tcPr>
            <w:tcW w:w="760" w:type="dxa"/>
            <w:vAlign w:val="bottom"/>
            <w:tcBorders>
              <w:top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(34,294)</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1,922,222</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(708,408)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1,180,306</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compensation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w:t>
            </w: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298,124 shares of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through stock awards</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25,811</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25,811</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Exercise of 61,949 shares of stock options</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1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154,756 shares of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through employee purchase plan</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8,010</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8,010</w:t>
            </w:r>
          </w:p>
        </w:tc>
        <w:tc>
          <w:tcPr>
            <w:tcW w:w="0" w:type="dxa"/>
            <w:vAlign w:val="bottom"/>
          </w:tcPr>
          <w:p>
            <w:pPr>
              <w:spacing w:after="0"/>
              <w:rPr>
                <w:sz w:val="1"/>
                <w:szCs w:val="1"/>
                <w:color w:val="auto"/>
              </w:rPr>
            </w:pPr>
          </w:p>
        </w:tc>
      </w:tr>
      <w:tr>
        <w:trPr>
          <w:trHeight w:val="121"/>
        </w:trPr>
        <w:tc>
          <w:tcPr>
            <w:tcW w:w="23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Purchase of 116,483 shares of treasury</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w:t>
            </w:r>
          </w:p>
        </w:tc>
        <w:tc>
          <w:tcPr>
            <w:tcW w:w="7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(10,492)</w:t>
            </w: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(10,492)</w:t>
            </w:r>
          </w:p>
        </w:tc>
        <w:tc>
          <w:tcPr>
            <w:tcW w:w="0" w:type="dxa"/>
            <w:vAlign w:val="bottom"/>
          </w:tcPr>
          <w:p>
            <w:pPr>
              <w:spacing w:after="0"/>
              <w:rPr>
                <w:sz w:val="1"/>
                <w:szCs w:val="1"/>
                <w:color w:val="auto"/>
              </w:rPr>
            </w:pPr>
          </w:p>
        </w:tc>
      </w:tr>
      <w:tr>
        <w:trPr>
          <w:trHeight w:val="183"/>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243,386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243,386</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 ($2.50 per common share)</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(251,944)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(251,944)</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($63.80 per preferred share)</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7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760" w:type="dxa"/>
            <w:vAlign w:val="bottom"/>
            <w:tcBorders>
              <w:top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(44,786)</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1,963,850</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(717,331)</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1,202,768</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compensation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4,942</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158,985 shares of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through stock awards</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13,565</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13,566</w:t>
            </w:r>
          </w:p>
        </w:tc>
        <w:tc>
          <w:tcPr>
            <w:tcW w:w="0" w:type="dxa"/>
            <w:vAlign w:val="bottom"/>
          </w:tcPr>
          <w:p>
            <w:pPr>
              <w:spacing w:after="0"/>
              <w:rPr>
                <w:sz w:val="1"/>
                <w:szCs w:val="1"/>
                <w:color w:val="auto"/>
              </w:rPr>
            </w:pPr>
          </w:p>
        </w:tc>
      </w:tr>
      <w:tr>
        <w:trPr>
          <w:trHeight w:val="122"/>
        </w:trPr>
        <w:tc>
          <w:tcPr>
            <w:tcW w:w="23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Exercise of 156,491 shares of stock</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7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10,170</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10,170</w:t>
            </w:r>
          </w:p>
        </w:tc>
        <w:tc>
          <w:tcPr>
            <w:tcW w:w="0" w:type="dxa"/>
            <w:vAlign w:val="bottom"/>
          </w:tcPr>
          <w:p>
            <w:pPr>
              <w:spacing w:after="0"/>
              <w:rPr>
                <w:sz w:val="1"/>
                <w:szCs w:val="1"/>
                <w:color w:val="auto"/>
              </w:rPr>
            </w:pPr>
          </w:p>
        </w:tc>
      </w:tr>
      <w:tr>
        <w:trPr>
          <w:trHeight w:val="129"/>
        </w:trPr>
        <w:tc>
          <w:tcPr>
            <w:tcW w:w="23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Issuance of 114,035 shares of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through employee purchase plan</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8,872</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8,872</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Purchase of 68,336 shares of treasury stock</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w:t>
            </w: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w:t>
            </w: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0"/>
        </w:trPr>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388,090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388,090</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 ($4.00 per common share)</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(404,809)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(404,809)</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($63.80 per preferred share)</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75"/>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760" w:type="dxa"/>
            <w:vAlign w:val="bottom"/>
            <w:tcBorders>
              <w:top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(50,852)</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2,001,399</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(734,415)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1,217,089</w:t>
            </w:r>
          </w:p>
        </w:tc>
        <w:tc>
          <w:tcPr>
            <w:tcW w:w="0" w:type="dxa"/>
            <w:vAlign w:val="bottom"/>
          </w:tcPr>
          <w:p>
            <w:pPr>
              <w:spacing w:after="0"/>
              <w:rPr>
                <w:sz w:val="1"/>
                <w:szCs w:val="1"/>
                <w:color w:val="auto"/>
              </w:rPr>
            </w:pPr>
          </w:p>
        </w:tc>
      </w:tr>
      <w:tr>
        <w:trPr>
          <w:trHeight w:val="170"/>
        </w:trPr>
        <w:tc>
          <w:tcPr>
            <w:tcW w:w="2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Non-cash compensation</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248,947 shares of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through stock awards</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30,366</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30,366</w:t>
            </w:r>
          </w:p>
        </w:tc>
        <w:tc>
          <w:tcPr>
            <w:tcW w:w="0" w:type="dxa"/>
            <w:vAlign w:val="bottom"/>
          </w:tcPr>
          <w:p>
            <w:pPr>
              <w:spacing w:after="0"/>
              <w:rPr>
                <w:sz w:val="1"/>
                <w:szCs w:val="1"/>
                <w:color w:val="auto"/>
              </w:rPr>
            </w:pPr>
          </w:p>
        </w:tc>
      </w:tr>
      <w:tr>
        <w:trPr>
          <w:trHeight w:val="121"/>
        </w:trPr>
        <w:tc>
          <w:tcPr>
            <w:tcW w:w="232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Exercise of 194,035 shares of stock</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7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0" w:type="dxa"/>
            <w:vAlign w:val="bottom"/>
          </w:tcPr>
          <w:p>
            <w:pPr>
              <w:spacing w:after="0"/>
              <w:rPr>
                <w:sz w:val="1"/>
                <w:szCs w:val="1"/>
                <w:color w:val="auto"/>
              </w:rPr>
            </w:pPr>
          </w:p>
        </w:tc>
      </w:tr>
      <w:tr>
        <w:trPr>
          <w:trHeight w:val="130"/>
        </w:trPr>
        <w:tc>
          <w:tcPr>
            <w:tcW w:w="23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Issuance of 127,108 shares of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 through employee purchase plan</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10,223</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10,223</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7"/>
              </w:rPr>
              <w:t>Purchase of 95,679 shares of treasury stock</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0" w:type="dxa"/>
            <w:vAlign w:val="bottom"/>
          </w:tcPr>
          <w:p>
            <w:pPr>
              <w:spacing w:after="0"/>
              <w:rPr>
                <w:sz w:val="1"/>
                <w:szCs w:val="1"/>
                <w:color w:val="auto"/>
              </w:rPr>
            </w:pPr>
          </w:p>
        </w:tc>
      </w:tr>
      <w:tr>
        <w:trPr>
          <w:trHeight w:val="170"/>
        </w:trPr>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438,647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438,647</w:t>
            </w:r>
          </w:p>
        </w:tc>
        <w:tc>
          <w:tcPr>
            <w:tcW w:w="0" w:type="dxa"/>
            <w:vAlign w:val="bottom"/>
          </w:tcPr>
          <w:p>
            <w:pPr>
              <w:spacing w:after="0"/>
              <w:rPr>
                <w:sz w:val="1"/>
                <w:szCs w:val="1"/>
                <w:color w:val="auto"/>
              </w:rPr>
            </w:pPr>
          </w:p>
        </w:tc>
      </w:tr>
      <w:tr>
        <w:trPr>
          <w:trHeight w:val="127"/>
        </w:trPr>
        <w:tc>
          <w:tcPr>
            <w:tcW w:w="232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 ($5.00 per common share)</w:t>
            </w: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(508,249)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(508,249)</w:t>
            </w:r>
          </w:p>
        </w:tc>
        <w:tc>
          <w:tcPr>
            <w:tcW w:w="0" w:type="dxa"/>
            <w:vAlign w:val="bottom"/>
          </w:tcPr>
          <w:p>
            <w:pPr>
              <w:spacing w:after="0"/>
              <w:rPr>
                <w:sz w:val="1"/>
                <w:szCs w:val="1"/>
                <w:color w:val="auto"/>
              </w:rPr>
            </w:pPr>
          </w:p>
        </w:tc>
      </w:tr>
      <w:tr>
        <w:trPr>
          <w:trHeight w:val="170"/>
        </w:trPr>
        <w:tc>
          <w:tcPr>
            <w:tcW w:w="2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($63.80 per preferred share)</w:t>
            </w:r>
          </w:p>
        </w:tc>
        <w:tc>
          <w:tcPr>
            <w:tcW w:w="7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94"/>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76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1,195,374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LAMAR ADVERTISING COMPANY</w:t>
      </w:r>
    </w:p>
    <w:p>
      <w:pPr>
        <w:spacing w:after="0" w:line="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 2022, 2021 and 2020</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438,647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388,090</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243,386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251,296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18,772</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(9,026)</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25,235</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10,052</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(22,580)</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781,612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734,417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569,873</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(45,584)</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for investments in equity securities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 and investments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(619,071)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(461,760)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(96,888)</w:t>
            </w:r>
          </w:p>
        </w:tc>
        <w:tc>
          <w:tcPr>
            <w:tcW w:w="0" w:type="dxa"/>
            <w:vAlign w:val="bottom"/>
          </w:tcPr>
          <w:p>
            <w:pPr>
              <w:spacing w:after="0"/>
              <w:rPr>
                <w:sz w:val="1"/>
                <w:szCs w:val="1"/>
                <w:color w:val="auto"/>
              </w:rPr>
            </w:pPr>
          </w:p>
        </w:tc>
      </w:tr>
      <w:tr>
        <w:trPr>
          <w:trHeight w:val="17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11,148</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used for purchase of treasury shares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(9,112)</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 on long-term debt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senior credit facility term loans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598,500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(978,097)</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note offering</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1,549,250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Redemption of senior notes and senior subordinated notes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(668,688)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(1,058,596)</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Dividends/distributions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(508,614)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(252,309)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(209,319)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(294,519)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(377,917)</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95,381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121,569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26,188</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99,788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112,080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130,864</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Cash paid for state and federal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16,325</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8,388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Nature of Business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Company (the Company) is engaged in the outdoor advertising business, operating approximately 160,200 billboard advertising displays in 45 states and Canada. The Company’s operating strategy is to be the leading provider of outdoor advertising services in the markets it serves.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addition, the Company operates a logo sign business in 23 states throughout the United States and the province of Ontario, Canada and operates approximately 47,500 transit advertising displays in 24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18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1, 2022, the Company's direct wholly owned subsidiary Lamar Media Corp.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Lamar Advertising Company, its wholly owned subsidiary, Lamar Media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and its majority-owned subsidiaries. All inter-company transactions and balances have been eliminated in consolidation.</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 operating segment is a component of an enterprise:</w:t>
      </w:r>
    </w:p>
    <w:p>
      <w:pPr>
        <w:spacing w:after="0" w:line="117" w:lineRule="exact"/>
        <w:rPr>
          <w:sz w:val="20"/>
          <w:szCs w:val="20"/>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engages in business activities from which it may earn revenues and incur expenses;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operating results are regularly reviewed by the enterprise’s chief operating decision maker to make decisions about resources to be allocated to the segment and assess its performance;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define the term ‘chief operating decision maker’ to be our executive management group, which consist of our Executive Chairman, President and Chief Executive Officer,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operate in a single operating and reporting segment, advertising. We rent advertising space on billboards, buses, shelters, benches, logo plates and in airport terminals.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Property, Plant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using the straight-line method over the estimated useful lives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Goodwill and Intangible Assets</w:t>
      </w:r>
    </w:p>
    <w:p>
      <w:pPr>
        <w:spacing w:after="0" w:line="22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two reporting units, Billboard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2022 and 2021; therefore, the Company was not required to recognize an impairment loss.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Intangible assets, consisting primarily of site locations, customer lists and contracts, and non-competition agreements are amortized using the straight-line method over the assets' estimated useful lives, generally from 2 to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Impairment of Long-Lived Assets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plant and equipment, lease right of use assets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Acquisitions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proportionally allocates the purchase price to the assets based on relative fair value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Lease Liabilities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Deferred Income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Deferred income consists principally of advertising revenue invoiced in advance. Deferred advertising revenue is recognized in income over the term of the contract.</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tab/>
        <w:t>Revenue Recognition</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8,775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4,044</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Dividends/Distributions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During the years ended December 31, 2022, 2021 and 2020, the Company declared and paid distributions of its REIT taxable income of $508,249 or $5.00 per share, $404,809 or $4.00 per share and $251,944 or $2.50 per share, respectively.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During each of the years ended December 31, 2022, 2021 and 2020, the Company paid dividend distributions to holders of its Series AA Preferred Stock of $365 or $63.80 per share.</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Earnings Per Share</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For the years ended December 31, 2022, 2021 and 2020 there were no dilutive shares excluded from the calculation.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Stock Based Compensation</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Compensation expense for share-based awards is recognized based on the grant date fair value of those awards. Stock based compensation expense includes an estimate for pre-vesting forfeitures and is recognized over the requisite service periods of the awards on a straight-line basis, which generally commensurate with the vesting term. Non-cash compensation expense recognized during the years ended December 31, 2022, 2021, and 2020 were $23,136, $37,368 and $18,772, respectively. The $23,136 expensed during the year ended December 31, 2022 consists of (i) $4,929 related to stock options and the employee stock purchase plan, (ii) $11,545 related to stock grants made under the Company’s performance-based stock incentive program in 2022,</w:t>
      </w:r>
    </w:p>
    <w:p>
      <w:pPr>
        <w:spacing w:after="0" w:line="3" w:lineRule="exact"/>
        <w:rPr>
          <w:sz w:val="20"/>
          <w:szCs w:val="20"/>
          <w:color w:val="auto"/>
        </w:rPr>
      </w:pPr>
    </w:p>
    <w:p>
      <w:pPr>
        <w:jc w:val="both"/>
        <w:ind w:firstLine="8"/>
        <w:spacing w:after="0" w:line="260"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$5,897 related to LTIP Units issued to the Company's executive officers, (iv) $161 related to non-performance restricted stock awards and (v) $604 related to restricted stock awards to directors. See Note 15 for information on the assumptions used to calculate the fair value of stock-based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Cash and Cash Equivalents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considers all highly-liquid investments with original maturities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Credit Losses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Company estimates credit losses on financial instruments based on amounts expected to be collected. The allowance for doubtful accounts is estimated based on historical collections, accounts receivable aging, economic indicators, and expected future trends.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Foreign Currency Translation</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(loss) in the Consolidated Statements of Income and Comprehensive Income and as a component of accumulated comprehensive income in the Consolidated Statements of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Asset Retirement Obligations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Adjustments are made to the asset retirement obligation liability to reflect changes in the estimates of the retirement period and amount of expected cash flows, with an offsetting adjustment made to the related long-lived tangible asset. The significant assumptions used in estimating the Company's asset retirement obligations include the retirement period, cost of asset dismantlement, credit-adjusted risk-free interest rates, inflation and market risk.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Use of Estimates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Comprehensive Income</w:t>
      </w:r>
    </w:p>
    <w:p>
      <w:pPr>
        <w:spacing w:after="0" w:line="121"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Total comprehensive income is presented in the Consolidated Statements of Income and Comprehensive Income and the components of accumulated comprehensive income are presented in the Consolidated Statements of Stockholders’ Equity. Comprehensive income is composed of foreign currency translation effects.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(u)</w:t>
        <w:tab/>
        <w:t>Investments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provider of programmatic technology for the digital out-of-home sector. This investment is accounted for as an equity method investment and is included in other assets on the Consolidated Balance Sheets. For the years ended December 31, 2022 and 2021, related to this investment, the Company recorded $4,284 and $3,384, respectively, in equity in earnings of investee on the Consolidated Statements of Income and Comprehensive Income.</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(v)</w:t>
        <w:tab/>
        <w:t>Subsequent Events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date on which the financial statements are issued.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117"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which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Consolidated Statements of Income and Comprehensive Income. During the years ended December 31, 2022 and 2021, we capitalized $25,078 and $25,642, respectively, of costs to fulfill contracts, which is included in other current assets on the Consolidated Balance Sheets, net of expensed costs of $24,546 and $25,197, respectively.</w:t>
      </w:r>
    </w:p>
    <w:p>
      <w:pPr>
        <w:spacing w:after="0" w:line="181"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are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years ended December 31, 2022, 2021 and 2020.</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1,403,239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1,568,856</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2022</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completed several acquisitions of outdoor advertising assets for a total purchase price of $479,766, net of cash acquired of $6,904. Included within this total purchase price were the acquisitions of Burkhart Advertising Inc. for an aggregate purchase price of $130,000 as well as Fairway Outdoor and Standard Outdoor for an aggregate purchase price of $92,650.</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fair market value estimates at the dates of acquisition.</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our fair value allocation of the assets acquired and liabilities assumed from Fairway Outdoor and Standard Outdoor in the business combination completed December 9, 2022 is considered preliminary and is subject to revision, which may result in adjustments to this allocation. The aggregate purchase price of this business combination was $92,650. We expect to finalize these amounts as soon as possible but not later than the end of 2023. In order to develop our preliminary fair values, the Company utilized asset information received from the acquired company and fair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value allocation benchmarks from similar completed transactions. Our preliminary allocation of these assets includes property, plant and equipment, intangibles and goodwill of $34,066, $28,130 and $30,458, respectively.</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 which includes the preliminary values for a business combination completed on December 9,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246,288</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(12,677)</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(68,867)</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2022 were $391,861, of which $99,003 was assigned to goodwill. Goodwill is not amortized for financial statement purposes and $456 of goodwill related to 2022 acquisitions is expected to be deductible for tax purposes. The acquired intangible assets have a weighted average useful life of approximately 14 years. The intangible assets include customer lists and contracts of $43,339 (7 year weighted average useful life) and site locations of $246,288 (15 year weighted average useful life). The aggregate amortization expense related to the 2022 acquisitions for the year ended December 31, 2022 was $14,605.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finalized our fair value allocation of the assets acquired and liabilities assumed from a business combination completed on December 3, 2021. The changes to our updated fair value allocation of this business combination were considered immaterial and recorded during the year ended December 31, 2022.</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Company gives effect to the 2022 and 2021 acquisitions as if they had occurred on January 1, 2021. These pro forma results do not purport to be indicative of the results of operations which actually would have resulted had the acquisitions occurred on such date or to project the Company’s results of operations for any future period.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2,063,800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1,879,002</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429,726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373,476</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2021</w:t>
      </w:r>
    </w:p>
    <w:p>
      <w:pPr>
        <w:spacing w:after="0" w:line="11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completed several acquisitions of outdoor and transit advertising assets for a total cash purchase price of $312,257, net of cash acquired of $1,419.</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fair market value estimates at the dates of acquisition.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of December 31, 2021, our fair value allocation of the assets acquired and liabilities assumed in a business combination completed December 3, 2021 was considered preliminary and subject to revision, which could result in adjustments to this allocation. The aggregate purchase price of this business combination was $75,000. In order to develop our preliminary fair values, the Company utilized asset information received from the acquired company and fair value allocation benchmarks from similar completed transactions. Our preliminary allocation of these assets includes property, plant and equipment, intangibles and goodwill of $6,022, $53,775 and $9,506, respectively. As discussed above, we finalized this fair value allocation during 2022.</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 which includes the preliminary values for a business combination completed on December 3,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24,089</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206,734</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32,487</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312,257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2021 were $266,288, of which $24,089 was assigned to goodwill. Goodwill is not amortized for financial statement purposes and $14,584 of goodwill related to 2021 acquisitions is expected to be deductible for tax purposes. The acquired intangible assets have a weighted average useful life of approximately 14 years. The intangible assets include customer lists and contracts of $31,101 (7 year weighted average useful life) and site locations of $206,734 (15 year weighted average useful life). The aggregate amortization expense related to the 2021 acquisitions for the year ended December 31, 2021 was approximately $4,335.</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for the Company gives effect to the 2021 and 2020 acquisitions as if they had occurred on January 1, 2020. These pro forma results do not purport to be indicative of the results of operations which actually would have resulted had the acquisitions occurred on such date or to project the Company's results of operations for any future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6"/>
                <w:szCs w:val="16"/>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1,826,448</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1,615,855</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379,874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230,035</w:t>
            </w: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Non-cash Financing and Investing Activities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there were no significant non-cash investing activities. For the year ended December 31, 2020, the Company had non-cash financing activities related to financing lease liabilities of $19,891. There were no significant non-cash financing activities during the years ended December 31,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Major categories of property, plant and equipment at December 31, 2022 and 2021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140" w:type="dxa"/>
            <w:vAlign w:val="bottom"/>
          </w:tcPr>
          <w:p>
            <w:pPr>
              <w:spacing w:after="0"/>
              <w:rPr>
                <w:sz w:val="13"/>
                <w:szCs w:val="13"/>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428,849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10 — 39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structures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5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3,285,636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3,010,769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and other equipment</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3 — 7</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135,800</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3,782,288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2022 and 2021: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4"/>
                <w:szCs w:val="2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 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720,051</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587,056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64,941</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2,864,854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1,680,333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 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3,708,668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2,502,043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3,416,914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2,371,737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2,288,805</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changes in the gross carrying amount of goodwill for the years ended December 31, 2022 and 2021 are as follows: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505" w:hanging="505"/>
        <w:spacing w:after="0"/>
        <w:tabs>
          <w:tab w:leader="none" w:pos="5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2,165,864</w:t>
      </w:r>
    </w:p>
    <w:p>
      <w:pPr>
        <w:spacing w:after="0" w:line="27" w:lineRule="exact"/>
        <w:rPr>
          <w:rFonts w:ascii="Times New Roman" w:cs="Times New Roman" w:eastAsia="Times New Roman" w:hAnsi="Times New Roman"/>
          <w:sz w:val="18"/>
          <w:szCs w:val="18"/>
          <w:color w:val="auto"/>
        </w:rPr>
      </w:pPr>
    </w:p>
    <w:p>
      <w:pPr>
        <w:ind w:left="7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24,089</w:t>
      </w:r>
    </w:p>
    <w:p>
      <w:pPr>
        <w:spacing w:after="0" w:line="22" w:lineRule="exact"/>
        <w:rPr>
          <w:rFonts w:ascii="Times New Roman" w:cs="Times New Roman" w:eastAsia="Times New Roman" w:hAnsi="Times New Roman"/>
          <w:sz w:val="18"/>
          <w:szCs w:val="18"/>
          <w:color w:val="auto"/>
        </w:rPr>
      </w:pPr>
    </w:p>
    <w:p>
      <w:pPr>
        <w:ind w:left="11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 w:lineRule="exact"/>
        <w:rPr>
          <w:sz w:val="20"/>
          <w:szCs w:val="20"/>
          <w:color w:val="auto"/>
        </w:rPr>
      </w:pPr>
    </w:p>
    <w:p>
      <w:pPr>
        <w:ind w:left="505" w:hanging="505"/>
        <w:spacing w:after="0"/>
        <w:tabs>
          <w:tab w:leader="none" w:pos="5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2,189,962</w:t>
      </w:r>
    </w:p>
    <w:p>
      <w:pPr>
        <w:spacing w:after="0" w:line="27" w:lineRule="exact"/>
        <w:rPr>
          <w:rFonts w:ascii="Times New Roman" w:cs="Times New Roman" w:eastAsia="Times New Roman" w:hAnsi="Times New Roman"/>
          <w:sz w:val="18"/>
          <w:szCs w:val="18"/>
          <w:color w:val="auto"/>
        </w:rPr>
      </w:pPr>
    </w:p>
    <w:p>
      <w:pPr>
        <w:ind w:left="7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99,003</w:t>
      </w:r>
    </w:p>
    <w:p>
      <w:pPr>
        <w:spacing w:after="0" w:line="22" w:lineRule="exact"/>
        <w:rPr>
          <w:rFonts w:ascii="Times New Roman" w:cs="Times New Roman" w:eastAsia="Times New Roman" w:hAnsi="Times New Roman"/>
          <w:sz w:val="18"/>
          <w:szCs w:val="18"/>
          <w:color w:val="auto"/>
        </w:rPr>
      </w:pPr>
    </w:p>
    <w:p>
      <w:pPr>
        <w:ind w:left="8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w:t>
      </w:r>
    </w:p>
    <w:p>
      <w:pPr>
        <w:spacing w:after="0" w:line="31" w:lineRule="exact"/>
        <w:rPr>
          <w:sz w:val="20"/>
          <w:szCs w:val="20"/>
          <w:color w:val="auto"/>
        </w:rPr>
      </w:pPr>
    </w:p>
    <w:p>
      <w:pPr>
        <w:ind w:left="505" w:hanging="505"/>
        <w:spacing w:after="0"/>
        <w:tabs>
          <w:tab w:leader="none" w:pos="5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2,288,805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01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15" w:space="720"/>
            <w:col w:w="1305"/>
          </w:cols>
          <w:pgMar w:left="320" w:top="121"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2022, 2021 and 2020 was $134,256, $114,319 and $110,201, respectively. The following is a summary of the estimated amortization expense for future years: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125,563</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117,573</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113,580</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587,941</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1,206,625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had base operating lease costs of $306,825 and variable operating lease costs of $59,651, for a total operating lease cost of $366,476. During the year ended December 31, 2021, we had base operating lease costs of $290,036 and variable operating lease costs of $51,628, for a total operating lease cost of $341,664. During the year ended December 31, 2020, we had base operating lease costs of $298,135 and variable lease costs of $43,572, for a total operating lease cost of $341,707. Our operating lease costs are recorded in direct advertising expenses (exclusive of depreciation and amortization). Also, for the years ended December 31, 2022, 2021 and 2020, we recorded a (gain) loss of ($824), $241 and ($451) respectively, in gain on disposition of assets related to the amendment and termination of lease agreements. Cash payments of $307,581, $296,460 and $286,575 were made reducing our operating lease liabilities for the years ended December 31, 2022, 2021 and 2020, respectively, and are included in cash flows provided by operating activities in the Consolidated Statements of Cash Flows.</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or lease liabilities for agreements with a term of twelve months or less. We recorded $7,478, $6,184 and $4,953 in direct advertising expenses (exclusive of depreciation and amortization) for these agreements during the years ended December 31, 2022, 2021 and 2020,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12.5 years. The weighted-average discount rate of our operating leases is 4.7%. During the years ended December 31, 2022 and 2021, we obtained $79,095 and $49,927, respectively, of leased assets in exchange for new operating lease liabilities, which includes liabilities obtained through acquisitions. Lease terminations during the year resulted in a $5,090 and $5,697 reduction to operating lease liabilities for the years ended December 31, 2022 and 2021,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December 31, 2022:</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2"/>
        </w:trPr>
        <w:tc>
          <w:tcPr>
            <w:tcW w:w="9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190,435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162,408</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137,712</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115,284</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837,686</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1,684,162</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(442,669)</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1,241,493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2022 and 2021, we obtained no new leased assets in exchange for new financing lease liabilities. Our financing leases have a weighted-average remaining lease term of 4.9 years and a weighted-average discount rate of 3.1%. For the years ended December 31, 2022, 2021 and 2020, amortization expense of $2,853, $2,853 and $222 was recorded within depreciation and amortization, respectively, and interest expense of $544, $585 and $47, was recorded within interest expense, respectively, on the Consolidated Statements of Income and Comprehensive Income in relation to these financing lease liabilities. Cash payments of $1,331 were made reducing our financing lease liabilities for the years ended December 31, 2022 and 2021 and are included in cash flows used in financing activities in the Consolidated Statements of Cash Flows. We had no cash payments related to financing lease liabilities for the year ended December 31, 2020.</w:t>
      </w:r>
    </w:p>
    <w:p>
      <w:pPr>
        <w:spacing w:after="0" w:line="18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years ended December 31, 2022, 2021 and 2020, non-lease variable transit payments were $78,877, $47,054 and $25,670, respectively. These transit expenses are recorded in direct advertising expenses (exclusive of depreciation and amortization) on the Consolidated Statements of Income and Comprehensive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22,009</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benefits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30,450</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48"/>
        </w:trPr>
        <w:tc>
          <w:tcPr>
            <w:tcW w:w="84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117,593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135,038</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2022 and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542,978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3,345,420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3,312,805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592,964</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542,289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542,151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394,987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3,050,454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3,013,595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22"/>
                <w:szCs w:val="22"/>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641,425</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594,547</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2,099,464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2,075,613</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senior credit facility. The Fourth Amended and Restated Credit Agreement amended and restated the Third Amended and Restated Credit Agreement dated as of May 15, 2017, as amended (the “Third Amended and Restated Credit Agreement”).</w:t>
      </w:r>
    </w:p>
    <w:p>
      <w:pPr>
        <w:spacing w:after="0" w:line="16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February 6, 2025 (the “revolving credit facility”), (ii) a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year ended December 31, 2020.</w:t>
      </w:r>
    </w:p>
    <w:p>
      <w:pPr>
        <w:spacing w:after="0" w:line="19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0"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00" w:lineRule="exact"/>
        <w:rPr>
          <w:sz w:val="20"/>
          <w:szCs w:val="20"/>
          <w:color w:val="auto"/>
        </w:rPr>
      </w:pPr>
    </w:p>
    <w:p>
      <w:pPr>
        <w:spacing w:after="0" w:line="204"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29, 2022, Lamar Media entered into Amendment No. 2 (the "Amendment No. 2") to the Fourth Amended and Restated Credit Agreement with certain of Lamar Media's subsidiaries as guarantors, JPMorgan Chase Bank, N.A. as administrative agent and the lenders party thereto. Amendment No. 2 establishes a new $350,000 Senior Secured Term Loan A loan (the "Term A loans") as a new class of incremental term loans. The Term A loans will mature on February 6, 2025 with no required amortization payments prior to maturity and bear interest at rates based on the Term Secured Overnight Financing Rate ("Term SOFR") plus 1.25% and a credit spread adjustment of 0.10%. The covenants, events of default and other terms of the senior credit facility apply to the Term A loans. Lamar Media borrowed all $350,000 in Term A loans on July 29, 2022. The entire amount of the Term A loans will be payable at maturity. Proceeds from the Term A loans were used to repay outstanding balances on the revolving credit facility and a portion of the outstanding balance on the Accounts Receivable Securitization Program.</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2022, there were $45,000 in outstanding borrowings under the revolving credit facility. Availability under the revolving credit facility is reduced by the amount of any letters of credit outstanding. Lamar Media had $10,989 in letters of credit outstanding as of December 31, 2022 resulting in $694,011 of availability under the revolving credit facility. Revolving credit loans may be requested under the revolving credit facility at any time prior to its maturity on February 6, 2025.</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54" w:lineRule="exact"/>
        <w:rPr>
          <w:sz w:val="20"/>
          <w:szCs w:val="20"/>
          <w:color w:val="auto"/>
        </w:rPr>
      </w:pPr>
    </w:p>
    <w:p>
      <w:pPr>
        <w:ind w:left="1140" w:hanging="56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ind w:left="1140" w:hanging="565"/>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the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2022, there was $250,000 outstanding aggregate borrowings under the Accounts Receivable Securitization Program. Lamar Media had no additional availability for borrowing under the Accounts Receivable Securitization Program as of December 31, 2022. The commitment fees based on the amount of unused commitments under the Accounts Receivable Securitization Program were immaterial during the year ended December 31, 2022.</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Accounts Receivable Securitization Program will mature on July 21, 2025.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Senior Subordinated Notes</w:t>
      </w:r>
    </w:p>
    <w:p>
      <w:pPr>
        <w:spacing w:after="0" w:line="11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August 31, 2020, Lamar Media redeemed $267,500 in aggregate principal amount of the outstanding 5% Notes at a redemption price of 100.833%, plus accrued and unpaid interest up to but not including the redemption date. On September 16, 2020 Lamar Media redeemed the remaining aggregate principal amount of $267,500 of the outstanding 5% Notes at a redemption price of 100.833%, plus accrued and unpaid interest up to but not including the redemption date. These redemptions were funded using cash on hand, borrowings under the revolving credit facility and the Accounts Receivable Securitization Program and proceeds from the additional 4% Senior Notes issued on August 19, 2020. These redemptions combined resulted in a loss on debt extinguishment of $7,051, of which $4,456 was cash, for the year ended December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3/8% Senior Notes</w:t>
      </w:r>
    </w:p>
    <w:p>
      <w:pPr>
        <w:spacing w:after="0" w:line="11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January 10, 2014, Lamar Media completed an institutional private placement of $510,000 aggregate principal amount of 5 3/8% Senior Notes due 2024 (the “5 3/8% Notes”). The institutional private placement resulted in net proceeds to Lamar Media of approximately $502,300. Lamar Media used the proceeds from the 4% Senior Notes (defined below) and 3 3/4% Senior Notes (defined below) to redeem in full all of the 5 3/8% Notes on February 20, 2020 at a redemption price of 101.792% of the aggregate principal amounts of the outstanding 5 3/8% Notes, plus accrued and unpaid interest up to but not including the redemption date. In conjunction with the redemption, the Company recorded a loss on debt extinguishment of $12,576, of which $9,139 was cash, for the year ended December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5 3/4% Senior Notes</w:t>
      </w:r>
    </w:p>
    <w:p>
      <w:pPr>
        <w:spacing w:after="0" w:line="1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January 28, 2016, Lamar Media completed an institutional private placement of $400,000 aggregate principal amount of 5 3/4% Senior Notes due 2026 (the “Original 5 3/4 % Notes”). The institutional private placement resulted in net proceeds to Lamar Media of approximately $394,500.</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February 1, 2019, Lamar Media completed an institutional private placement of an additional $250,000 aggregate principal amount under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year ended December 31, 2021, the Company recorded a loss on debt extinguishment of approximately $21,604 related to the note redemption, of which $18,700 was in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7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3 3/4% Notes, at any time and from time to time, at a price equal to 103.75% of the aggregate principal amount redeemed, plus accrued and unpaid interest thereon, with the net cash 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6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Lamar Media to repurchase up to $250,000 outstanding senior or senior subordinated notes and other indebtedness outstanding from time to time under its Fourth Amended and Restated Credit Agreement. On September 20, 2021, the Board of Directors authorized the extension of the repurchase program through March 31, 2023. There were no repurchases under the program as of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(10)Asset Retirement Obligation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222,876</w:t>
            </w:r>
          </w:p>
        </w:tc>
      </w:tr>
      <w:tr>
        <w:trPr>
          <w:trHeight w:val="229"/>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41,644</w:t>
            </w:r>
          </w:p>
        </w:tc>
      </w:tr>
      <w:tr>
        <w:trPr>
          <w:trHeight w:val="229"/>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269,367</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30"/>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110,321</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229"/>
        </w:trPr>
        <w:tc>
          <w:tcPr>
            <w:tcW w:w="9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Revision in estimates in December 31, 2022 and 2021 of $110,321 and $41,644, respectively, reflects changes in cost estimates to remove structures and resurface land for structures that reside on leased land in the Company's outdoor advertising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(11)Depreciation and Amortization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Consolidated Statements of Income and Comprehensive Income. The amounts of depreciation and amortization expense excluded from the following operating expenses in its Consolidated Statements of Income and Comprehensive Income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CFF0FC"/>
            </w:tcBorders>
          </w:tcPr>
          <w:p>
            <w:pPr>
              <w:spacing w:after="0"/>
              <w:rPr>
                <w:sz w:val="16"/>
                <w:szCs w:val="16"/>
                <w:color w:val="auto"/>
              </w:rPr>
            </w:pPr>
          </w:p>
        </w:tc>
        <w:tc>
          <w:tcPr>
            <w:tcW w:w="29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2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330,357</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253,850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9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9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the amount of depreciation and amortization expense excluded from direct advertising expense for the years ended December 31, 2022 and 2021 as compared to the year ended December 31, 2020 is due to the revision in the cost estimate included in the calculation of asset retirement obligations during each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(12)Income Taxes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tax expense (benefit) consists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2020</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income taxes payable of $4,104 and $5,915, respectively, which was recorded within accrued expenses on the Consolidated Balance Sheets.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U.S. and foreign components of earnings before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Borders>
              <w:bottom w:val="single" w:sz="8" w:color="CFF0FC"/>
            </w:tcBorders>
          </w:tcPr>
          <w:p>
            <w:pPr>
              <w:spacing w:after="0"/>
              <w:rPr>
                <w:sz w:val="2"/>
                <w:szCs w:val="2"/>
                <w:color w:val="auto"/>
              </w:rPr>
            </w:pPr>
          </w:p>
        </w:tc>
        <w:tc>
          <w:tcPr>
            <w:tcW w:w="39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9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397,346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3960" w:type="dxa"/>
            <w:vAlign w:val="bottom"/>
            <w:tcBorders>
              <w:top w:val="single" w:sz="8" w:color="CFF0FC"/>
              <w:bottom w:val="single" w:sz="8" w:color="CFF0FC"/>
            </w:tcBorders>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0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2022, 2021 and 2020 tax years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Tax adjustment related to REIT</w:t>
            </w:r>
            <w:r>
              <w:rPr>
                <w:rFonts w:ascii="Times New Roman" w:cs="Times New Roman" w:eastAsia="Times New Roman" w:hAnsi="Times New Roman"/>
                <w:sz w:val="26"/>
                <w:szCs w:val="26"/>
                <w:color w:val="auto"/>
                <w:vertAlign w:val="superscript"/>
              </w:rPr>
              <w: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expenses not deductible for tax purposes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Valuation allowance</w:t>
            </w:r>
            <w:r>
              <w:rPr>
                <w:rFonts w:ascii="Times New Roman" w:cs="Times New Roman" w:eastAsia="Times New Roman" w:hAnsi="Times New Roman"/>
                <w:sz w:val="26"/>
                <w:szCs w:val="26"/>
                <w:color w:val="auto"/>
                <w:vertAlign w:val="superscript"/>
              </w:rPr>
              <w:t>(b)</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Rate change</w:t>
            </w:r>
            <w:r>
              <w:rPr>
                <w:rFonts w:ascii="Times New Roman" w:cs="Times New Roman" w:eastAsia="Times New Roman" w:hAnsi="Times New Roman"/>
                <w:sz w:val="26"/>
                <w:szCs w:val="26"/>
                <w:color w:val="auto"/>
                <w:vertAlign w:val="superscript"/>
              </w:rPr>
              <w:t>(c)</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Undistributed earnings of foreign subsidiaries</w:t>
            </w:r>
            <w:r>
              <w:rPr>
                <w:rFonts w:ascii="Times New Roman" w:cs="Times New Roman" w:eastAsia="Times New Roman" w:hAnsi="Times New Roman"/>
                <w:sz w:val="26"/>
                <w:szCs w:val="26"/>
                <w:color w:val="auto"/>
                <w:vertAlign w:val="superscript"/>
              </w:rPr>
              <w:t>(d)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Other differences, net</w:t>
            </w:r>
            <w:r>
              <w:rPr>
                <w:rFonts w:ascii="Times New Roman" w:cs="Times New Roman" w:eastAsia="Times New Roman" w:hAnsi="Times New Roman"/>
                <w:sz w:val="26"/>
                <w:szCs w:val="26"/>
                <w:color w:val="auto"/>
                <w:vertAlign w:val="superscript"/>
              </w:rPr>
              <w:t>(e)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paid deduction of $106,129, $85,087 and $52,985 for the tax years ended December 31, 2022, 2021 and 2020, respectively.</w:t>
      </w:r>
    </w:p>
    <w:p>
      <w:pPr>
        <w:spacing w:after="0" w:line="72"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2022, 2021 and 2020, a non-cash valuation allowance of ($14,984), ($1,564) and ($1,031), respectively, was recorded to income tax expense due to our limited ability to utilize Puerto Rico deferred tax assets in future years.</w:t>
      </w:r>
    </w:p>
    <w:p>
      <w:pPr>
        <w:spacing w:after="0" w:line="2" w:lineRule="exact"/>
        <w:rPr>
          <w:rFonts w:ascii="Times New Roman" w:cs="Times New Roman" w:eastAsia="Times New Roman" w:hAnsi="Times New Roman"/>
          <w:sz w:val="16"/>
          <w:szCs w:val="16"/>
          <w:color w:val="auto"/>
        </w:rPr>
      </w:pPr>
    </w:p>
    <w:p>
      <w:pPr>
        <w:ind w:left="340" w:hanging="332"/>
        <w:spacing w:after="0" w:line="290"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Act 257, the Puerto Rico corporate income tax rate was lowered from 39% to 37.5%. As a result, a non-cash benefit of $182 to income tax expense was recorded for the reduction of the Puerto Rico net deferred tax liability for the year ended December 31, 2020.</w:t>
      </w:r>
    </w:p>
    <w:p>
      <w:pPr>
        <w:ind w:left="340" w:hanging="332"/>
        <w:spacing w:after="0" w:line="290"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does not assert that the undistributed earnings of our Canadian subsidiaries will be permanently reinvested. For the years ended December 31, 2022, 2021 and 2020, we recognized a deferred tax (benefit) expense of ($84), $292 and ($78), respectively, for future foreign withholding taxes related to undistributed earnings.</w:t>
      </w:r>
    </w:p>
    <w:p>
      <w:pPr>
        <w:jc w:val="both"/>
        <w:ind w:left="340" w:hanging="332"/>
        <w:spacing w:after="0" w:line="263"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Section 1031.01(b)(10) of the 2011 Puerto Rico Code, net operating losses and the tax basis of any other assets shall be reduced for forgiveness of debt to the extent by which the taxpayer is insolvent. As a result, a non-cash expense of $15,201 was recorded to income tax expense for the reduction of Puerto Rico deferred tax assets for the year ended December 31, 2022. The Puerto Rico income tax withholding rate applicable on the accrued interest of the debt is 29%. As a result, a cash expense of $5,068 was recorded to income tax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tax effect of temporary differences that give rise to significant portions of the deferred tax assets and liabilities are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 not deducted for tax purposes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Charitable contributions carry forward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20,975</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 not deducted for tax purposes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2022, we have approximately $103,854 of U.S. net operating loss carry forwards to offset future taxable income. Of this amount, $20,950 is subject to Internal Revenue Code §382 limitation but will be available to be fully utilized by no later than 2027. These carry forwards expire between 2030 through 2037. In addition, we have $1,205 of various credits available to offset future U.S. federal income tax.</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of December 31, 2022, we have approximately $1,140,720 of state net operating loss carry forwards before valuation allowances. These state net operating losses are available to reduce future taxable income and expire at various times and amounts. In addition, we have $82 of various credits available to offset future state income tax. The valuation allowance related to state net operating loss carry forwards as of December 31, 2022 and 2021 was $0 and $334, respectively. The net changes in the total state valuation allowance for the years ended December 31, 2022 and 2021 was a (decrease) increase of ($334) and $13, respectively.</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2022, we had approximately $4,413 of Canadian net operating loss carry forwards before valuation allowances. These Canadian net operating losses are available to offset future taxable income. These carry forwards expire between 2040 and 2041.</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2022, we had approximately $8,651 of Puerto Rico net operating loss carry forwards before valuation allowances. These Puerto Rico net operating losses are available to offset future taxable income. These carry forwards expire in 2032. In addition, we have $850 of alternative minimum tax credits available to offset future Puerto Rico income tax.</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the Company will not generate the minimum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2022 and 2021 was $4,435 and $19,099, respectively. The net change in the total valuation allowance for the years ended December 31, 2022 and 2021 was a decrease of $14,664 and $1,577, respectively. The amount of the deferred tax asset considered realizable, however, could be adjusted in the near term if estimates of future taxable income during the carry forward period increase.</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accumulated undistributed earnings generated by our foreign subsidiaries of approximately $16,835. Management does not designate these earnings as permanently reinvested and has recognized a deferred tax liability of approximately $842 related to foreign withholding taxes on these earnings. We have recognized a current year tax benefit of $84 related to 2022 earnings.</w:t>
      </w:r>
    </w:p>
    <w:p>
      <w:pPr>
        <w:spacing w:after="0" w:line="174" w:lineRule="exact"/>
        <w:rPr>
          <w:sz w:val="20"/>
          <w:szCs w:val="20"/>
          <w:color w:val="auto"/>
        </w:rPr>
      </w:pPr>
    </w:p>
    <w:p>
      <w:pPr>
        <w:jc w:val="both"/>
        <w:ind w:right="20" w:firstLine="567"/>
        <w:spacing w:after="0" w:line="284" w:lineRule="auto"/>
        <w:rPr>
          <w:sz w:val="20"/>
          <w:szCs w:val="20"/>
          <w:color w:val="auto"/>
        </w:rPr>
      </w:pPr>
      <w:r>
        <w:rPr>
          <w:rFonts w:ascii="Times New Roman" w:cs="Times New Roman" w:eastAsia="Times New Roman" w:hAnsi="Times New Roman"/>
          <w:sz w:val="18"/>
          <w:szCs w:val="18"/>
          <w:color w:val="auto"/>
        </w:rPr>
        <w:t xml:space="preserve">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benefits at December 31, 2022 is $5,544 of tax benefits that, if recognized in future periods, would impact our effective tax rate. During the years ended December 31, 2022 and 2021, we recognized interest and penalties of $212 and ($42), respectively, as a component of income tax expense in connection with our liabilities related to uncertain tax positions.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Within the next twelve months, we expect to decrease our unrecognized tax benefits by approximately $1,732 as a result of the expiration of statute of limitations.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2018, or for any U.S. state income tax audit prior to 2015. With respect to Canada and Puerto Rico, we are no longer subject to income tax audits for years before 2018 and 2017,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(13)Related Party Transactions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Advertising Company or its subsidiaries through common ownership and directorate control.</w:t>
      </w:r>
    </w:p>
    <w:p>
      <w:pPr>
        <w:spacing w:after="0" w:line="16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RTC Holdings, LLC (“RTC”), a telecommunications company, is 100% owned by entities owned by members of the Reilly family. Entities owned by Sean E. Reilly, President and Chief Executive Officer of the Company; Kevin P. Reilly, Jr., Executive Chairman of the Board of Directors; and members of their respective immediate families hold a majority stake in RTC of approximately 89%. The Reilly Family, LLC, which is owned by Sean E. Reilly, Kevin P. Reilly, Jr., members of our Board of Directors Anna Reilly and Wendell Reilly, and entities owned by each of them and members of their respective immediate families, holds the remaining minority stake in RTC of approximately 11%. On May 31, 2019, RTC acquired EATELCORP, LLC (“EATEL”) and its subsidiaries. EATEL provides phone and internet services to consumers and businesses in Louisiana. EATEL also provides data back-up and recovery services to businesses. During the years ended December 31,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2022 and 2021, the Company was a customer of EATEL for data back-up and recovery services. The aggregate amount paid by the Company to EATEL for such services was $228 and $315 for the years ended December 31, 2022 and 2021, respectively. The Company was also contracted by EATEL to provide advertising services in the aggregate amount of $154 and $139 for the years ended December 31, 2022 and 2021, respectively.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had $158 and $1,066 receivables from employees or executive officers at December 31, 2022 and 2021, respectively.</w:t>
      </w:r>
    </w:p>
    <w:p>
      <w:pPr>
        <w:spacing w:after="0" w:line="22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a leading global developer of programmatic technology for the digital out-of-home sector. For the years ended December 31, 2022 and 2021, the Company recognized revenue of $13,074 and $10,586, respectively, from advertisements generated through Vistar's programmatic technology platform. We also incurred expenses of $1,167 and $880 related to these advertisements for the years ended December 31,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(14)Stockholders’ Equity</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 AA 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2022 was $3,649. The Series AA preferred stock is entitled to one vote per share.</w:t>
      </w:r>
    </w:p>
    <w:p>
      <w:pPr>
        <w:spacing w:after="0" w:line="19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May 1, 2018, the Company entered into an equity distribution agreement (the “Sales Agreement”) with J.P. Morgan Securities LLC, 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Sales Agreement with substantially similar terms. Under the terms of the 2021 Sales Agreement, the Company may, from time to time, issue and sell shares of its Class A common stock, having an aggregate offering price of up to $400,000, through the Sales Agents as either agents or principals.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2022, no shares of our Class A common stock have been sold under the 2021 Sales Agreement and accordingly $400,000 remained available to be sold under the 2021 Sales Agreement as of December 31, 2022.</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August 6, 2018, the Company filed an automatically effective shelf registration statement that registered the offer and sale of an indeterminate amount of additional shares of our Class A common stock, which expired in August 2021. There were no shares issued under this shelf registration during the year ended December 31, 2021. On June 21, 2021, the Company filed a new automatically effective shelf registration statement that allows Lamar Advertising to offer and sell an indeterminate amount of additional shares of its Class A common stock on similar terms as the prior registration statement. As of December 31, 2022, the Company did not issue any shares under this shelf registration.</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the repurchase of up to $250,000 of the Company’s Class A common stock. On September 20, 2021, the Board of Directors authorized the extension of the repurchase program through March 31, 2023. There were no repurchases under the program as of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(15)Stock Compensation Plans</w:t>
      </w:r>
    </w:p>
    <w:p>
      <w:pPr>
        <w:spacing w:after="0" w:line="119"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Lamar’s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program. Options granted under the 1996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is required to classify the awards affected by the amendment as liability-classified awards at fair value each period prior to their settlement. As of December 31, 2022 and 2021, the Company recorded a liability, in accrued expenses, of $12,216 and $30,450, respectively, related to its equity incentive awards affected by this amendment.</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option forfeitures at the time of grant and periodically revise those estimates in subsequent periods if actual forfeitures differ from those estimates. We record stock based compensation expense only for those awards expected to vest using an estimated forfeiture rate based on our historical forfeiture data.</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with the following weighted-average assumptions used: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3620" w:type="dxa"/>
            <w:vAlign w:val="bottom"/>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90"/>
        </w:trPr>
        <w:tc>
          <w:tcPr>
            <w:tcW w:w="3340" w:type="dxa"/>
            <w:vAlign w:val="bottom"/>
            <w:vMerge w:val="continue"/>
          </w:tcPr>
          <w:p>
            <w:pPr>
              <w:spacing w:after="0"/>
              <w:rPr>
                <w:sz w:val="16"/>
                <w:szCs w:val="16"/>
                <w:color w:val="auto"/>
              </w:rPr>
            </w:pPr>
          </w:p>
        </w:tc>
        <w:tc>
          <w:tcPr>
            <w:tcW w:w="3620" w:type="dxa"/>
            <w:vAlign w:val="bottom"/>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3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9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Borders>
              <w:top w:val="single" w:sz="8" w:color="CFF0FC"/>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Borders>
              <w:top w:val="single" w:sz="8" w:color="CFF0FC"/>
            </w:tcBorders>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CFF0FC"/>
              <w:right w:val="single" w:sz="8" w:color="CFF0FC"/>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6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FF0FC"/>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7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Information regarding the 1996 Plan for the year ended December 31, 2022 is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22"/>
                <w:szCs w:val="22"/>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96"/>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3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5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100" w:type="dxa"/>
            <w:vAlign w:val="bottom"/>
          </w:tcPr>
          <w:p>
            <w:pPr>
              <w:jc w:val="center"/>
              <w:ind w:right="216"/>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1"/>
                <w:szCs w:val="11"/>
                <w:color w:val="auto"/>
              </w:rPr>
            </w:pPr>
          </w:p>
        </w:tc>
        <w:tc>
          <w:tcPr>
            <w:tcW w:w="13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3"/>
        </w:trPr>
        <w:tc>
          <w:tcPr>
            <w:tcW w:w="5520" w:type="dxa"/>
            <w:vAlign w:val="bottom"/>
            <w:tcBorders>
              <w:bottom w:val="single" w:sz="8" w:color="CFF0FC"/>
            </w:tcBorders>
          </w:tcPr>
          <w:p>
            <w:pPr>
              <w:spacing w:after="0"/>
              <w:rPr>
                <w:sz w:val="2"/>
                <w:szCs w:val="2"/>
                <w:color w:val="auto"/>
              </w:rPr>
            </w:pPr>
          </w:p>
        </w:tc>
        <w:tc>
          <w:tcPr>
            <w:tcW w:w="162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6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left="472"/>
              <w:spacing w:after="0"/>
              <w:rPr>
                <w:sz w:val="20"/>
                <w:szCs w:val="20"/>
                <w:color w:val="auto"/>
              </w:rPr>
            </w:pPr>
            <w:r>
              <w:rPr>
                <w:rFonts w:ascii="Times New Roman" w:cs="Times New Roman" w:eastAsia="Times New Roman" w:hAnsi="Times New Roman"/>
                <w:sz w:val="18"/>
                <w:szCs w:val="18"/>
                <w:color w:val="auto"/>
                <w:w w:val="99"/>
              </w:rPr>
              <w:t>518,935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65.36</w:t>
            </w: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spacing w:after="0"/>
              <w:rPr>
                <w:sz w:val="19"/>
                <w:szCs w:val="19"/>
                <w:color w:val="auto"/>
              </w:rPr>
            </w:pPr>
          </w:p>
        </w:tc>
        <w:tc>
          <w:tcPr>
            <w:tcW w:w="130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174,000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96.59</w:t>
            </w: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center"/>
              <w:ind w:left="432"/>
              <w:spacing w:after="0"/>
              <w:rPr>
                <w:sz w:val="20"/>
                <w:szCs w:val="20"/>
                <w:color w:val="auto"/>
              </w:rPr>
            </w:pPr>
            <w:r>
              <w:rPr>
                <w:rFonts w:ascii="Times New Roman" w:cs="Times New Roman" w:eastAsia="Times New Roman" w:hAnsi="Times New Roman"/>
                <w:sz w:val="18"/>
                <w:szCs w:val="18"/>
                <w:color w:val="auto"/>
                <w:w w:val="99"/>
              </w:rPr>
              <w:t>(194,035)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44.69</w:t>
            </w:r>
          </w:p>
        </w:tc>
        <w:tc>
          <w:tcPr>
            <w:tcW w:w="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end of year</w:t>
            </w:r>
          </w:p>
        </w:tc>
        <w:tc>
          <w:tcPr>
            <w:tcW w:w="1620" w:type="dxa"/>
            <w:vAlign w:val="bottom"/>
          </w:tcPr>
          <w:p>
            <w:pPr>
              <w:spacing w:after="0"/>
              <w:rPr>
                <w:sz w:val="19"/>
                <w:szCs w:val="19"/>
                <w:color w:val="auto"/>
              </w:rPr>
            </w:pPr>
          </w:p>
        </w:tc>
        <w:tc>
          <w:tcPr>
            <w:tcW w:w="130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498,900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84.29</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FF0FC"/>
            </w:tcBorders>
          </w:tcPr>
          <w:p>
            <w:pPr>
              <w:spacing w:after="0" w:line="20" w:lineRule="exact"/>
              <w:rPr>
                <w:sz w:val="1"/>
                <w:szCs w:val="1"/>
                <w:color w:val="auto"/>
              </w:rPr>
            </w:pPr>
          </w:p>
        </w:tc>
        <w:tc>
          <w:tcPr>
            <w:tcW w:w="1620" w:type="dxa"/>
            <w:vAlign w:val="bottom"/>
            <w:tcBorders>
              <w:bottom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6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center"/>
              <w:ind w:left="472"/>
              <w:spacing w:after="0"/>
              <w:rPr>
                <w:sz w:val="20"/>
                <w:szCs w:val="20"/>
                <w:color w:val="auto"/>
              </w:rPr>
            </w:pPr>
            <w:r>
              <w:rPr>
                <w:rFonts w:ascii="Times New Roman" w:cs="Times New Roman" w:eastAsia="Times New Roman" w:hAnsi="Times New Roman"/>
                <w:sz w:val="18"/>
                <w:szCs w:val="18"/>
                <w:color w:val="auto"/>
                <w:w w:val="99"/>
              </w:rPr>
              <w:t>247,400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75.40</w:t>
            </w:r>
          </w:p>
        </w:tc>
        <w:tc>
          <w:tcPr>
            <w:tcW w:w="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2022 there was $3,172 of unrecognized compensation cost related to stock options granted which is expected to be recognized over a weighted-average period of 1.85 years.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Shares available for future stock option and restricted share grants to employees and directors under existing plans were 1,940,913 at December 31, 2022. The aggregate intrinsic value of options outstanding as of December 31, 2022 was $7,219, and the aggregate intrinsic value of options exercisable was $5,316. Total intrinsic value of options exercised was $10,475 for the year ended December 31, 2022.</w:t>
      </w:r>
    </w:p>
    <w:p>
      <w:pPr>
        <w:spacing w:after="0" w:line="174"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212529"/>
        </w:rPr>
        <w:t>On May 30, 2019, our shareholders approved Lamar Advertising’s 2019 Employee Stock Purchase Plan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ESPP”). The number of shares of Class A common stock available for issuance under the 2019 ESPP was automatically increased by 86,853 shares on January 1, 2022 pursuant to the automatic increase provisions of the 2019 ESPP.</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1320" w:type="dxa"/>
            <w:vAlign w:val="bottom"/>
          </w:tcPr>
          <w:p>
            <w:pPr>
              <w:spacing w:after="0"/>
              <w:rPr>
                <w:sz w:val="18"/>
                <w:szCs w:val="18"/>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320" w:type="dxa"/>
            <w:vAlign w:val="bottom"/>
          </w:tcPr>
          <w:p>
            <w:pPr>
              <w:spacing w:after="0"/>
              <w:rPr>
                <w:sz w:val="18"/>
                <w:szCs w:val="18"/>
                <w:color w:val="auto"/>
              </w:rPr>
            </w:pPr>
          </w:p>
        </w:tc>
      </w:tr>
      <w:tr>
        <w:trPr>
          <w:trHeight w:val="238"/>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1320" w:type="dxa"/>
            <w:vAlign w:val="bottom"/>
          </w:tcPr>
          <w:p>
            <w:pPr>
              <w:spacing w:after="0"/>
              <w:rPr>
                <w:sz w:val="20"/>
                <w:szCs w:val="20"/>
                <w:color w:val="auto"/>
              </w:rPr>
            </w:pPr>
          </w:p>
        </w:tc>
      </w:tr>
      <w:tr>
        <w:trPr>
          <w:trHeight w:val="86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year ended December 31, 2022:</w:t>
            </w:r>
          </w:p>
        </w:tc>
        <w:tc>
          <w:tcPr>
            <w:tcW w:w="1320" w:type="dxa"/>
            <w:vAlign w:val="bottom"/>
          </w:tcPr>
          <w:p>
            <w:pPr>
              <w:spacing w:after="0"/>
              <w:rPr>
                <w:sz w:val="24"/>
                <w:szCs w:val="24"/>
                <w:color w:val="auto"/>
              </w:rPr>
            </w:pPr>
          </w:p>
        </w:tc>
      </w:tr>
      <w:tr>
        <w:trPr>
          <w:trHeight w:val="328"/>
        </w:trPr>
        <w:tc>
          <w:tcPr>
            <w:tcW w:w="9920" w:type="dxa"/>
            <w:vAlign w:val="bottom"/>
          </w:tcPr>
          <w:p>
            <w:pPr>
              <w:spacing w:after="0"/>
              <w:rPr>
                <w:sz w:val="24"/>
                <w:szCs w:val="24"/>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9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342,226</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86,853</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(127,108)</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December 31,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301,971</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compensation. </w:t>
      </w:r>
      <w:r>
        <w:rPr>
          <w:rFonts w:ascii="Times New Roman" w:cs="Times New Roman" w:eastAsia="Times New Roman" w:hAnsi="Times New Roman"/>
          <w:sz w:val="18"/>
          <w:szCs w:val="18"/>
          <w:color w:val="auto"/>
        </w:rPr>
        <w:t>Unrestricted shares of our Class A common stock may be awarded to key officers, employees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1996 Plan based on certain Company performance measures for fiscal year 2022. The number of shares to be issued, if any, are dependent on the level of achievement of these performance measures as determined by the Company’s Compensation Committee based on our 2022 results and are issued in the first half of 2023. The shares subject to these awards generally can range from a minimum of 0% to a maximum of either 100% of the target number of shares or 150% of a target dollar amount depending on the level at which the goals are attained. Based on the Company’s performance measures achieved through December 31, 2022, the Company recorded $11,545 as stock-based compensation expense related to these agreements.</w:t>
      </w:r>
    </w:p>
    <w:p>
      <w:pPr>
        <w:spacing w:after="0" w:line="18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LTIP Units. </w:t>
      </w:r>
      <w:r>
        <w:rPr>
          <w:rFonts w:ascii="Times New Roman" w:cs="Times New Roman" w:eastAsia="Times New Roman" w:hAnsi="Times New Roman"/>
          <w:sz w:val="18"/>
          <w:szCs w:val="18"/>
          <w:color w:val="auto"/>
        </w:rPr>
        <w:t>In addition to performance-based compensation, the Company may issue LTIP Units of the OP, a subsidiary of the Company,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employees and directors under the 1996 Plan. Such LTIP Units are subject to vesting and forfeiture conditions based on performance criteria approved by the Compensation Committee, which mirrors the performance criteria applicable to the Company's performance-based compensation, as described above.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 of twelve months, or may be paid out in cash at the option of the general partner of the OP. On July 1, 2022, the OP issued a total of 88,000 LTIP Units to the Company's executive officers. For the year ended December 31, 2022, the Company recorded $5,897 as stock-based compensation expense related to these LTIP Units.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(16)Benefit Plans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2022, the Company maintained $7,461 in letters of credit with a bank to meet requirements of the Company’s worker’s compensation and general liability insurance carrier.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and Profit Sharing Plan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$6,780, $5,811 and $5,714 for the years ended December 31, 2022, 2021 and 2020,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equal to the fair market value of the assets in the employee’s deferred compensation account. For the years ended December 31, 2022, 2021 and 2020, the Company contributed $1,637, $1,540 and $1,616, respectively.</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(17)Commitment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off balance sheet commitments consist of guaranteed minimum payments to local transit municipalities and airport authorities for agreements which entitle us to rent advertising space to customers, in airports and on buses, benches or shelters. Also included are other contractual agreements that occur in the ordinary course of business which do not meet the criteria of a lease under ASC 842. The following is a summary of the minimum payments related to these agreements.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43,419</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38,543</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24,180</w:t>
            </w:r>
          </w:p>
        </w:tc>
      </w:tr>
      <w:tr>
        <w:trPr>
          <w:trHeight w:val="229"/>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16,442</w:t>
            </w:r>
          </w:p>
        </w:tc>
      </w:tr>
      <w:tr>
        <w:trPr>
          <w:trHeight w:val="234"/>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(18)Distribution Restrictions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the senior credit facility. As of December 31, 2022 and 2021, Lamar Media was permitted under the terms of its outstanding senior subordinated and senior notes to make transfers to Lamar Advertising in the form of cash dividends, loans or advances in amounts up to $4,187,593 and $3,921,979, respectively.</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December 31, 2022, the senior credit facility allows Lamar Media to make transfers to Lamar Advertising in any taxable year up to the amount of Lamar Advertising’s taxable income (without any deduction for dividends paid). In addition, as of December 31, 2022, transfers to Lamar Advertising are permitted under the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December 31, 2022, the total debt ratio was less than 7.0 to 1 and Lamar Media’s secured debt ratio was less than 4.5 to 1, and the available cumulative credit was $2,938,073.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(19)Fair Value of Financial Instruments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At December 31, 2022 and 2021,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reported at fair values. Fair values for investments held at cost are not readily available, but are estimated to approximate fair value. The estimated fair value of the Company’s long-term debt (including current maturities) was $3,054,174, which is less than both the gross and carrying amount of $3,345,420 as of December 31, 2022. The majority of the fair value is determined using observed prices of publicly traded debt (level 1 in the fair value hierarchy) and the remaining is valued based on quoted prices for similar debt (level 2 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(20)Information about Geographic Areas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$29,465, $24,354 and $22,819 for the years ended December 31, 2022, 2021 and 2020, respectively. Net carrying value of long-lived assets located in foreign countries totaled $11,763 and $11,318 as of December 31, 2022 and 2021, respectively. All other revenues from external customers and long-lived assets relate to domestic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New Accounting Pronouncements</w:t>
      </w:r>
    </w:p>
    <w:p>
      <w:pPr>
        <w:spacing w:after="0" w:line="11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which provides optional expedients and exceptions to account for contracts, hedging relationships and other transactions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 the London Interbank Offered Rate (“LIBOR”) or another reference rate if certain criteria are met. In January 2021, the FASB clarified the scope of this guidance with the issuance of ASU 2021-01, </w:t>
      </w:r>
      <w:r>
        <w:rPr>
          <w:rFonts w:ascii="Times New Roman" w:cs="Times New Roman" w:eastAsia="Times New Roman" w:hAnsi="Times New Roman"/>
          <w:sz w:val="18"/>
          <w:szCs w:val="18"/>
          <w:i w:val="1"/>
          <w:iCs w:val="1"/>
          <w:color w:val="auto"/>
        </w:rPr>
        <w:t>Reference Rate Reform: Scope</w:t>
      </w:r>
      <w:r>
        <w:rPr>
          <w:rFonts w:ascii="Times New Roman" w:cs="Times New Roman" w:eastAsia="Times New Roman" w:hAnsi="Times New Roman"/>
          <w:sz w:val="18"/>
          <w:szCs w:val="18"/>
          <w:color w:val="auto"/>
        </w:rPr>
        <w:t>. ASU 2020-04 may be applied prospectively to contract modifications made and hedging relationships entered into or evaluated on or before December 31, 2022. As of December 31, 2022, the Company has modified the Accounts Receivable Securitization Program to provide for the replacement of LIBOR-based interest rates with Term SOFR based interest rates. The Term A loans established July 29, 2022 also bear interest using Term SOFR rates. This modification is not expected to have a material impact on the Company's consolidated financial statements.</w:t>
      </w:r>
    </w:p>
    <w:p>
      <w:pPr>
        <w:spacing w:after="0" w:line="185"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provides guidance on the recognition and measurement of contract assets and contract liabilities acquired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 At the acquisition date, the acquirer should account for the related revenue contracts as if the acquirer had originated the contracts. The guidance also provides certain practical expedients for acquirers when recognizing and measuring acquired contract assets and contract liabilities from revenue contracts in a business combination. This guidance is effective for public entities as of December 15, 2022. We do not anticipate the adoption of this guidance will have a material impact on the Company's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23, 2023, the Company’s Board of Directors authorized the renewal to repurchase up to $250 million of the Company’s Class A common stock through September 30, 2024. The Board of Directors also authorized the renewal of Lamar Media’s ability to repurchase up to $250 million outstanding senior notes and other indebtedness outstanding through September 30,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7"/>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3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right"/>
              <w:ind w:right="376"/>
              <w:spacing w:after="0" w:line="137"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22,902</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48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363,044 Displays</w:t>
            </w:r>
          </w:p>
        </w:tc>
        <w:tc>
          <w:tcPr>
            <w:tcW w:w="100" w:type="dxa"/>
            <w:vAlign w:val="bottom"/>
          </w:tcPr>
          <w:p>
            <w:pPr>
              <w:spacing w:after="0"/>
              <w:rPr>
                <w:sz w:val="19"/>
                <w:szCs w:val="19"/>
                <w:color w:val="auto"/>
              </w:rPr>
            </w:pPr>
          </w:p>
        </w:tc>
        <w:tc>
          <w:tcPr>
            <w:tcW w:w="12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3,745,006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5 to 20 years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2022</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17"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3,439,618</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3,293,778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3,333,590</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21,598</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improvements/redevelopments of 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12,631</w:t>
            </w: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Land acquisitions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(100,906)</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3,439,618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3,293,778</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2,287,590</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2,192,700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2,166,579</w:t>
            </w:r>
          </w:p>
        </w:tc>
      </w:tr>
      <w:tr>
        <w:trPr>
          <w:trHeight w:val="22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111,049</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(85,267)</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2,192,700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$2,367, $1,541 and $621 at December 31, 2022, 2021 and 2020,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$103,019 and $48,848 at December 31, 2022 and 2021, respectively, related to the revision in cost estimate included in the calculation of asset retirement obligations</w:t>
      </w: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preliminary allocation of assets acquired during 2022 and 2021</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$11,132 and $3,843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5"/>
        </w:trPr>
        <w:tc>
          <w:tcPr>
            <w:tcW w:w="8400" w:type="dxa"/>
            <w:vAlign w:val="bottom"/>
            <w:tcBorders>
              <w:top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auto"/>
              </w:rPr>
              <w:t>Rouge, LA, Audit Firm ID: 185)</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52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5"/>
        </w:trPr>
        <w:tc>
          <w:tcPr>
            <w:tcW w:w="816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auto"/>
              </w:rPr>
              <w:t>LA, Audit Firm ID: 185)</w:t>
            </w:r>
          </w:p>
        </w:tc>
        <w:tc>
          <w:tcPr>
            <w:tcW w:w="56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6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860" w:type="dxa"/>
            <w:vAlign w:val="bottom"/>
            <w:gridSpan w:val="8"/>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8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2022, 2021 and 2020</w:t>
            </w:r>
          </w:p>
        </w:tc>
        <w:tc>
          <w:tcPr>
            <w:tcW w:w="1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6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660" w:type="dxa"/>
            <w:vAlign w:val="bottom"/>
            <w:tcBorders>
              <w:top w:val="single" w:sz="8" w:color="0000FF"/>
            </w:tcBorders>
          </w:tcPr>
          <w:p>
            <w:pPr>
              <w:spacing w:after="0"/>
              <w:rPr>
                <w:sz w:val="18"/>
                <w:szCs w:val="18"/>
                <w:color w:val="auto"/>
              </w:rPr>
            </w:pPr>
          </w:p>
        </w:tc>
        <w:tc>
          <w:tcPr>
            <w:tcW w:w="294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6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2022, 2021 and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2022, 2021 and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Media Corp.’s management assessed the effectiveness of Lamar Media Corp.’s internal control over financial reporting as of December 31, 2022.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Media Corp.’s management has concluded that, as of December 31, 2022, Lamar Media Corp.’s internal control over financial reporting is effective based on those criteria. The effectiveness of Lamar Media Corp.’s internal control over financial reporting as of December 31, 2022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have audited Lamar Media Corp. and subsidiaries' (the Company)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income and comprehensive income, stockholder’s equity, and cash flows for each of the years in the three-year period ended December 31, 2022, and the related notes and financial statement schedules II to III (collectively, the consolidated financial statements), and our report dated February 24, 2023 expressed an unqualified opinion on those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Media Corp. and subsidiaries (the Company) as of December 31, 2022 and 2021, the related consolidated statements of income and comprehensive income, stockholder’s equity, and cash flows for each of the years in the three-year period ended December 31, 2022, and the related notes and financial statement schedules II to III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2023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Assessment of the accounting lease term for the portfolio of billboard land leases</w:t>
      </w:r>
    </w:p>
    <w:p>
      <w:pPr>
        <w:spacing w:after="0" w:line="241" w:lineRule="exact"/>
        <w:rPr>
          <w:sz w:val="20"/>
          <w:szCs w:val="20"/>
          <w:color w:val="auto"/>
        </w:rPr>
      </w:pPr>
    </w:p>
    <w:p>
      <w:pPr>
        <w:jc w:val="both"/>
        <w:ind w:left="660"/>
        <w:spacing w:after="0" w:line="235"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which refers to Note 7 to the consolidated financial statements of Lamar Advertising Company, a lessee determines the lease term at the commencement date by identifying the non-cancellable period of the lease and then adding any periods for which it is reasonably certain to exercise a renewal option (or not to exercise a termination option). The Company has approximately 72,500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201" w:lineRule="exact"/>
        <w:rPr>
          <w:sz w:val="20"/>
          <w:szCs w:val="20"/>
          <w:color w:val="auto"/>
        </w:rPr>
      </w:pPr>
    </w:p>
    <w:p>
      <w:pPr>
        <w:jc w:val="both"/>
        <w:ind w:left="660" w:right="20"/>
        <w:spacing w:after="0" w:line="239"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billboard land lease process, including controls over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0" w:type="dxa"/>
            <w:vAlign w:val="bottom"/>
          </w:tcPr>
          <w:p>
            <w:pPr>
              <w:spacing w:after="0"/>
              <w:rPr>
                <w:sz w:val="1"/>
                <w:szCs w:val="1"/>
                <w:color w:val="auto"/>
              </w:rPr>
            </w:pPr>
          </w:p>
        </w:tc>
      </w:tr>
      <w:tr>
        <w:trPr>
          <w:trHeight w:val="229"/>
        </w:trPr>
        <w:tc>
          <w:tcPr>
            <w:tcW w:w="8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Receivables, net of allowance for doubtful accounts of $11,418 and $11,195 as of 2022 and 2021,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269,917</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364,052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4,109,146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3,782,288</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(2,609,447)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(2,445,014)</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1,499,699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1,337,274</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1,224,672</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right of 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1,926,274</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(note 3)</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1,206,158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1,044,709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6,458,472</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16,429</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Current maturities of long-term debt, net of deferred financing costs of $593 and $585 in 2022 and 2021,</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respectively (note 5)</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financing lease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(note 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127,318</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137,103</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655,245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 of $32,022 and $36,274 in 2022 and 2021, respectively (note 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390,442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5,270,971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4,822,685</w:t>
            </w:r>
          </w:p>
        </w:tc>
        <w:tc>
          <w:tcPr>
            <w:tcW w:w="0" w:type="dxa"/>
            <w:vAlign w:val="bottom"/>
          </w:tcPr>
          <w:p>
            <w:pPr>
              <w:spacing w:after="0"/>
              <w:rPr>
                <w:sz w:val="1"/>
                <w:szCs w:val="1"/>
                <w:color w:val="auto"/>
              </w:rPr>
            </w:pP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authorized 3,000 shares; 100 shares issued and outstanding at 2022 and 2021</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3,071,905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comprehensive (loss) income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6,458,472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1,568,856</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557,661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287,874</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251,296</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1,158,262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410,594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248,533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20" w:type="dxa"/>
            <w:vAlign w:val="bottom"/>
            <w:gridSpan w:val="2"/>
            <w:vMerge w:val="continue"/>
          </w:tcPr>
          <w:p>
            <w:pPr>
              <w:spacing w:after="0"/>
              <w:rPr>
                <w:sz w:val="12"/>
                <w:szCs w:val="12"/>
                <w:color w:val="auto"/>
              </w:rPr>
            </w:pPr>
          </w:p>
        </w:tc>
        <w:tc>
          <w:tcPr>
            <w:tcW w:w="13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2,992,729</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(1,823,883)</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1,169,531</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(262,437)</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(262,437)</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3,034,357</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(1,842,447)</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1,192,844</w:t>
            </w: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3,071,905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3"/>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6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439,149</w:t>
            </w:r>
          </w:p>
        </w:tc>
        <w:tc>
          <w:tcPr>
            <w:tcW w:w="100" w:type="dxa"/>
            <w:vAlign w:val="bottom"/>
          </w:tcPr>
          <w:p>
            <w:pPr>
              <w:spacing w:after="0"/>
              <w:rPr>
                <w:sz w:val="14"/>
                <w:szCs w:val="14"/>
                <w:color w:val="auto"/>
              </w:rPr>
            </w:pP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388,908</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243,873</w:t>
            </w:r>
          </w:p>
        </w:tc>
      </w:tr>
      <w:tr>
        <w:trPr>
          <w:trHeight w:val="181"/>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349,449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271,294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251,296</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37,368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18,772</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(9,026)</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25,235</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12,729</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7,629</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10,052</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24,549</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(47,110)</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(53,911)</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739,866</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715,546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539,029</w:t>
            </w:r>
          </w:p>
        </w:tc>
      </w:tr>
      <w:tr>
        <w:trPr>
          <w:trHeight w:val="16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(167,078)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(126,090)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(62,272)</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(479,766)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(312,257)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(45,584)</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for investments in equity securities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Proceeds from disposition of assets and investments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15,649</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10,968</w:t>
            </w:r>
          </w:p>
        </w:tc>
      </w:tr>
      <w:tr>
        <w:trPr>
          <w:trHeight w:val="175"/>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Cash flows used in investing activities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(619,071)</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(461,760)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(96,888)</w:t>
            </w:r>
          </w:p>
        </w:tc>
      </w:tr>
      <w:tr>
        <w:trPr>
          <w:trHeight w:val="150"/>
        </w:trPr>
        <w:tc>
          <w:tcPr>
            <w:tcW w:w="7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725,000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(575,000)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(9,112)</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Borrowings on long term debt</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received from senior credit facility term loans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598,500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(190,000)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(127,500)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received from note offering</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1,549,250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Redemption of senior notes and senior subordinated notes</w:t>
            </w:r>
          </w:p>
        </w:tc>
        <w:tc>
          <w:tcPr>
            <w:tcW w:w="7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(668,688)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(1,058,596)</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on senior credit facility term loans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(978,097)</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 to parent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(518,753)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(410,875)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(262,437)</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Contributions from parent</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60,273</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37,548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41,628</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used in financing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(167,573)</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(275,648)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(347,073)</w:t>
            </w:r>
          </w:p>
        </w:tc>
      </w:tr>
      <w:tr>
        <w:trPr>
          <w:trHeight w:val="17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r>
      <w:tr>
        <w:trPr>
          <w:trHeight w:val="163"/>
        </w:trPr>
        <w:tc>
          <w:tcPr>
            <w:tcW w:w="70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95,381</w:t>
            </w:r>
          </w:p>
        </w:tc>
      </w:tr>
      <w:tr>
        <w:trPr>
          <w:trHeight w:val="18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99,288</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121,069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25,688</w:t>
            </w:r>
          </w:p>
        </w:tc>
      </w:tr>
      <w:tr>
        <w:trPr>
          <w:trHeight w:val="163"/>
        </w:trPr>
        <w:tc>
          <w:tcPr>
            <w:tcW w:w="7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and cash equivalents at end of period</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52,119</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99,288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121,069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8"/>
        </w:trPr>
        <w:tc>
          <w:tcPr>
            <w:tcW w:w="70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112,080</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130,864</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70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paid for state and federal income taxes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16,325</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Nature of Business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Corp. (“Lamar Media”) is a wholly owned subsidiary of Lamar Advertising Company. Lamar Media is engaged in the outdoor advertising business operating approximately 160,200 outdoor advertising displays in 45 states and Canada. Lamar Media’s operating strategy is to be the leading provider of outdoor advertising services in the markets it serves.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1, 2022,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consolidated financial statements.</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footnotes are not provided for the accompanying financial statements as the information in notes 2, 3, 5, 7, 10, 11, 12, 13, 14, 15, 16, 17, 18, 19, 20, 21 and 22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Media, its subsidiary, Lamar Advertising Limited Partnership, and Lamar Advertising Limited Partnerships' wholly owned subsidiaries, The Lamar Company, L.L.C., Lamar Central Outdoor, LLC, Lamar TRS Holdings, LLC, Lamar Advertising Southwest, Inc., Interstate Logos, L.L.C., Lamar Obie Company, LLC, Lamar Canadian Outdoor Company, Lamar Advertising of Puerto Rico, Inc., Lamar QRS Receivables, LLC, Fairway Media Group, LCC, Ashby Street Outdoor Holdings, LLC and their majority-owned subsidiaries. All inter-company transactions and balances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Non-cash Financing Activities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Company had non-cash financing activities related to financing lease liabilities of $19,891. There were no significant non-cash financing activities during the years ended December 31, 2022 and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Other Intangible Assets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6"/>
        </w:trPr>
        <w:tc>
          <w:tcPr>
            <w:tcW w:w="4200" w:type="dxa"/>
            <w:vAlign w:val="bottom"/>
          </w:tcPr>
          <w:p>
            <w:pPr>
              <w:spacing w:after="0"/>
              <w:rPr>
                <w:sz w:val="13"/>
                <w:szCs w:val="13"/>
                <w:color w:val="auto"/>
              </w:rPr>
            </w:pPr>
          </w:p>
        </w:tc>
        <w:tc>
          <w:tcPr>
            <w:tcW w:w="1560" w:type="dxa"/>
            <w:vAlign w:val="bottom"/>
            <w:gridSpan w:val="3"/>
          </w:tcPr>
          <w:p>
            <w:pPr>
              <w:jc w:val="right"/>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Estimated Life</w:t>
            </w: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4200" w:type="dxa"/>
            <w:vAlign w:val="bottom"/>
          </w:tcPr>
          <w:p>
            <w:pPr>
              <w:spacing w:after="0"/>
              <w:rPr>
                <w:sz w:val="17"/>
                <w:szCs w:val="17"/>
                <w:color w:val="auto"/>
              </w:rPr>
            </w:pPr>
          </w:p>
        </w:tc>
        <w:tc>
          <w:tcPr>
            <w:tcW w:w="156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6"/>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587,056</w:t>
            </w: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64,942</w:t>
            </w: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1,680,333</w:t>
            </w: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40,314</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39,329</w:t>
            </w:r>
          </w:p>
        </w:tc>
      </w:tr>
      <w:tr>
        <w:trPr>
          <w:trHeight w:val="223"/>
        </w:trPr>
        <w:tc>
          <w:tcPr>
            <w:tcW w:w="4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2,501,965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3,416,369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2,371,660</w:t>
            </w: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2,178,941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252,667</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changes in the gross carrying amount of goodwill for the years ended December 31, 2022 and 2021 are as follows: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 acquired during the year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505" w:hanging="505"/>
        <w:spacing w:after="0"/>
        <w:tabs>
          <w:tab w:leader="none" w:pos="5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2,154,844</w:t>
      </w:r>
    </w:p>
    <w:p>
      <w:pPr>
        <w:spacing w:after="0" w:line="27" w:lineRule="exact"/>
        <w:rPr>
          <w:rFonts w:ascii="Times New Roman" w:cs="Times New Roman" w:eastAsia="Times New Roman" w:hAnsi="Times New Roman"/>
          <w:sz w:val="18"/>
          <w:szCs w:val="18"/>
          <w:color w:val="auto"/>
        </w:rPr>
      </w:pPr>
    </w:p>
    <w:p>
      <w:pPr>
        <w:ind w:left="7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24,089</w:t>
      </w:r>
    </w:p>
    <w:p>
      <w:pPr>
        <w:spacing w:after="0" w:line="22" w:lineRule="exact"/>
        <w:rPr>
          <w:rFonts w:ascii="Times New Roman" w:cs="Times New Roman" w:eastAsia="Times New Roman" w:hAnsi="Times New Roman"/>
          <w:sz w:val="18"/>
          <w:szCs w:val="18"/>
          <w:color w:val="auto"/>
        </w:rPr>
      </w:pPr>
    </w:p>
    <w:p>
      <w:pPr>
        <w:ind w:left="114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2,178,941</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99,003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(160)</w:t>
      </w:r>
    </w:p>
    <w:p>
      <w:pPr>
        <w:spacing w:after="0" w:line="31" w:lineRule="exact"/>
        <w:rPr>
          <w:sz w:val="20"/>
          <w:szCs w:val="20"/>
          <w:color w:val="auto"/>
        </w:rPr>
      </w:pPr>
    </w:p>
    <w:p>
      <w:pPr>
        <w:ind w:left="505" w:hanging="505"/>
        <w:spacing w:after="0"/>
        <w:tabs>
          <w:tab w:leader="none" w:pos="5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2,277,784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8401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15" w:space="720"/>
            <w:col w:w="1305"/>
          </w:cols>
          <w:pgMar w:left="320" w:top="117" w:right="3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2022 and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380" w:type="dxa"/>
            <w:vAlign w:val="bottom"/>
            <w:tcBorders>
              <w:bottom w:val="single" w:sz="8" w:color="CFF0FC"/>
            </w:tcBorders>
          </w:tcPr>
          <w:p>
            <w:pPr>
              <w:spacing w:after="0"/>
              <w:rPr>
                <w:sz w:val="2"/>
                <w:szCs w:val="2"/>
                <w:color w:val="auto"/>
              </w:rPr>
            </w:pPr>
          </w:p>
        </w:tc>
        <w:tc>
          <w:tcPr>
            <w:tcW w:w="41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4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4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30,450</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16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3,345,420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3,095,042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4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3,050,454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36,274</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96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 financing</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Debt, net of deferred</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6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645,420</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599,316</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2,099,464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4960" w:type="dxa"/>
            <w:vAlign w:val="bottom"/>
          </w:tcPr>
          <w:p>
            <w:pPr>
              <w:spacing w:after="0"/>
              <w:rPr>
                <w:sz w:val="24"/>
                <w:szCs w:val="24"/>
                <w:color w:val="auto"/>
              </w:rPr>
            </w:pPr>
          </w:p>
        </w:tc>
        <w:tc>
          <w:tcPr>
            <w:tcW w:w="20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Media Corp. or its subsidiaries through common ownership and directorate control.</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there was a payable to Lamar Advertising Company, its parent, in the amount of $1,871 and $3,018, respectively.</w:t>
      </w:r>
    </w:p>
    <w:p>
      <w:pPr>
        <w:spacing w:after="0" w:line="162"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Effective December 31, 2022 and 2021, Lamar Advertising Company contributed $60,273 and $37,548, respectively, to Lamar Media which resulted in an increase in Lamar Media’s additional paid-in capital.</w:t>
      </w:r>
    </w:p>
    <w:p>
      <w:pPr>
        <w:spacing w:after="0" w:line="266"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Summarized Financial Information of Subsidiaries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39,829</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287,556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1,252,414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4,514,221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325,052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250,056</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(4,997,514)</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4,554,050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6,311,812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421,569</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272,239</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3,061,385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281,804</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418,163</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301,957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(546,796)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FF0FC"/>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3,366,549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1,866,752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584,466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(546,796)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4,445,060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(4,450,718)</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4,554,050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6,311,812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590,124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94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 as of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and goodwill,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437,141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196,095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977,463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3,071,209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1,708,814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4,279,555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95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Direct advertising expenses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101,998</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1,453,637</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126,217</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572,596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456,601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561,626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1,787,401</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Direct advertising expenses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576,507</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93,074</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271,294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1,231,886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1,265,396</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522,005</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105,621</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523,648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388,908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514,092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2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Statement of Income</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1,568,856</w:t>
            </w: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Direct advertising expenses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557,661</w:t>
            </w:r>
          </w:p>
        </w:tc>
        <w:tc>
          <w:tcPr>
            <w:tcW w:w="0" w:type="dxa"/>
            <w:vAlign w:val="bottom"/>
          </w:tcPr>
          <w:p>
            <w:pPr>
              <w:spacing w:after="0"/>
              <w:rPr>
                <w:sz w:val="1"/>
                <w:szCs w:val="1"/>
                <w:color w:val="auto"/>
              </w:rPr>
            </w:pPr>
          </w:p>
        </w:tc>
      </w:tr>
      <w:tr>
        <w:trPr>
          <w:trHeight w:val="229"/>
        </w:trPr>
        <w:tc>
          <w:tcPr>
            <w:tcW w:w="42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287,874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70,457</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251,296</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1,124,837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1,158,262</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410,594</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136,826</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3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248,533</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Statement of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Caption is exclusive of depreciation and amortization.</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Year Ended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875,208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(398,240)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(638,865)</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398,240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senior credit facility term loans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 securitization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(239,827)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(238,552)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303,763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Year Ended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849,072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investments in equity securities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(increase) in intercompany notes receivable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in notes receivable</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(455,398)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financing leases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note offering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senior notes and senior subordinated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 securitization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(391,912)</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418,060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 for the Year Ended December 31,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668,673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539,029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(62,272)</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 and investments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in intercompany notes receivable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revolving credit facility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received from senior credit facility term loans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598,500</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senior credit facility term loans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(978,097)</w:t>
            </w: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Proceeds received from accounts receivable securitization</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on accounts receivable securitization program</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received from note offering</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1,549,250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senior notes and senior subordinated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(1,058,596)</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Intercompany loan (payments) proceeds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(to) parent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(to) from parent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(262,437)</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(292,702)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(583,254)</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513,533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(347,073)</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in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0" w:type="dxa"/>
            <w:vAlign w:val="bottom"/>
          </w:tcPr>
          <w:p>
            <w:pPr>
              <w:spacing w:after="0"/>
              <w:rPr>
                <w:sz w:val="1"/>
                <w:szCs w:val="1"/>
                <w:color w:val="auto"/>
              </w:rPr>
            </w:pPr>
          </w:p>
        </w:tc>
      </w:tr>
      <w:tr>
        <w:trPr>
          <w:trHeight w:val="223"/>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3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5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13,185</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22,902</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4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 Date</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363,044 Displays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3,745,006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5 to 20 years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2022</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17"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3,439,618</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3,293,778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3,333,590</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21,598</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improvements/redevelopments of 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12,631</w:t>
            </w: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Land acquisitions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(100,906)</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3,439,618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3,293,778</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2,287,590</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2,192,700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2,166,579</w:t>
            </w:r>
          </w:p>
        </w:tc>
      </w:tr>
      <w:tr>
        <w:trPr>
          <w:trHeight w:val="229"/>
        </w:trPr>
        <w:tc>
          <w:tcPr>
            <w:tcW w:w="7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111,049</w:t>
            </w: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(85,267)</w:t>
            </w:r>
          </w:p>
        </w:tc>
      </w:tr>
      <w:tr>
        <w:trPr>
          <w:trHeight w:val="230"/>
        </w:trPr>
        <w:tc>
          <w:tcPr>
            <w:tcW w:w="7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2,192,700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$2,367, $1,541 and $621 at December 31, 2022, 2021 and 2020,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$103,019 and $48,848 at December 31, 2022 and 2021, respectively, related to the revision in cost estimate included in the calculation of asset retirement obligations</w:t>
      </w: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preliminary allocation of assets acquired during 2022 and 2021</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$11,132 and $3,843 and at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00"/>
        <w:spacing w:after="0" w:line="440"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 Lamar Advertising Company</w:t>
      </w:r>
    </w:p>
    <w:p>
      <w:pPr>
        <w:spacing w:after="0" w:line="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2022,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set forth on page 45 of this combined Annual Report and is incorporated herein by reference.</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Media’s Management Report on Internal Control Over Financial Reporting is set forth on page 83 of this combined Annual Report and is incorporated herein by reference.</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57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center"/>
        <w:ind w:right="8559"/>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1779"/>
        <w:spacing w:after="0" w:line="440"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 Lamar Advertising Company</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2023 Annual Meeting of Stockholders to be filed with the SEC within 120 days after the end of the fiscal year ended December 31, 2022.</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2023 Annual Meeting of Stockholders to be filed with the SEC within 120 days after the end of the fiscal year ended December 31, 2022.</w:t>
      </w:r>
    </w:p>
    <w:p>
      <w:pPr>
        <w:spacing w:after="0" w:line="266"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2023 Annual Meeting of Stockholders to be filed with the SEC within 120 days after the end of the fiscal year ended December 31, 2022.</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2023 Annual Meeting of Stockholders to be filed with the SEC within 120 days after the end of the fiscal year ended December 31, 2022.</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2023 Annual Meeting of Stockholders to be filed with the SEC within 120 days after the end of the fiscal year ended December 31,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7" w:lineRule="exact"/>
        <w:rPr>
          <w:sz w:val="20"/>
          <w:szCs w:val="20"/>
          <w:color w:val="auto"/>
        </w:rPr>
      </w:pPr>
    </w:p>
    <w:p>
      <w:pPr>
        <w:ind w:left="860" w:hanging="285"/>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statements are listed under Part II, Item 8 of this Annual Report.</w:t>
      </w:r>
    </w:p>
    <w:p>
      <w:pPr>
        <w:spacing w:after="0" w:line="223" w:lineRule="exact"/>
        <w:rPr>
          <w:sz w:val="20"/>
          <w:szCs w:val="20"/>
          <w:color w:val="auto"/>
        </w:rPr>
      </w:pPr>
    </w:p>
    <w:p>
      <w:pPr>
        <w:ind w:left="760" w:hanging="185"/>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 schedules are included under Part II, Item 8 of this Annual Report.</w:t>
      </w:r>
    </w:p>
    <w:p>
      <w:pPr>
        <w:spacing w:after="0" w:line="223" w:lineRule="exact"/>
        <w:rPr>
          <w:sz w:val="20"/>
          <w:szCs w:val="20"/>
          <w:color w:val="auto"/>
        </w:rPr>
      </w:pPr>
    </w:p>
    <w:p>
      <w:pPr>
        <w:ind w:left="760" w:hanging="185"/>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report are listed on the Exhibit Index immediately preceding the signature page hereto, which Exhibit Index is incorporated herein by reference.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Exhibits required by Item 601 of Regulation S-K are listed on the Exhibit Index immediately preceding the signature page hereto.</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57"/>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318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and Plan of Merger by and between Lamar Advertising</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Company (the “Company”) and Lamar Advertising REIT</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dated August 27, 2014.</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Company, as filed with the Secretary of the State of Delaware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effective as of November 18, 2014.</w:t>
            </w: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 of Merger, effective as of November 18, 2014.</w:t>
            </w:r>
          </w:p>
        </w:tc>
      </w:tr>
      <w:tr>
        <w:trPr>
          <w:trHeight w:val="59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3(c)</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the Company, adopted as of</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November 18,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3(d)</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Certificate of Incorporation of Lamar</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Media.</w:t>
            </w:r>
          </w:p>
        </w:tc>
      </w:tr>
      <w:tr>
        <w:trPr>
          <w:trHeight w:val="6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3(e)</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Lamar Media.</w:t>
            </w:r>
          </w:p>
        </w:tc>
      </w:tr>
      <w:tr>
        <w:trPr>
          <w:trHeight w:val="76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Specimen certificate for the shares of Class A common stock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Specimen certificate for the shares of Class B common stock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 of Securities Registered Under Section 12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 Act.</w:t>
            </w:r>
          </w:p>
        </w:tc>
      </w:tr>
      <w:tr>
        <w:trPr>
          <w:trHeight w:val="58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as of October 30, 2012, among Lamar Media, the</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184"/>
        </w:trPr>
        <w:tc>
          <w:tcPr>
            <w:tcW w:w="900" w:type="dxa"/>
            <w:vAlign w:val="bottom"/>
          </w:tcPr>
          <w:p>
            <w:pPr>
              <w:spacing w:after="0"/>
              <w:rPr>
                <w:sz w:val="16"/>
                <w:szCs w:val="16"/>
                <w:color w:val="auto"/>
              </w:rPr>
            </w:pPr>
          </w:p>
        </w:tc>
        <w:tc>
          <w:tcPr>
            <w:tcW w:w="526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Subordinated Notes due 2023.</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 Senior Subordinated Notes due 2023.</w:t>
            </w:r>
          </w:p>
        </w:tc>
      </w:tr>
      <w:tr>
        <w:trPr>
          <w:trHeight w:val="8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 Senior Subordinated Exchange Notes due 2023.</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Previously filed as Exhibit 2.1 to the Company’s Current Report 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Form 8-K (File No. 0-30242) filed on September 2, 2014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Previously filed as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Previously filed as Exhibit 3.2 to the Company’s Current Report on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Previously filed as Exhibit 3.3 to the Company’s Current Report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20"/>
        <w:spacing w:after="0" w:line="21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Previously filed as Exhibit 3.2 to Lamar Media’s Quarterly Report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on Form 10-Q for the period ended March 31, 2007 (File No. 0-</w:t>
        </w:r>
      </w:hyperlink>
      <w:hyperlink r:id="rId149">
        <w:r>
          <w:rPr>
            <w:rFonts w:ascii="Times New Roman" w:cs="Times New Roman" w:eastAsia="Times New Roman" w:hAnsi="Times New Roman"/>
            <w:sz w:val="18"/>
            <w:szCs w:val="18"/>
            <w:u w:val="single" w:color="auto"/>
            <w:color w:val="0000FF"/>
          </w:rPr>
          <w:t>30242) filed on May 10, 2007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8"/>
          <w:szCs w:val="18"/>
          <w:u w:val="single" w:color="auto"/>
          <w:color w:val="0000FF"/>
        </w:rPr>
      </w:pPr>
    </w:p>
    <w:p>
      <w:pPr>
        <w:ind w:right="120"/>
        <w:spacing w:after="0" w:line="227" w:lineRule="auto"/>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Previously filed as Exhibit 3.1 to Lamar Media’s Quarterly Report</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on Form 10-Q for the period ended September 30, 1999 (File No.</w:t>
        </w:r>
      </w:hyperlink>
    </w:p>
    <w:p>
      <w:pPr>
        <w:spacing w:after="0" w:line="1" w:lineRule="exact"/>
        <w:rPr>
          <w:sz w:val="20"/>
          <w:szCs w:val="20"/>
          <w:color w:val="auto"/>
        </w:rPr>
      </w:pPr>
    </w:p>
    <w:p>
      <w:pPr>
        <w:ind w:right="180"/>
        <w:spacing w:after="0" w:line="233"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1-12407) filed on November 12, 1999 and incorporated herein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w:t>
        </w:r>
      </w:hyperlink>
    </w:p>
    <w:p>
      <w:pPr>
        <w:spacing w:after="0" w:line="5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Previously filed as Exhibit 4.2 to the Company’s Current Report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Previously filed as Exhibit 4.3 to the Company’s Current Report on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280"/>
        <w:spacing w:after="0" w:line="229"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Previously filed as Exhibit 4(a)(3) to the Company’s Annual</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Reporting on Form 10-K for the year ended December 31, 2019</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(File No. 1-36756) filed on February 20, 2020 and incorporated</w:t>
        </w:r>
      </w:hyperlink>
    </w:p>
    <w:p>
      <w:pPr>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herein 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Form 8-K (File No. 0-30242) filed on October 31, 2012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1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with the Indenture dated October 30, 2012, filed as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No. 0-30242) filed on October 31, 2012, and incorporated herein</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8"/>
          <w:szCs w:val="18"/>
          <w:u w:val="single" w:color="auto"/>
          <w:color w:val="0000FF"/>
        </w:rPr>
      </w:pPr>
    </w:p>
    <w:p>
      <w:pPr>
        <w:ind w:right="40"/>
        <w:spacing w:after="0" w:line="21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with the Indenture dated October 30, 2012, filed as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No. 0-30242) filed on October 31, 2012, and incorporated herein</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8"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4(b)(4)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May 31, 2013,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 2014,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July 28, 2015,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500"/>
        <w:spacing w:after="0" w:line="226" w:lineRule="auto"/>
        <w:rPr>
          <w:sz w:val="20"/>
          <w:szCs w:val="20"/>
          <w:color w:val="auto"/>
        </w:rPr>
      </w:pPr>
      <w:r>
        <w:rPr>
          <w:rFonts w:ascii="Times New Roman" w:cs="Times New Roman" w:eastAsia="Times New Roman" w:hAnsi="Times New Roman"/>
          <w:sz w:val="18"/>
          <w:szCs w:val="18"/>
          <w:color w:val="auto"/>
        </w:rPr>
        <w:t>as of January 22, 2019, relating to Lamar Media’s 5% Senior Subordinated Notes due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Previously filed as Exhibit 4(h)(4) to the Company’s Annual</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Previously filed as Exhibit 4(h)(5) to the Company’s Annual</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Previously filed as Exhibit 4(h)(6) to the Company’s Annual</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80"/>
        <w:spacing w:after="0" w:line="21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Previously filed as Exhibit 4.4 to the Company’s Quarterly Report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on Form 10-Q for the period ended June 30, 2013 (File No. 0-</w:t>
        </w:r>
      </w:hyperlink>
      <w:hyperlink r:id="rId161">
        <w:r>
          <w:rPr>
            <w:rFonts w:ascii="Times New Roman" w:cs="Times New Roman" w:eastAsia="Times New Roman" w:hAnsi="Times New Roman"/>
            <w:sz w:val="18"/>
            <w:szCs w:val="18"/>
            <w:u w:val="single" w:color="auto"/>
            <w:color w:val="0000FF"/>
          </w:rPr>
          <w:t>30242) filed on August 8, 2013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ind w:right="40"/>
        <w:spacing w:after="0" w:line="239"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Previously filed as Exhibit 4.5 to the Company’s Quarterly Report</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on Form 10-Q for the period ended March 31, 2014 (File No. 0-</w:t>
        </w:r>
      </w:hyperlink>
      <w:hyperlink r:id="rId162">
        <w:r>
          <w:rPr>
            <w:rFonts w:ascii="Times New Roman" w:cs="Times New Roman" w:eastAsia="Times New Roman" w:hAnsi="Times New Roman"/>
            <w:sz w:val="17"/>
            <w:szCs w:val="17"/>
            <w:u w:val="single" w:color="auto"/>
            <w:color w:val="0000FF"/>
          </w:rPr>
          <w:t>30242) filed on May 7, 2014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on Form 10-Q for the period ended September 30, 2015 (File No.</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1-36756) filed on November 5, 2015 and incorporated herein by</w:t>
        </w:r>
      </w:hyperlink>
    </w:p>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Previously filed as Exhibit 4(c)(10) to the Company’s Annual</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Previously filed as Exhibit 4(c)(11) to the Company’s Annual</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on Form 10-Q for the period ended March 31, 2019 (File No. 1-</w:t>
        </w:r>
      </w:hyperlink>
      <w:hyperlink r:id="rId166">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4(b)(13)</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August 15, 2019,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10, 2014,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 Senior Notes due 2024.</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3/8% Senior Notes due 2024.</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3/8% Senior Exchange Notes due 2024.</w:t>
            </w:r>
          </w:p>
        </w:tc>
        <w:tc>
          <w:tcPr>
            <w:tcW w:w="0" w:type="dxa"/>
            <w:vAlign w:val="bottom"/>
          </w:tcPr>
          <w:p>
            <w:pPr>
              <w:spacing w:after="0"/>
              <w:rPr>
                <w:sz w:val="1"/>
                <w:szCs w:val="1"/>
                <w:color w:val="auto"/>
              </w:rPr>
            </w:pPr>
          </w:p>
        </w:tc>
      </w:tr>
      <w:tr>
        <w:trPr>
          <w:trHeight w:val="77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July 28, 2015,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220"/>
        <w:spacing w:after="0" w:line="226" w:lineRule="auto"/>
        <w:rPr>
          <w:sz w:val="20"/>
          <w:szCs w:val="20"/>
          <w:color w:val="auto"/>
        </w:rPr>
      </w:pPr>
      <w:r>
        <w:rPr>
          <w:rFonts w:ascii="Times New Roman" w:cs="Times New Roman" w:eastAsia="Times New Roman" w:hAnsi="Times New Roman"/>
          <w:sz w:val="18"/>
          <w:szCs w:val="18"/>
          <w:color w:val="auto"/>
        </w:rPr>
        <w:t>as of January 22, 2019, relating to Lamar Media’s 5 3/8% Senior Notes due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on Form 10-Q for the period ended March 31, 2019 (File No. 1-</w:t>
        </w:r>
      </w:hyperlink>
      <w:hyperlink r:id="rId169">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Form 8-K (File No. 0-30242) filed on January 15, 2014 and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Previously filed with the Indenture dated January 10, 2014, filed as</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No. 0-30242) filed on January 15, 2014 and incorporated herein by</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Previously filed with the Indenture dated January 10, 2014, filed as</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No. 0-30242) filed on January 15, 2014 and incorporated herein by</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80"/>
        <w:spacing w:after="0" w:line="227" w:lineRule="auto"/>
        <w:rPr>
          <w:rFonts w:ascii="Times New Roman" w:cs="Times New Roman" w:eastAsia="Times New Roman" w:hAnsi="Times New Roman"/>
          <w:sz w:val="17"/>
          <w:szCs w:val="17"/>
          <w:u w:val="single" w:color="auto"/>
          <w:color w:val="0000FF"/>
        </w:rPr>
      </w:pPr>
      <w:hyperlink r:id="rId172">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on Form 10-Q for the period ended September 30, 2015 (File No.</w:t>
        </w:r>
      </w:hyperlink>
    </w:p>
    <w:p>
      <w:pPr>
        <w:spacing w:after="0" w:line="1" w:lineRule="exact"/>
        <w:rPr>
          <w:sz w:val="20"/>
          <w:szCs w:val="20"/>
          <w:color w:val="auto"/>
        </w:rPr>
      </w:pPr>
    </w:p>
    <w:p>
      <w:pPr>
        <w:ind w:right="220"/>
        <w:spacing w:after="0" w:line="233"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1-36756) filed on November 5, 2015 and incorporated herein by</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reference.</w:t>
        </w:r>
      </w:hyperlink>
    </w:p>
    <w:p>
      <w:pPr>
        <w:spacing w:after="0" w:line="240"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7"/>
            <w:szCs w:val="17"/>
            <w:u w:val="single" w:color="auto"/>
            <w:color w:val="0000FF"/>
          </w:rPr>
          <w:t>Previously filed as Exhibit 4(d)(5) to the Company’s Annual</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Previously filed as Exhibit 4(d)(6) to the Company’s Annual</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Previously filed as Exhibit 4.4 to the Company’s Quarterly Report</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on Form 10-Q for the period ended March 31, 2019 (File No. 1-</w:t>
        </w:r>
      </w:hyperlink>
      <w:hyperlink r:id="rId175">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Previously filed as Exhibit 4.5 to the Company’s Quarterly Report</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on Form 10-Q for the period ended March 31, 2019 (File No. 1-</w:t>
        </w:r>
      </w:hyperlink>
      <w:hyperlink r:id="rId176">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4(c)(9)</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August 15, 2019,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28, 2016,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 Senior Notes due 2026.</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3/4% Senior Notes due 2026.</w:t>
            </w:r>
          </w:p>
        </w:tc>
        <w:tc>
          <w:tcPr>
            <w:tcW w:w="0" w:type="dxa"/>
            <w:vAlign w:val="bottom"/>
          </w:tcPr>
          <w:p>
            <w:pPr>
              <w:spacing w:after="0"/>
              <w:rPr>
                <w:sz w:val="1"/>
                <w:szCs w:val="1"/>
                <w:color w:val="auto"/>
              </w:rPr>
            </w:pPr>
          </w:p>
        </w:tc>
      </w:tr>
      <w:tr>
        <w:trPr>
          <w:trHeight w:val="82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3/4% Senior Exchange Notes due 2026.</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dated as of February 1, 2019, between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the Guarantors named therein and The Bank of New</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Mellon Trust Company, N.A., as Trustee, relating to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Media’s 5 3/4% Senior Notes due 2026.</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260"/>
        <w:spacing w:after="0" w:line="226" w:lineRule="auto"/>
        <w:rPr>
          <w:sz w:val="20"/>
          <w:szCs w:val="20"/>
          <w:color w:val="auto"/>
        </w:rPr>
      </w:pPr>
      <w:r>
        <w:rPr>
          <w:rFonts w:ascii="Times New Roman" w:cs="Times New Roman" w:eastAsia="Times New Roman" w:hAnsi="Times New Roman"/>
          <w:sz w:val="18"/>
          <w:szCs w:val="18"/>
          <w:color w:val="auto"/>
        </w:rPr>
        <w:t>as of August 15, 2019, relating to Lamar Media’s 5 3/4% Senior Notes due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Form 8-K (File No. 1-36756) filed on February 1, 2016 and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Previously filed with the Indenture dated January 28, 2016, filed as</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No. 1-36756) filed on February 1, 2016 and incorporated herein by</w:t>
        </w:r>
      </w:hyperlink>
    </w:p>
    <w:p>
      <w:pPr>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Previously filed with the Indenture dated January 28, 2016, filed as</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No. 1-36756) filed on February 1, 2016 and incorporated herein by</w:t>
        </w:r>
      </w:hyperlink>
    </w:p>
    <w:p>
      <w:pPr>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1">
        <w:r>
          <w:rPr>
            <w:rFonts w:ascii="Times New Roman" w:cs="Times New Roman" w:eastAsia="Times New Roman" w:hAnsi="Times New Roman"/>
            <w:sz w:val="17"/>
            <w:szCs w:val="17"/>
            <w:u w:val="single" w:color="auto"/>
            <w:color w:val="0000FF"/>
          </w:rPr>
          <w:t>Previously filed as Exhibit 4(e)(4) to the Company’s Annual</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Previously filed as Exhibit 4(e)(5) to the Company’s Annual</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Previously filed as Exhibit 4.6 to the Company’s Quarterly Report</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on Form 10-Q for the period ended March 31, 2019 (File No. 1-</w:t>
        </w:r>
      </w:hyperlink>
      <w:hyperlink r:id="rId183">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Previously filed as Exhibit 4.7 to the Company’s Quarterly Report</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on Form 10-Q for the period ended March 31, 2019 (File No. 1-</w:t>
        </w:r>
      </w:hyperlink>
      <w:hyperlink r:id="rId184">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Report on Form 8-K (File No. 1-36756) filed on February 6, 2019</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200" w:space="140"/>
            <w:col w:w="4840"/>
          </w:cols>
          <w:pgMar w:left="320" w:top="121" w:right="3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4(e)(1)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3</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 Senior Notes due 2028.</w:t>
            </w:r>
          </w:p>
        </w:tc>
        <w:tc>
          <w:tcPr>
            <w:tcW w:w="0" w:type="dxa"/>
            <w:vAlign w:val="bottom"/>
          </w:tcPr>
          <w:p>
            <w:pPr>
              <w:spacing w:after="0"/>
              <w:rPr>
                <w:sz w:val="1"/>
                <w:szCs w:val="1"/>
                <w:color w:val="auto"/>
              </w:rPr>
            </w:pPr>
          </w:p>
        </w:tc>
      </w:tr>
      <w:tr>
        <w:trPr>
          <w:trHeight w:val="28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Notes due 2028.</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Exchange Notes due 2028.</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3.750% Senior Notes due 2028.</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3.750% Senior Notes due 2028.</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4%</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Notes due 2030.</w:t>
            </w:r>
          </w:p>
        </w:tc>
        <w:tc>
          <w:tcPr>
            <w:tcW w:w="0" w:type="dxa"/>
            <w:vAlign w:val="bottom"/>
          </w:tcPr>
          <w:p>
            <w:pPr>
              <w:spacing w:after="0"/>
              <w:rPr>
                <w:sz w:val="1"/>
                <w:szCs w:val="1"/>
                <w:color w:val="auto"/>
              </w:rPr>
            </w:pPr>
          </w:p>
        </w:tc>
      </w:tr>
      <w:tr>
        <w:trPr>
          <w:trHeight w:val="82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Exchange Notes due 2030.</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4.000% Senior Notes due 2030.</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4.000% Senior Notes due 2030.</w:t>
            </w:r>
          </w:p>
        </w:tc>
        <w:tc>
          <w:tcPr>
            <w:tcW w:w="0" w:type="dxa"/>
            <w:vAlign w:val="bottom"/>
          </w:tcPr>
          <w:p>
            <w:pPr>
              <w:spacing w:after="0"/>
              <w:rPr>
                <w:sz w:val="1"/>
                <w:szCs w:val="1"/>
                <w:color w:val="auto"/>
              </w:rPr>
            </w:pPr>
          </w:p>
        </w:tc>
      </w:tr>
      <w:tr>
        <w:trPr>
          <w:trHeight w:val="24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May 13, 2020, between Lamar Media, the</w:t>
            </w:r>
          </w:p>
        </w:tc>
        <w:tc>
          <w:tcPr>
            <w:tcW w:w="0" w:type="dxa"/>
            <w:vAlign w:val="bottom"/>
          </w:tcPr>
          <w:p>
            <w:pPr>
              <w:spacing w:after="0"/>
              <w:rPr>
                <w:sz w:val="1"/>
                <w:szCs w:val="1"/>
                <w:color w:val="auto"/>
              </w:rPr>
            </w:pPr>
          </w:p>
        </w:tc>
      </w:tr>
    </w:tbl>
    <w:p>
      <w:pPr>
        <w:ind w:left="1320" w:right="420"/>
        <w:spacing w:after="0" w:line="223" w:lineRule="auto"/>
        <w:rPr>
          <w:sz w:val="20"/>
          <w:szCs w:val="20"/>
          <w:color w:val="auto"/>
        </w:rPr>
      </w:pPr>
      <w:r>
        <w:rPr>
          <w:rFonts w:ascii="Times New Roman" w:cs="Times New Roman" w:eastAsia="Times New Roman" w:hAnsi="Times New Roman"/>
          <w:sz w:val="17"/>
          <w:szCs w:val="17"/>
          <w:color w:val="auto"/>
        </w:rPr>
        <w:t>Guarantors named therein and The Bank of New York Mellon Trust Company, N.A., as Trustee, relating to Lamar Media’s 4</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7/8% Senior Notes due 2029.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Previously filed as Exhibit 4.2 to Lamar Advertising’s Current</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Exhibit 4.2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Exhibit 4.2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Report on Form 8-K (File No. 1-36756) filed on May 19, 2020 and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4(g)(2)</w:t>
            </w:r>
          </w:p>
        </w:tc>
        <w:tc>
          <w:tcPr>
            <w:tcW w:w="100" w:type="dxa"/>
            <w:vAlign w:val="bottom"/>
          </w:tcPr>
          <w:p>
            <w:pPr>
              <w:spacing w:after="0"/>
              <w:rPr>
                <w:sz w:val="20"/>
                <w:szCs w:val="20"/>
                <w:color w:val="auto"/>
              </w:rPr>
            </w:pPr>
          </w:p>
        </w:tc>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 of 4 7/8% Senior Notes due 2029.</w:t>
            </w:r>
          </w:p>
        </w:tc>
        <w:tc>
          <w:tcPr>
            <w:tcW w:w="0" w:type="dxa"/>
            <w:vAlign w:val="bottom"/>
          </w:tcPr>
          <w:p>
            <w:pPr>
              <w:spacing w:after="0"/>
              <w:rPr>
                <w:sz w:val="1"/>
                <w:szCs w:val="1"/>
                <w:color w:val="auto"/>
              </w:rPr>
            </w:pPr>
          </w:p>
        </w:tc>
      </w:tr>
      <w:tr>
        <w:trPr>
          <w:trHeight w:val="81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7/8% Senior Exchange Notes due 2029.</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May 13,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May 13,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0" w:type="dxa"/>
            <w:vAlign w:val="bottom"/>
          </w:tcPr>
          <w:p>
            <w:pPr>
              <w:spacing w:after="0"/>
              <w:rPr>
                <w:sz w:val="1"/>
                <w:szCs w:val="1"/>
                <w:color w:val="auto"/>
              </w:rPr>
            </w:pPr>
          </w:p>
        </w:tc>
      </w:tr>
      <w:tr>
        <w:trPr>
          <w:trHeight w:val="427"/>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4(h)(1)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22, 2021, between Lamar Media, the</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bl>
    <w:p>
      <w:pPr>
        <w:ind w:left="1320" w:right="560"/>
        <w:spacing w:after="0" w:line="233" w:lineRule="auto"/>
        <w:rPr>
          <w:sz w:val="20"/>
          <w:szCs w:val="20"/>
          <w:color w:val="auto"/>
        </w:rPr>
      </w:pPr>
      <w:r>
        <w:rPr>
          <w:rFonts w:ascii="Times New Roman" w:cs="Times New Roman" w:eastAsia="Times New Roman" w:hAnsi="Times New Roman"/>
          <w:sz w:val="18"/>
          <w:szCs w:val="18"/>
          <w:color w:val="auto"/>
        </w:rPr>
        <w:t>Trust Company, N.A., as Trustee, relating to Lamar Media’s 3.625% Senior Notes due 2031.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220"/>
        <w:spacing w:after="0" w:line="229" w:lineRule="auto"/>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Previously filed with the Indenture dated May 13, 2020, filed as</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No. 1-36756) filed on May 19, 2020 and incorporated herein by</w:t>
        </w:r>
      </w:hyperlink>
    </w:p>
    <w:p>
      <w:pPr>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220"/>
        <w:spacing w:after="0" w:line="229" w:lineRule="auto"/>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Previously filed with the Indenture dated May 13, 2020, filed as</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5">
        <w:r>
          <w:rPr>
            <w:rFonts w:ascii="Times New Roman" w:cs="Times New Roman" w:eastAsia="Times New Roman" w:hAnsi="Times New Roman"/>
            <w:sz w:val="17"/>
            <w:szCs w:val="17"/>
            <w:u w:val="single" w:color="auto"/>
            <w:color w:val="0000FF"/>
          </w:rPr>
          <w:t>No. 1-36756) filed on May 19, 2020 and incorporated herein by</w:t>
        </w:r>
      </w:hyperlink>
    </w:p>
    <w:p>
      <w:pPr>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Previously filed as Exhibit 4.4 to Lamar Advertising’s Quarterly</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Previously filed as Exhibit 4.4 to Lamar Advertising’s Quarterly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14" w:lineRule="exact"/>
        <w:rPr>
          <w:rFonts w:ascii="Times New Roman" w:cs="Times New Roman" w:eastAsia="Times New Roman" w:hAnsi="Times New Roman"/>
          <w:sz w:val="18"/>
          <w:szCs w:val="18"/>
          <w:u w:val="single" w:color="auto"/>
          <w:color w:val="0000FF"/>
        </w:rPr>
      </w:pPr>
    </w:p>
    <w:p>
      <w:pPr>
        <w:ind w:right="80"/>
        <w:spacing w:after="0" w:line="250"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Report on Form 8-K (File No. 1-36756) filed on January 28, 2021</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and incorporated herein by reference.</w:t>
        </w:r>
      </w:hyperlink>
    </w:p>
    <w:p>
      <w:pPr>
        <w:spacing w:after="0" w:line="27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20"/>
          </w:cols>
          <w:pgMar w:left="320" w:top="121" w:right="41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4(h)(2)</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3.625% Senior Notes due 2031.</w:t>
            </w:r>
          </w:p>
        </w:tc>
      </w:tr>
      <w:tr>
        <w:trPr>
          <w:trHeight w:val="9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4(h)(3)</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3.625% Senior Exchange Notes due 2031.</w:t>
            </w:r>
          </w:p>
        </w:tc>
      </w:tr>
      <w:tr>
        <w:trPr>
          <w:trHeight w:val="86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4(h)(4)</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w w:val="99"/>
              </w:rPr>
              <w:t>2022, among Lamar Media, the Guarantors named therein and U.S.</w:t>
            </w:r>
          </w:p>
        </w:tc>
      </w:tr>
      <w:tr>
        <w:trPr>
          <w:trHeight w:val="184"/>
        </w:trPr>
        <w:tc>
          <w:tcPr>
            <w:tcW w:w="1000" w:type="dxa"/>
            <w:vAlign w:val="bottom"/>
          </w:tcPr>
          <w:p>
            <w:pPr>
              <w:spacing w:after="0"/>
              <w:rPr>
                <w:sz w:val="16"/>
                <w:szCs w:val="16"/>
                <w:color w:val="auto"/>
              </w:rPr>
            </w:pPr>
          </w:p>
        </w:tc>
        <w:tc>
          <w:tcPr>
            <w:tcW w:w="51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January 22,</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2021, relating to Lamar Media’s 3.625%% Senior Notes due 2031.</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4(h)(5)</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184"/>
        </w:trPr>
        <w:tc>
          <w:tcPr>
            <w:tcW w:w="1000" w:type="dxa"/>
            <w:vAlign w:val="bottom"/>
          </w:tcPr>
          <w:p>
            <w:pPr>
              <w:spacing w:after="0"/>
              <w:rPr>
                <w:sz w:val="16"/>
                <w:szCs w:val="16"/>
                <w:color w:val="auto"/>
              </w:rPr>
            </w:pPr>
          </w:p>
        </w:tc>
        <w:tc>
          <w:tcPr>
            <w:tcW w:w="51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January 22, 2021,</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relating to Lamar Media’s 3.625%% Senior Notes due 2031.</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as</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w w:val="99"/>
              </w:rPr>
              <w:t>of June 14, 2021, by and among Lamar Media, as issuer, U.S. Bank</w:t>
            </w:r>
          </w:p>
        </w:tc>
      </w:tr>
      <w:tr>
        <w:trPr>
          <w:trHeight w:val="184"/>
        </w:trPr>
        <w:tc>
          <w:tcPr>
            <w:tcW w:w="1000" w:type="dxa"/>
            <w:vAlign w:val="bottom"/>
          </w:tcPr>
          <w:p>
            <w:pPr>
              <w:spacing w:after="0"/>
              <w:rPr>
                <w:sz w:val="16"/>
                <w:szCs w:val="16"/>
                <w:color w:val="auto"/>
              </w:rPr>
            </w:pPr>
          </w:p>
        </w:tc>
        <w:tc>
          <w:tcPr>
            <w:tcW w:w="51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National Association, as successor trustee, and The Bank of New</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York Mellon Trust Company, N.A., as resigning trustee.</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10(a)(1)*</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Lamar Advertising Company 1996 Equity Incentive Plan, as</w:t>
            </w:r>
          </w:p>
        </w:tc>
      </w:tr>
      <w:tr>
        <w:trPr>
          <w:trHeight w:val="175"/>
        </w:trPr>
        <w:tc>
          <w:tcPr>
            <w:tcW w:w="1000" w:type="dxa"/>
            <w:vAlign w:val="bottom"/>
          </w:tcPr>
          <w:p>
            <w:pPr>
              <w:spacing w:after="0"/>
              <w:rPr>
                <w:sz w:val="15"/>
                <w:szCs w:val="15"/>
                <w:color w:val="auto"/>
              </w:rPr>
            </w:pPr>
          </w:p>
        </w:tc>
        <w:tc>
          <w:tcPr>
            <w:tcW w:w="51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amended and restated by the Board of Directors on December 12,</w:t>
            </w:r>
          </w:p>
        </w:tc>
      </w:tr>
      <w:tr>
        <w:trPr>
          <w:trHeight w:val="234"/>
        </w:trPr>
        <w:tc>
          <w:tcPr>
            <w:tcW w:w="10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2019.</w:t>
            </w:r>
          </w:p>
        </w:tc>
      </w:tr>
      <w:tr>
        <w:trPr>
          <w:trHeight w:val="1089"/>
        </w:trPr>
        <w:tc>
          <w:tcPr>
            <w:tcW w:w="1000" w:type="dxa"/>
            <w:vAlign w:val="bottom"/>
          </w:tcPr>
          <w:p>
            <w:pPr>
              <w:spacing w:after="0"/>
              <w:rPr>
                <w:sz w:val="24"/>
                <w:szCs w:val="24"/>
                <w:color w:val="auto"/>
              </w:rPr>
            </w:pPr>
          </w:p>
        </w:tc>
        <w:tc>
          <w:tcPr>
            <w:tcW w:w="51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reference.</w:t>
        </w:r>
      </w:hyperlink>
    </w:p>
    <w:p>
      <w:pPr>
        <w:spacing w:after="0" w:line="9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reference.</w:t>
        </w:r>
      </w:hyperlink>
    </w:p>
    <w:p>
      <w:pPr>
        <w:spacing w:after="0" w:line="90"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Report on Form 8-K (File No. 1-36756) filed on June 21, 2021 and</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80"/>
        <w:spacing w:after="0" w:line="229" w:lineRule="auto"/>
        <w:rPr>
          <w:rFonts w:ascii="Times New Roman" w:cs="Times New Roman" w:eastAsia="Times New Roman" w:hAnsi="Times New Roman"/>
          <w:sz w:val="17"/>
          <w:szCs w:val="17"/>
          <w:u w:val="single" w:color="auto"/>
          <w:color w:val="0000FF"/>
        </w:rPr>
      </w:pPr>
      <w:hyperlink r:id="rId204">
        <w:r>
          <w:rPr>
            <w:rFonts w:ascii="Times New Roman" w:cs="Times New Roman" w:eastAsia="Times New Roman" w:hAnsi="Times New Roman"/>
            <w:sz w:val="17"/>
            <w:szCs w:val="17"/>
            <w:u w:val="single" w:color="auto"/>
            <w:color w:val="0000FF"/>
          </w:rPr>
          <w:t>Previously filed as Exhibit 10(a)(1) to the Company’s Annual</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Report on Form 10-K for the year ended December 31, 2019 (File</w:t>
        </w:r>
      </w:hyperlink>
      <w:r>
        <w:rPr>
          <w:rFonts w:ascii="Times New Roman" w:cs="Times New Roman" w:eastAsia="Times New Roman" w:hAnsi="Times New Roman"/>
          <w:sz w:val="17"/>
          <w:szCs w:val="17"/>
          <w:u w:val="single" w:color="auto"/>
          <w:color w:val="0000FF"/>
        </w:rPr>
        <w:t xml:space="preserve"> </w:t>
      </w:r>
      <w:hyperlink r:id="rId204">
        <w:r>
          <w:rPr>
            <w:rFonts w:ascii="Times New Roman" w:cs="Times New Roman" w:eastAsia="Times New Roman" w:hAnsi="Times New Roman"/>
            <w:sz w:val="17"/>
            <w:szCs w:val="17"/>
            <w:u w:val="single" w:color="auto"/>
            <w:color w:val="0000FF"/>
          </w:rPr>
          <w:t>No. 1-36756) filed on February 20, 2020 and incorporated herein</w:t>
        </w:r>
      </w:hyperlink>
    </w:p>
    <w:p>
      <w:pPr>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180" w:space="160"/>
            <w:col w:w="4820"/>
          </w:cols>
          <w:pgMar w:left="320" w:top="121" w:right="4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10(a)(2)*</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Form of Stock Option Agreement under the 1996 Equity Incentive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w:t>
            </w:r>
          </w:p>
        </w:tc>
        <w:tc>
          <w:tcPr>
            <w:tcW w:w="0" w:type="dxa"/>
            <w:vAlign w:val="bottom"/>
          </w:tcPr>
          <w:p>
            <w:pPr>
              <w:spacing w:after="0"/>
              <w:rPr>
                <w:sz w:val="1"/>
                <w:szCs w:val="1"/>
                <w:color w:val="auto"/>
              </w:rPr>
            </w:pPr>
          </w:p>
        </w:tc>
      </w:tr>
      <w:tr>
        <w:trPr>
          <w:trHeight w:val="64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10(b)(1)*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2009 Employee Stock Purchase Plan, as amended.</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10(b)(2)*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2019 Employee Stock Purchase Plan.</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Deferred Compensation Plan (as amended).</w:t>
            </w:r>
          </w:p>
        </w:tc>
        <w:tc>
          <w:tcPr>
            <w:tcW w:w="0" w:type="dxa"/>
            <w:vAlign w:val="bottom"/>
          </w:tcPr>
          <w:p>
            <w:pPr>
              <w:spacing w:after="0"/>
              <w:rPr>
                <w:sz w:val="1"/>
                <w:szCs w:val="1"/>
                <w:color w:val="auto"/>
              </w:rPr>
            </w:pPr>
          </w:p>
        </w:tc>
      </w:tr>
      <w:tr>
        <w:trPr>
          <w:trHeight w:val="59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Trust Agreement for the Lamar Deferred Compensation</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the Lamar Deferred Compensation Plan dated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13, 2013.</w:t>
            </w:r>
          </w:p>
        </w:tc>
        <w:tc>
          <w:tcPr>
            <w:tcW w:w="0" w:type="dxa"/>
            <w:vAlign w:val="bottom"/>
          </w:tcPr>
          <w:p>
            <w:pPr>
              <w:spacing w:after="0"/>
              <w:rPr>
                <w:sz w:val="1"/>
                <w:szCs w:val="1"/>
                <w:color w:val="auto"/>
              </w:rPr>
            </w:pPr>
          </w:p>
        </w:tc>
      </w:tr>
      <w:tr>
        <w:trPr>
          <w:trHeight w:val="58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Management Compensatory Arrangements, dated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2016.</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10(d)(2)*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Non-Management Director Compensatory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Arrangements, dated May 26, 2016.</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Financing Agreement, dated December 18, 2018,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among Lamar Media, as initial Servicer, Lamar TRS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and Lamar QRS</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certain subsidiaries of Lamar Media, Lamar Media,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QRS Receivables, LLC as Buyer.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certain subsidiaries of Lamar Media, Lamar Media,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TRS Receivables, LLC as Buyer.</w:t>
            </w:r>
          </w:p>
        </w:tc>
        <w:tc>
          <w:tcPr>
            <w:tcW w:w="0" w:type="dxa"/>
            <w:vAlign w:val="bottom"/>
          </w:tcPr>
          <w:p>
            <w:pPr>
              <w:spacing w:after="0"/>
              <w:rPr>
                <w:sz w:val="1"/>
                <w:szCs w:val="1"/>
                <w:color w:val="auto"/>
              </w:rPr>
            </w:pPr>
          </w:p>
        </w:tc>
      </w:tr>
      <w:tr>
        <w:trPr>
          <w:trHeight w:val="913"/>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207">
        <w:r>
          <w:rPr>
            <w:rFonts w:ascii="Times New Roman" w:cs="Times New Roman" w:eastAsia="Times New Roman" w:hAnsi="Times New Roman"/>
            <w:sz w:val="17"/>
            <w:szCs w:val="17"/>
            <w:u w:val="single" w:color="auto"/>
            <w:color w:val="0000FF"/>
          </w:rPr>
          <w:t>Previously filed as Exhibit 10(a)(2) to the Company’s Annual</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Report on Form 10-K for the year ended December 31, 2019 (File</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No. 1-36756) filed on February 20, 2020 and incorporated herein</w:t>
        </w:r>
      </w:hyperlink>
    </w:p>
    <w:p>
      <w:pPr>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60"/>
        <w:spacing w:after="0" w:line="216"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Previously filed as Exhibit 10.16 of the Company’s Annual Report</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on Form 10-K for the year ended December 31, 2005 (File No. 0-</w:t>
        </w:r>
      </w:hyperlink>
      <w:hyperlink r:id="rId208">
        <w:r>
          <w:rPr>
            <w:rFonts w:ascii="Times New Roman" w:cs="Times New Roman" w:eastAsia="Times New Roman" w:hAnsi="Times New Roman"/>
            <w:sz w:val="18"/>
            <w:szCs w:val="18"/>
            <w:u w:val="single" w:color="auto"/>
            <w:color w:val="0000FF"/>
          </w:rPr>
          <w:t>30242) filed on March 15, 2006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on Form 8-K (File No. 0-30242) filed on May 30, 2007 and</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spacing w:after="0" w:line="227" w:lineRule="auto"/>
        <w:rPr>
          <w:rFonts w:ascii="Times New Roman" w:cs="Times New Roman" w:eastAsia="Times New Roman" w:hAnsi="Times New Roman"/>
          <w:sz w:val="17"/>
          <w:szCs w:val="17"/>
          <w:u w:val="single" w:color="auto"/>
          <w:color w:val="0000FF"/>
        </w:rPr>
      </w:pPr>
      <w:hyperlink r:id="rId210">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10">
        <w:r>
          <w:rPr>
            <w:rFonts w:ascii="Times New Roman" w:cs="Times New Roman" w:eastAsia="Times New Roman" w:hAnsi="Times New Roman"/>
            <w:sz w:val="17"/>
            <w:szCs w:val="17"/>
            <w:u w:val="single" w:color="auto"/>
            <w:color w:val="0000FF"/>
          </w:rPr>
          <w:t>on Form 10-Q for the period ended September 30, 2017 (File No.</w:t>
        </w:r>
      </w:hyperlink>
    </w:p>
    <w:p>
      <w:pPr>
        <w:spacing w:after="0" w:line="1" w:lineRule="exact"/>
        <w:rPr>
          <w:sz w:val="20"/>
          <w:szCs w:val="20"/>
          <w:color w:val="auto"/>
        </w:rPr>
      </w:pPr>
    </w:p>
    <w:p>
      <w:pPr>
        <w:ind w:right="220"/>
        <w:spacing w:after="0" w:line="233"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1-36756) filed on November 6, 2017 and incorporated herein by</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reference.</w:t>
        </w:r>
      </w:hyperlink>
    </w:p>
    <w:p>
      <w:pPr>
        <w:spacing w:after="0" w:line="51"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Previously filed as Exhibit 10.2 to Lamar Advertising’s Current</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Report on Form 8-K (File No. 1-36756) filed on June 5, 2019 and</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on Form 8-K (File No. 0-30242) filed on August 27, 2007 and</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on Form 8-K (File No. 0-30242) filed on December 14, 2005 and</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14">
        <w:r>
          <w:rPr>
            <w:rFonts w:ascii="Times New Roman" w:cs="Times New Roman" w:eastAsia="Times New Roman" w:hAnsi="Times New Roman"/>
            <w:sz w:val="17"/>
            <w:szCs w:val="17"/>
            <w:u w:val="single" w:color="auto"/>
            <w:color w:val="0000FF"/>
          </w:rPr>
          <w:t>Previously filed as Exhibit 10(d)(3) to the Company’s Annual</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14">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40"/>
        <w:spacing w:after="0" w:line="22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(File No. 1-36756) filed on March 29, 2016 and incorporated</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(File No. 1-36756) filed on May 31, 2016 and incorporated herein</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10(e)(4)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Guaranty of Lamar Media dated December 18, 2018</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favor of PNC Bank, National Association.</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February 6, 2020, by and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Lamar TRS Receivables, LLC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Media as initial Servicer, and Lamar QRS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Media as initial Servicer, and Lamar TRS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Receivables Financing Agreement,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May 6, 2020, by and among Lamar Media as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Purchase and Sale Agreement, dated as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May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as originators, Lamar Media as Servicer,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Buyer, and consented to by PNC Bank,</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June 30, 2020, among Lamar Media, as Initial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to the Receivables Financing Agreement,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October 23, 2020,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Lamar TRS Receivables, LLC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Fifth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May 24, 2021, among Lamar Media, as Initial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 to the Receivables Financing Agreement, 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June 24, 2022, among Lamar Media, as Initial Servicer,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SPEs, as Borrowers, and PNC Bank, National Association, as</w:t>
            </w:r>
          </w:p>
        </w:tc>
        <w:tc>
          <w:tcPr>
            <w:tcW w:w="0" w:type="dxa"/>
            <w:vAlign w:val="bottom"/>
          </w:tcPr>
          <w:p>
            <w:pPr>
              <w:spacing w:after="0"/>
              <w:rPr>
                <w:sz w:val="1"/>
                <w:szCs w:val="1"/>
                <w:color w:val="auto"/>
              </w:rPr>
            </w:pPr>
          </w:p>
        </w:tc>
      </w:tr>
    </w:tbl>
    <w:p>
      <w:pPr>
        <w:jc w:val="both"/>
        <w:ind w:left="1320" w:right="240"/>
        <w:spacing w:after="0" w:line="208" w:lineRule="auto"/>
        <w:rPr>
          <w:sz w:val="20"/>
          <w:szCs w:val="20"/>
          <w:color w:val="auto"/>
        </w:rPr>
      </w:pPr>
      <w:r>
        <w:rPr>
          <w:rFonts w:ascii="Times New Roman" w:cs="Times New Roman" w:eastAsia="Times New Roman" w:hAnsi="Times New Roman"/>
          <w:sz w:val="18"/>
          <w:szCs w:val="18"/>
          <w:color w:val="auto"/>
        </w:rPr>
        <w:t>Administrative Agent and a Lender. Previously filed as Exhibit 10.1 to the Company’s Current Report on Form 8-K (File No. 1-36756) filed on June 30, 2022 and incorporated herein by</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Previously filed as Exhibit 10.5 to the Company’s Current Report</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24">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Previously filed as Exhibit 10.6 to the Company’s Current Report</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16"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Previously filed as Exhibit 10.2 to the Company’s Quarterly Report</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on Form 10-Q for the period ended June 30, 2020 (File No. 1-</w:t>
        </w:r>
      </w:hyperlink>
      <w:hyperlink r:id="rId226">
        <w:r>
          <w:rPr>
            <w:rFonts w:ascii="Times New Roman" w:cs="Times New Roman" w:eastAsia="Times New Roman" w:hAnsi="Times New Roman"/>
            <w:sz w:val="18"/>
            <w:szCs w:val="18"/>
            <w:u w:val="single" w:color="auto"/>
            <w:color w:val="0000FF"/>
          </w:rPr>
          <w:t>36756) filed on August 6, 2020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spacing w:after="0" w:line="216"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Previously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on Form 10-Q for the period ended June 30, 2020 (File No. 1-</w:t>
        </w:r>
      </w:hyperlink>
      <w:hyperlink r:id="rId227">
        <w:r>
          <w:rPr>
            <w:rFonts w:ascii="Times New Roman" w:cs="Times New Roman" w:eastAsia="Times New Roman" w:hAnsi="Times New Roman"/>
            <w:sz w:val="18"/>
            <w:szCs w:val="18"/>
            <w:u w:val="single" w:color="auto"/>
            <w:color w:val="0000FF"/>
          </w:rPr>
          <w:t>36756) filed on August 6, 2020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on Form 8-K (File No. 1-36756) filed on July 6, 2020 and</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on Form 8-K (File No. 1-36756) filed on October 26, 2020 and</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50"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on Form 8-K (File No. 1-36756) filed on May 28, 2021 and</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incorporated herein by reference.</w:t>
        </w:r>
      </w:hyperlink>
    </w:p>
    <w:p>
      <w:pPr>
        <w:spacing w:after="0" w:line="366"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on Form 8-K (File No. 1-36756) filed on June 30, 2022 and</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Lamar Advertising of Puerto Rico, Inc.,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June 11,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such thereunder,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November 18, 2010, to the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such thereunder,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Restatement Agreement, dated as of February 9,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Advertising of Puerto Rico, Inc., the Subsidiary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(including the Amended and Restated Credit Agreement).</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October 24,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Restatement Agreement, dated as of February 3, 2014,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among Lamar Media, the Company,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N.A., as administrative agent (including the Second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April 18, 2014,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by and among Lamar Media, the Company, the Subsidiary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Amendment No. 1 dated January 7, 2016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 Amended and Restated Credit Agreement, dated as of</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February 3, 2014, as amended by and among Lamar Media, the</w:t>
            </w:r>
          </w:p>
        </w:tc>
        <w:tc>
          <w:tcPr>
            <w:tcW w:w="0" w:type="dxa"/>
            <w:vAlign w:val="bottom"/>
          </w:tcPr>
          <w:p>
            <w:pPr>
              <w:spacing w:after="0"/>
              <w:rPr>
                <w:sz w:val="1"/>
                <w:szCs w:val="1"/>
                <w:color w:val="auto"/>
              </w:rPr>
            </w:pPr>
          </w:p>
        </w:tc>
      </w:tr>
    </w:tbl>
    <w:p>
      <w:pPr>
        <w:ind w:left="1320" w:right="220"/>
        <w:spacing w:after="0" w:line="218" w:lineRule="auto"/>
        <w:rPr>
          <w:sz w:val="20"/>
          <w:szCs w:val="20"/>
          <w:color w:val="auto"/>
        </w:rPr>
      </w:pPr>
      <w:r>
        <w:rPr>
          <w:rFonts w:ascii="Times New Roman" w:cs="Times New Roman" w:eastAsia="Times New Roman" w:hAnsi="Times New Roman"/>
          <w:sz w:val="18"/>
          <w:szCs w:val="18"/>
          <w:color w:val="auto"/>
        </w:rPr>
        <w:t>Company, the Subsidiary Guarantors named therein, the Lenders named therein,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on Form 8-K (File No. 0-30242) filed on May 3, 2010, and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35">
        <w:r>
          <w:rPr>
            <w:rFonts w:ascii="Times New Roman" w:cs="Times New Roman" w:eastAsia="Times New Roman" w:hAnsi="Times New Roman"/>
            <w:sz w:val="17"/>
            <w:szCs w:val="17"/>
            <w:u w:val="single" w:color="auto"/>
            <w:color w:val="0000FF"/>
          </w:rPr>
          <w:t>Previously filed as Exhibit 10(p)(2) to the Company’s Annual</w:t>
        </w:r>
      </w:hyperlink>
      <w:r>
        <w:rPr>
          <w:rFonts w:ascii="Times New Roman" w:cs="Times New Roman" w:eastAsia="Times New Roman" w:hAnsi="Times New Roman"/>
          <w:sz w:val="17"/>
          <w:szCs w:val="17"/>
          <w:u w:val="single" w:color="auto"/>
          <w:color w:val="0000FF"/>
        </w:rPr>
        <w:t xml:space="preserve"> </w:t>
      </w:r>
      <w:hyperlink r:id="rId235">
        <w:r>
          <w:rPr>
            <w:rFonts w:ascii="Times New Roman" w:cs="Times New Roman" w:eastAsia="Times New Roman" w:hAnsi="Times New Roman"/>
            <w:sz w:val="17"/>
            <w:szCs w:val="17"/>
            <w:u w:val="single" w:color="auto"/>
            <w:color w:val="0000FF"/>
          </w:rPr>
          <w:t>Report on Form 10-K for the year ended December 31, 2010 (File</w:t>
        </w:r>
      </w:hyperlink>
      <w:r>
        <w:rPr>
          <w:rFonts w:ascii="Times New Roman" w:cs="Times New Roman" w:eastAsia="Times New Roman" w:hAnsi="Times New Roman"/>
          <w:sz w:val="17"/>
          <w:szCs w:val="17"/>
          <w:u w:val="single" w:color="auto"/>
          <w:color w:val="0000FF"/>
        </w:rPr>
        <w:t xml:space="preserve"> </w:t>
      </w:r>
      <w:hyperlink r:id="rId235">
        <w:r>
          <w:rPr>
            <w:rFonts w:ascii="Times New Roman" w:cs="Times New Roman" w:eastAsia="Times New Roman" w:hAnsi="Times New Roman"/>
            <w:sz w:val="17"/>
            <w:szCs w:val="17"/>
            <w:u w:val="single" w:color="auto"/>
            <w:color w:val="0000FF"/>
          </w:rPr>
          <w:t>No. 0-30242) filed on February 25, 2011 and incorporated herein</w:t>
        </w:r>
      </w:hyperlink>
    </w:p>
    <w:p>
      <w:pPr>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36">
        <w:r>
          <w:rPr>
            <w:rFonts w:ascii="Times New Roman" w:cs="Times New Roman" w:eastAsia="Times New Roman" w:hAnsi="Times New Roman"/>
            <w:sz w:val="17"/>
            <w:szCs w:val="17"/>
            <w:u w:val="single" w:color="auto"/>
            <w:color w:val="0000FF"/>
          </w:rPr>
          <w:t>Previously filed as Exhibit 10(p)(3) to the Company’s Annual</w:t>
        </w:r>
      </w:hyperlink>
      <w:r>
        <w:rPr>
          <w:rFonts w:ascii="Times New Roman" w:cs="Times New Roman" w:eastAsia="Times New Roman" w:hAnsi="Times New Roman"/>
          <w:sz w:val="17"/>
          <w:szCs w:val="17"/>
          <w:u w:val="single" w:color="auto"/>
          <w:color w:val="0000FF"/>
        </w:rPr>
        <w:t xml:space="preserve"> </w:t>
      </w:r>
      <w:hyperlink r:id="rId236">
        <w:r>
          <w:rPr>
            <w:rFonts w:ascii="Times New Roman" w:cs="Times New Roman" w:eastAsia="Times New Roman" w:hAnsi="Times New Roman"/>
            <w:sz w:val="17"/>
            <w:szCs w:val="17"/>
            <w:u w:val="single" w:color="auto"/>
            <w:color w:val="0000FF"/>
          </w:rPr>
          <w:t>Report on Form 10-K for the year ended December 31, 2010 (File</w:t>
        </w:r>
      </w:hyperlink>
      <w:r>
        <w:rPr>
          <w:rFonts w:ascii="Times New Roman" w:cs="Times New Roman" w:eastAsia="Times New Roman" w:hAnsi="Times New Roman"/>
          <w:sz w:val="17"/>
          <w:szCs w:val="17"/>
          <w:u w:val="single" w:color="auto"/>
          <w:color w:val="0000FF"/>
        </w:rPr>
        <w:t xml:space="preserve"> </w:t>
      </w:r>
      <w:hyperlink r:id="rId236">
        <w:r>
          <w:rPr>
            <w:rFonts w:ascii="Times New Roman" w:cs="Times New Roman" w:eastAsia="Times New Roman" w:hAnsi="Times New Roman"/>
            <w:sz w:val="17"/>
            <w:szCs w:val="17"/>
            <w:u w:val="single" w:color="auto"/>
            <w:color w:val="0000FF"/>
          </w:rPr>
          <w:t>No. 0-30242) filed on February 25, 2011 and incorporated herein</w:t>
        </w:r>
      </w:hyperlink>
    </w:p>
    <w:p>
      <w:pPr>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on Form 8-K (File No. 0-30242) filed on February 14, 2012 and</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38">
        <w:r>
          <w:rPr>
            <w:rFonts w:ascii="Times New Roman" w:cs="Times New Roman" w:eastAsia="Times New Roman" w:hAnsi="Times New Roman"/>
            <w:sz w:val="17"/>
            <w:szCs w:val="17"/>
            <w:u w:val="single" w:color="auto"/>
            <w:color w:val="0000FF"/>
          </w:rPr>
          <w:t>Previously filed as Exhibit 10(f)(11) to the Company’s Annual</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38">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on Form 8-K (File No. 0-30242) filed on February 7, 2014 and</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on Form 8-K (File No. 0-30242) filed on April 22, 2014 and</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on Form 8-K (File No. 1-36756) filed on January 13, 2016 and</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740"/>
          </w:cols>
          <w:pgMar w:left="320" w:top="121" w:right="4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10(f)(9)</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Amendment No. 2, dated as of March 4, 2016,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as amended by and among Lamar Media, the Company,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of Lamar Media’s subsidiaries as Guarantors, JPMorgan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Chase Bank, N.A. as Administrative Agent and the Lenders party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Restatement Agreement, dated as of May 15, 2017, by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Company,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N.A., as Administrative Agent (including the Third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March 16, 2018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by and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as amended for Amendment No. 1, as Exhibit 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December 6, 2018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by and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as amended for Amendment No. 2, as Exhibit 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Amendment No. 1, dated January 17, 2019, by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among Lamar Media, Lamar Advertising,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 as Administrative Agent.</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19,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Arizona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April 21, 2011, to the Credit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Wisconsin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August 26, 2011,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Montana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bl>
    <w:p>
      <w:pPr>
        <w:ind w:left="1320" w:right="280"/>
        <w:spacing w:after="0" w:line="218" w:lineRule="auto"/>
        <w:rPr>
          <w:sz w:val="20"/>
          <w:szCs w:val="20"/>
          <w:color w:val="auto"/>
        </w:rPr>
      </w:pPr>
      <w:r>
        <w:rPr>
          <w:rFonts w:ascii="Times New Roman" w:cs="Times New Roman" w:eastAsia="Times New Roman" w:hAnsi="Times New Roman"/>
          <w:sz w:val="18"/>
          <w:szCs w:val="18"/>
          <w:color w:val="auto"/>
        </w:rPr>
        <w:t>the subsidiary guarantors party thereto, the lenders party thereto and JPMorgan Chase Bank, N.A., as administrative agent, by NextMedia Outdoor,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on Form 8-K (File No. 1-36756) filed on March 8, 2016 and</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on Form 8-K (File No. 1-36756) filed on May 19, 2017 and</w:t>
        </w:r>
      </w:hyperlink>
      <w:r>
        <w:rPr>
          <w:rFonts w:ascii="Times New Roman" w:cs="Times New Roman" w:eastAsia="Times New Roman" w:hAnsi="Times New Roman"/>
          <w:sz w:val="18"/>
          <w:szCs w:val="18"/>
          <w:u w:val="single" w:color="auto"/>
          <w:color w:val="0000FF"/>
        </w:rPr>
        <w:t xml:space="preserve"> </w:t>
      </w:r>
      <w:hyperlink r:id="rId245">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on Form 8-K (File No. 1-36756) filed on March 21, 2018 and</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jc w:val="both"/>
        <w:ind w:right="40"/>
        <w:spacing w:after="0" w:line="226"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on Form 8-K (File No. 1-36756) filed on December 12, 2018 and</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Previously filed as Exhibit 10.1 to Lamar Advertising’s Current</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Report on Form 8-K (File No. 1-36756) filed on January 22, 2019</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49">
        <w:r>
          <w:rPr>
            <w:rFonts w:ascii="Times New Roman" w:cs="Times New Roman" w:eastAsia="Times New Roman" w:hAnsi="Times New Roman"/>
            <w:sz w:val="17"/>
            <w:szCs w:val="17"/>
            <w:u w:val="single" w:color="auto"/>
            <w:color w:val="0000FF"/>
          </w:rPr>
          <w:t>Previously filed as Exhibit 10(p)(4) to the Company’s Annual</w:t>
        </w:r>
      </w:hyperlink>
      <w:r>
        <w:rPr>
          <w:rFonts w:ascii="Times New Roman" w:cs="Times New Roman" w:eastAsia="Times New Roman" w:hAnsi="Times New Roman"/>
          <w:sz w:val="17"/>
          <w:szCs w:val="17"/>
          <w:u w:val="single" w:color="auto"/>
          <w:color w:val="0000FF"/>
        </w:rPr>
        <w:t xml:space="preserve"> </w:t>
      </w:r>
      <w:hyperlink r:id="rId249">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49">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49">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0">
        <w:r>
          <w:rPr>
            <w:rFonts w:ascii="Times New Roman" w:cs="Times New Roman" w:eastAsia="Times New Roman" w:hAnsi="Times New Roman"/>
            <w:sz w:val="17"/>
            <w:szCs w:val="17"/>
            <w:u w:val="single" w:color="auto"/>
            <w:color w:val="0000FF"/>
          </w:rPr>
          <w:t>Previously filed as Exhibit 10(p)(5) to the Company’s Annual</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50">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50">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1">
        <w:r>
          <w:rPr>
            <w:rFonts w:ascii="Times New Roman" w:cs="Times New Roman" w:eastAsia="Times New Roman" w:hAnsi="Times New Roman"/>
            <w:sz w:val="17"/>
            <w:szCs w:val="17"/>
            <w:u w:val="single" w:color="auto"/>
            <w:color w:val="0000FF"/>
          </w:rPr>
          <w:t>Previously filed as Exhibit 10(p)(6) to the Company’s Annual</w:t>
        </w:r>
      </w:hyperlink>
      <w:r>
        <w:rPr>
          <w:rFonts w:ascii="Times New Roman" w:cs="Times New Roman" w:eastAsia="Times New Roman" w:hAnsi="Times New Roman"/>
          <w:sz w:val="17"/>
          <w:szCs w:val="17"/>
          <w:u w:val="single" w:color="auto"/>
          <w:color w:val="0000FF"/>
        </w:rPr>
        <w:t xml:space="preserve"> </w:t>
      </w:r>
      <w:hyperlink r:id="rId251">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51">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2">
        <w:r>
          <w:rPr>
            <w:rFonts w:ascii="Times New Roman" w:cs="Times New Roman" w:eastAsia="Times New Roman" w:hAnsi="Times New Roman"/>
            <w:sz w:val="17"/>
            <w:szCs w:val="17"/>
            <w:u w:val="single" w:color="auto"/>
            <w:color w:val="0000FF"/>
          </w:rPr>
          <w:t>Previously filed as Exhibit 10(f)(9) to the Company’s Annual</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200" w:space="140"/>
            <w:col w:w="4740"/>
          </w:cols>
          <w:pgMar w:left="320" w:top="121" w:right="4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10(f)(18)</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NextMedia Outdoor,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NMG Outdoor I Corp.</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TRS Holdings,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Company,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LLC.</w:t>
            </w:r>
          </w:p>
        </w:tc>
        <w:tc>
          <w:tcPr>
            <w:tcW w:w="0" w:type="dxa"/>
            <w:vAlign w:val="bottom"/>
          </w:tcPr>
          <w:p>
            <w:pPr>
              <w:spacing w:after="0"/>
              <w:rPr>
                <w:sz w:val="1"/>
                <w:szCs w:val="1"/>
                <w:color w:val="auto"/>
              </w:rPr>
            </w:pPr>
          </w:p>
        </w:tc>
      </w:tr>
      <w:tr>
        <w:trPr>
          <w:trHeight w:val="45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28, 2015,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Lamar Alliance Airport Advertising Company.</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30, 2018,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bl>
    <w:p>
      <w:pPr>
        <w:jc w:val="both"/>
        <w:ind w:left="1320" w:right="220"/>
        <w:spacing w:after="0" w:line="218" w:lineRule="auto"/>
        <w:rPr>
          <w:sz w:val="20"/>
          <w:szCs w:val="20"/>
          <w:color w:val="auto"/>
        </w:rPr>
      </w:pPr>
      <w:r>
        <w:rPr>
          <w:rFonts w:ascii="Times New Roman" w:cs="Times New Roman" w:eastAsia="Times New Roman" w:hAnsi="Times New Roman"/>
          <w:sz w:val="18"/>
          <w:szCs w:val="18"/>
          <w:color w:val="auto"/>
        </w:rPr>
        <w:t>party thereto, the subsidiary guarantors party thereto, the lenders party thereto and JPMorgan Chase Bank, N.A., as administrative agent, by Interstate Logos TRS, LLC.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252">
        <w:r>
          <w:rPr>
            <w:rFonts w:ascii="Times New Roman" w:cs="Times New Roman" w:eastAsia="Times New Roman" w:hAnsi="Times New Roman"/>
            <w:sz w:val="17"/>
            <w:szCs w:val="17"/>
            <w:u w:val="single" w:color="auto"/>
            <w:color w:val="0000FF"/>
          </w:rPr>
          <w:t>Previously filed as Exhibit 10(f)(9) to the Company’s Annual</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55">
        <w:r>
          <w:rPr>
            <w:rFonts w:ascii="Times New Roman" w:cs="Times New Roman" w:eastAsia="Times New Roman" w:hAnsi="Times New Roman"/>
            <w:sz w:val="17"/>
            <w:szCs w:val="17"/>
            <w:u w:val="single" w:color="auto"/>
            <w:color w:val="0000FF"/>
          </w:rPr>
          <w:t>Previously filed as Exhibit 10(f)(10) to the Company’s Annual</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55">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56">
        <w:r>
          <w:rPr>
            <w:rFonts w:ascii="Times New Roman" w:cs="Times New Roman" w:eastAsia="Times New Roman" w:hAnsi="Times New Roman"/>
            <w:sz w:val="17"/>
            <w:szCs w:val="17"/>
            <w:u w:val="single" w:color="auto"/>
            <w:color w:val="0000FF"/>
          </w:rPr>
          <w:t>Previously filed as Exhibit 10(f)(12) to the Company’s Annual</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56">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57">
        <w:r>
          <w:rPr>
            <w:rFonts w:ascii="Times New Roman" w:cs="Times New Roman" w:eastAsia="Times New Roman" w:hAnsi="Times New Roman"/>
            <w:sz w:val="17"/>
            <w:szCs w:val="17"/>
            <w:u w:val="single" w:color="auto"/>
            <w:color w:val="0000FF"/>
          </w:rPr>
          <w:t>Previously filed as Exhibit 10(f)(13) to the Company’s Annual</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57">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58">
        <w:r>
          <w:rPr>
            <w:rFonts w:ascii="Times New Roman" w:cs="Times New Roman" w:eastAsia="Times New Roman" w:hAnsi="Times New Roman"/>
            <w:sz w:val="17"/>
            <w:szCs w:val="17"/>
            <w:u w:val="single" w:color="auto"/>
            <w:color w:val="0000FF"/>
          </w:rPr>
          <w:t>Previously filed as Exhibit 10(f)(14) to the Company’s Annual</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58">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37"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59">
        <w:r>
          <w:rPr>
            <w:rFonts w:ascii="Times New Roman" w:cs="Times New Roman" w:eastAsia="Times New Roman" w:hAnsi="Times New Roman"/>
            <w:sz w:val="17"/>
            <w:szCs w:val="17"/>
            <w:u w:val="single" w:color="auto"/>
            <w:color w:val="0000FF"/>
          </w:rPr>
          <w:t>Previously filed as Exhibit 10(f)(15) to the Company’s Annual</w:t>
        </w:r>
      </w:hyperlink>
      <w:r>
        <w:rPr>
          <w:rFonts w:ascii="Times New Roman" w:cs="Times New Roman" w:eastAsia="Times New Roman" w:hAnsi="Times New Roman"/>
          <w:sz w:val="17"/>
          <w:szCs w:val="17"/>
          <w:u w:val="single" w:color="auto"/>
          <w:color w:val="0000FF"/>
        </w:rPr>
        <w:t xml:space="preserve"> </w:t>
      </w:r>
      <w:hyperlink r:id="rId259">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59">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60">
        <w:r>
          <w:rPr>
            <w:rFonts w:ascii="Times New Roman" w:cs="Times New Roman" w:eastAsia="Times New Roman" w:hAnsi="Times New Roman"/>
            <w:sz w:val="17"/>
            <w:szCs w:val="17"/>
            <w:u w:val="single" w:color="auto"/>
            <w:color w:val="0000FF"/>
          </w:rPr>
          <w:t>Previously filed as Exhibit 10(f)(20) to the Company’s Annual</w:t>
        </w:r>
      </w:hyperlink>
      <w:r>
        <w:rPr>
          <w:rFonts w:ascii="Times New Roman" w:cs="Times New Roman" w:eastAsia="Times New Roman" w:hAnsi="Times New Roman"/>
          <w:sz w:val="17"/>
          <w:szCs w:val="17"/>
          <w:u w:val="single" w:color="auto"/>
          <w:color w:val="0000FF"/>
        </w:rPr>
        <w:t xml:space="preserve"> </w:t>
      </w:r>
      <w:hyperlink r:id="rId260">
        <w:r>
          <w:rPr>
            <w:rFonts w:ascii="Times New Roman" w:cs="Times New Roman" w:eastAsia="Times New Roman" w:hAnsi="Times New Roman"/>
            <w:sz w:val="17"/>
            <w:szCs w:val="17"/>
            <w:u w:val="single" w:color="auto"/>
            <w:color w:val="0000FF"/>
          </w:rPr>
          <w:t>Report on Form 10-K for the year ended December 31, 2016 (File</w:t>
        </w:r>
      </w:hyperlink>
      <w:r>
        <w:rPr>
          <w:rFonts w:ascii="Times New Roman" w:cs="Times New Roman" w:eastAsia="Times New Roman" w:hAnsi="Times New Roman"/>
          <w:sz w:val="17"/>
          <w:szCs w:val="17"/>
          <w:u w:val="single" w:color="auto"/>
          <w:color w:val="0000FF"/>
        </w:rPr>
        <w:t xml:space="preserve"> </w:t>
      </w:r>
      <w:hyperlink r:id="rId260">
        <w:r>
          <w:rPr>
            <w:rFonts w:ascii="Times New Roman" w:cs="Times New Roman" w:eastAsia="Times New Roman" w:hAnsi="Times New Roman"/>
            <w:sz w:val="17"/>
            <w:szCs w:val="17"/>
            <w:u w:val="single" w:color="auto"/>
            <w:color w:val="0000FF"/>
          </w:rPr>
          <w:t>No. 1-36756) filed on February 24, 2017 and incorporated herein</w:t>
        </w:r>
      </w:hyperlink>
    </w:p>
    <w:p>
      <w:pPr>
        <w:spacing w:after="0"/>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61">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61">
        <w:r>
          <w:rPr>
            <w:rFonts w:ascii="Times New Roman" w:cs="Times New Roman" w:eastAsia="Times New Roman" w:hAnsi="Times New Roman"/>
            <w:sz w:val="17"/>
            <w:szCs w:val="17"/>
            <w:u w:val="single" w:color="auto"/>
            <w:color w:val="0000FF"/>
          </w:rPr>
          <w:t>on Form 10-Q for the period ended March 31, 2018 (File No. 1-</w:t>
        </w:r>
      </w:hyperlink>
      <w:hyperlink r:id="rId261">
        <w:r>
          <w:rPr>
            <w:rFonts w:ascii="Times New Roman" w:cs="Times New Roman" w:eastAsia="Times New Roman" w:hAnsi="Times New Roman"/>
            <w:sz w:val="17"/>
            <w:szCs w:val="17"/>
            <w:u w:val="single" w:color="auto"/>
            <w:color w:val="0000FF"/>
          </w:rPr>
          <w:t>36756) filed on May 5, 2018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10(f)(26)</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agent, by FMG Outdoor Holdings, LLC, Lamar-Fairway Blocker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 Inc., Lamar-Fairway Blocker 2, Inc., Magic Media, Inc.,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Fairway Media Group, LLC, Fairway Outdoor Advertising, LLC,</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Fairway Outdoor Funding Holdings, LLC, Fairway Outdoor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Funding, LLC, MCC Outdoor, LLC, Magic Media Real Estate,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LLC, FMO Real Estate, LLC, Douglas Outdoor Advertising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GA., Inc., Olympus Media/Indiana, LLC and Fairway CCO</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New Hampshire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August 15, 2019, to the Third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agent, by Ashby Street Outdoor Holdings LLC, Ashby Street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CC, LLC and Ashby Street Outdoor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Lamar Media,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March 17,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dated as of July 2, 2021, and as further amended),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the subsidiary borrower party thereto,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party thereto, the lenders party thereto and JPMorgan</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Chase Bank, N.A., as administrative agent, by Sky High Murals-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Colossal Media,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June 7,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bl>
    <w:p>
      <w:pPr>
        <w:ind w:left="1320" w:right="240"/>
        <w:spacing w:after="0" w:line="220" w:lineRule="auto"/>
        <w:rPr>
          <w:sz w:val="20"/>
          <w:szCs w:val="20"/>
          <w:color w:val="auto"/>
        </w:rPr>
      </w:pPr>
      <w:r>
        <w:rPr>
          <w:rFonts w:ascii="Times New Roman" w:cs="Times New Roman" w:eastAsia="Times New Roman" w:hAnsi="Times New Roman"/>
          <w:sz w:val="17"/>
          <w:szCs w:val="17"/>
          <w:color w:val="auto"/>
        </w:rPr>
        <w:t>dated as of July 2, 2021, and as further amended), among Lamar Media, the subsidiary borrower party thereto, the subsidiary guarantors party thereto, the lenders party thereto and JPMorgan</w:t>
      </w:r>
    </w:p>
    <w:p>
      <w:pPr>
        <w:spacing w:after="0" w:line="2" w:lineRule="exact"/>
        <w:rPr>
          <w:sz w:val="20"/>
          <w:szCs w:val="20"/>
          <w:color w:val="auto"/>
        </w:rPr>
      </w:pPr>
    </w:p>
    <w:p>
      <w:pPr>
        <w:jc w:val="both"/>
        <w:ind w:left="1320" w:right="140"/>
        <w:spacing w:after="0" w:line="218" w:lineRule="auto"/>
        <w:rPr>
          <w:sz w:val="20"/>
          <w:szCs w:val="20"/>
          <w:color w:val="auto"/>
        </w:rPr>
      </w:pPr>
      <w:r>
        <w:rPr>
          <w:rFonts w:ascii="Times New Roman" w:cs="Times New Roman" w:eastAsia="Times New Roman" w:hAnsi="Times New Roman"/>
          <w:sz w:val="18"/>
          <w:szCs w:val="18"/>
          <w:color w:val="auto"/>
        </w:rPr>
        <w:t>Chase Bank, N.A., as administrative agent, by Lamar Advertising Limited Partnership, Lamar Advertising General Partner, and Sky High Murals-Colossal Media,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263">
        <w:r>
          <w:rPr>
            <w:rFonts w:ascii="Times New Roman" w:cs="Times New Roman" w:eastAsia="Times New Roman" w:hAnsi="Times New Roman"/>
            <w:sz w:val="17"/>
            <w:szCs w:val="17"/>
            <w:u w:val="single" w:color="auto"/>
            <w:color w:val="0000FF"/>
          </w:rPr>
          <w:t>Previously filed as Exhibit 10.3 to the Company’s Quarterly Report</w:t>
        </w:r>
      </w:hyperlink>
      <w:r>
        <w:rPr>
          <w:rFonts w:ascii="Times New Roman" w:cs="Times New Roman" w:eastAsia="Times New Roman" w:hAnsi="Times New Roman"/>
          <w:sz w:val="17"/>
          <w:szCs w:val="17"/>
          <w:u w:val="single" w:color="auto"/>
          <w:color w:val="0000FF"/>
        </w:rPr>
        <w:t xml:space="preserve"> </w:t>
      </w:r>
      <w:hyperlink r:id="rId263">
        <w:r>
          <w:rPr>
            <w:rFonts w:ascii="Times New Roman" w:cs="Times New Roman" w:eastAsia="Times New Roman" w:hAnsi="Times New Roman"/>
            <w:sz w:val="17"/>
            <w:szCs w:val="17"/>
            <w:u w:val="single" w:color="auto"/>
            <w:color w:val="0000FF"/>
          </w:rPr>
          <w:t>on Form 10-Q for the period ended March 31, 2019 (File No. 1-</w:t>
        </w:r>
      </w:hyperlink>
      <w:hyperlink r:id="rId263">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59"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64">
        <w:r>
          <w:rPr>
            <w:rFonts w:ascii="Times New Roman" w:cs="Times New Roman" w:eastAsia="Times New Roman" w:hAnsi="Times New Roman"/>
            <w:sz w:val="17"/>
            <w:szCs w:val="17"/>
            <w:u w:val="single" w:color="auto"/>
            <w:color w:val="0000FF"/>
          </w:rPr>
          <w:t>Previously filed as Exhibit 10.4 to the Company’s Quarterly Report</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on Form 10-Q for the period ended March 31, 2019 (File No. 1-</w:t>
        </w:r>
      </w:hyperlink>
      <w:hyperlink r:id="rId264">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4" w:lineRule="exact"/>
        <w:rPr>
          <w:rFonts w:ascii="Times New Roman" w:cs="Times New Roman" w:eastAsia="Times New Roman" w:hAnsi="Times New Roman"/>
          <w:sz w:val="17"/>
          <w:szCs w:val="17"/>
          <w:u w:val="single" w:color="auto"/>
          <w:color w:val="0000FF"/>
        </w:rPr>
      </w:pPr>
    </w:p>
    <w:p>
      <w:pPr>
        <w:spacing w:after="0" w:line="227" w:lineRule="auto"/>
        <w:rPr>
          <w:rFonts w:ascii="Times New Roman" w:cs="Times New Roman" w:eastAsia="Times New Roman" w:hAnsi="Times New Roman"/>
          <w:sz w:val="17"/>
          <w:szCs w:val="17"/>
          <w:u w:val="single" w:color="auto"/>
          <w:color w:val="0000FF"/>
        </w:rPr>
      </w:pPr>
      <w:hyperlink r:id="rId265">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65">
        <w:r>
          <w:rPr>
            <w:rFonts w:ascii="Times New Roman" w:cs="Times New Roman" w:eastAsia="Times New Roman" w:hAnsi="Times New Roman"/>
            <w:sz w:val="17"/>
            <w:szCs w:val="17"/>
            <w:u w:val="single" w:color="auto"/>
            <w:color w:val="0000FF"/>
          </w:rPr>
          <w:t>on Form 10-Q for the period ended September 30, 2019 (File No.</w:t>
        </w:r>
      </w:hyperlink>
    </w:p>
    <w:p>
      <w:pPr>
        <w:spacing w:after="0" w:line="1" w:lineRule="exact"/>
        <w:rPr>
          <w:sz w:val="20"/>
          <w:szCs w:val="20"/>
          <w:color w:val="auto"/>
        </w:rPr>
      </w:pPr>
    </w:p>
    <w:p>
      <w:pPr>
        <w:ind w:right="180"/>
        <w:spacing w:after="0" w:line="233"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1-36756) filed on November 5, 2019, and incorporated herein by</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reference.</w:t>
        </w:r>
      </w:hyperlink>
    </w:p>
    <w:p>
      <w:pPr>
        <w:spacing w:after="0" w:line="200" w:lineRule="exact"/>
        <w:rPr>
          <w:sz w:val="20"/>
          <w:szCs w:val="20"/>
          <w:color w:val="auto"/>
        </w:rPr>
      </w:pPr>
    </w:p>
    <w:p>
      <w:pPr>
        <w:spacing w:after="0" w:line="391" w:lineRule="exact"/>
        <w:rPr>
          <w:sz w:val="20"/>
          <w:szCs w:val="20"/>
          <w:color w:val="auto"/>
        </w:rPr>
      </w:pPr>
    </w:p>
    <w:p>
      <w:pPr>
        <w:ind w:right="140"/>
        <w:spacing w:after="0" w:line="226"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120"/>
        <w:spacing w:after="0" w:line="226" w:lineRule="auto"/>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8" w:lineRule="exact"/>
        <w:rPr>
          <w:rFonts w:ascii="Times New Roman" w:cs="Times New Roman" w:eastAsia="Times New Roman" w:hAnsi="Times New Roman"/>
          <w:sz w:val="18"/>
          <w:szCs w:val="18"/>
          <w:u w:val="single" w:color="auto"/>
          <w:color w:val="0000FF"/>
        </w:rPr>
      </w:pPr>
    </w:p>
    <w:p>
      <w:pPr>
        <w:jc w:val="both"/>
        <w:ind w:right="60"/>
        <w:spacing w:after="0" w:line="226" w:lineRule="auto"/>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and incorporated herein by reference.</w:t>
        </w:r>
      </w:hyperlink>
    </w:p>
    <w:p>
      <w:pPr>
        <w:spacing w:after="0" w:line="1279"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85"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10(f)(32)</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Amendment No. 2, dated as of July 29,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Media’s subsidiary guarantors party thereto,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Limited Partnership Agreement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Limited Partnership, dated July 1, 2022.</w:t>
            </w:r>
          </w:p>
        </w:tc>
        <w:tc>
          <w:tcPr>
            <w:tcW w:w="0" w:type="dxa"/>
            <w:vAlign w:val="bottom"/>
          </w:tcPr>
          <w:p>
            <w:pPr>
              <w:spacing w:after="0"/>
              <w:rPr>
                <w:sz w:val="1"/>
                <w:szCs w:val="1"/>
                <w:color w:val="auto"/>
              </w:rPr>
            </w:pPr>
          </w:p>
        </w:tc>
      </w:tr>
      <w:tr>
        <w:trPr>
          <w:trHeight w:val="46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LTIP Unit Award Agreement.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10(l)*</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directors and executive officers of the Company, dated as of</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18, 2014.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Code of Business Conduct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Ethics.</w:t>
            </w:r>
          </w:p>
        </w:tc>
        <w:tc>
          <w:tcPr>
            <w:tcW w:w="0" w:type="dxa"/>
            <w:vAlign w:val="bottom"/>
          </w:tcPr>
          <w:p>
            <w:pPr>
              <w:spacing w:after="0"/>
              <w:rPr>
                <w:sz w:val="1"/>
                <w:szCs w:val="1"/>
                <w:color w:val="auto"/>
              </w:rPr>
            </w:pPr>
          </w:p>
        </w:tc>
      </w:tr>
      <w:tr>
        <w:trPr>
          <w:trHeight w:val="29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the Company.</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 guarantors of Lamar Media.</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KPMG LLP.</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the Company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pursuant to Securities Exchange Act Rules 13a-14(a)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the Company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pursuant to Securities Exchange Act Rules 13a-14(a)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320" w:right="20" w:hanging="1294"/>
        <w:spacing w:after="0" w:line="212"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combined Annual Report of the Company and Lamar Media Corp. on Form 10-K for the year ended December 31, 2022, formatted in Inline XBRL (eXtensible Business Reporting Language): (i) Consolidated Balance Sheets as of December 31, 2022 and 2021 of the Company and Lamar Media, (ii) Consolidated Statements of Income and Comprehensive Income for the years ended December 31, 2022, 2021 and 2020 of the Company and Lamar Media, (iii) Consolidated Statements of Stockholders’ Equity for the years ended December 31, 2022, 2021 and 2020 of the Company and Lamar Media, (iv) Consolidated Statements of Cash Flows for the years ended December 31, 2022, 2021 and 2020 of the Company and Lamar Media, and (v) Notes to Consolidated Financial Statements of the Company and Lamar Media.</w:t>
      </w:r>
    </w:p>
    <w:p>
      <w:pPr>
        <w:spacing w:after="0" w:line="73" w:lineRule="exact"/>
        <w:rPr>
          <w:sz w:val="20"/>
          <w:szCs w:val="20"/>
          <w:color w:val="auto"/>
        </w:rPr>
      </w:pPr>
    </w:p>
    <w:p>
      <w:pPr>
        <w:ind w:left="1320" w:right="220" w:hanging="1294"/>
        <w:spacing w:after="0" w:line="237" w:lineRule="auto"/>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20"/>
        <w:spacing w:after="0" w:line="226" w:lineRule="auto"/>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on Form 8-K (File No. 1-36756) filed on August 3, 2022 and</w:t>
        </w:r>
      </w:hyperlink>
      <w:r>
        <w:rPr>
          <w:rFonts w:ascii="Times New Roman" w:cs="Times New Roman" w:eastAsia="Times New Roman" w:hAnsi="Times New Roman"/>
          <w:sz w:val="18"/>
          <w:szCs w:val="18"/>
          <w:u w:val="single" w:color="auto"/>
          <w:color w:val="0000FF"/>
        </w:rPr>
        <w:t xml:space="preserve"> </w:t>
      </w:r>
      <w:hyperlink r:id="rId272">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20"/>
        <w:spacing w:after="0" w:line="226" w:lineRule="auto"/>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20"/>
        <w:spacing w:after="0" w:line="226" w:lineRule="auto"/>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74">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on 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6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200" w:space="140"/>
            <w:col w:w="4720"/>
          </w:cols>
          <w:pgMar w:left="320" w:top="121" w:right="51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80" w:hanging="5472"/>
        <w:spacing w:after="0" w:line="923"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in which the executive officers or directors of the Company participate.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21" w:right="11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2023</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4"/>
        </w:trPr>
        <w:tc>
          <w:tcPr>
            <w:tcW w:w="3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7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30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c>
          <w:tcPr>
            <w:tcW w:w="100" w:type="dxa"/>
            <w:vAlign w:val="bottom"/>
          </w:tcPr>
          <w:p>
            <w:pPr>
              <w:spacing w:after="0"/>
              <w:rPr>
                <w:sz w:val="22"/>
                <w:szCs w:val="22"/>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P. Reilly,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Reilly, Jr.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Wendell S.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Wendell S.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Mumblow</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Mumblow</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Marshall A. Loeb</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A. Loeb</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Reifenheiser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Reifenheiser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Anna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 Koerner, III</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 Koerner, III</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Thompson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Thompson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Nancy Fletcher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2/24/23</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Fletcher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LAMAR MEDIA CORP.</w:t>
            </w:r>
          </w:p>
        </w:tc>
      </w:tr>
      <w:tr>
        <w:trPr>
          <w:trHeight w:val="44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2023</w:t>
            </w: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4"/>
        </w:trPr>
        <w:tc>
          <w:tcPr>
            <w:tcW w:w="3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1240"/>
        <w:spacing w:after="0"/>
        <w:tabs>
          <w:tab w:leader="none" w:pos="61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Kevin P. Reilly,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373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P. Reilly, Jr.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E. Reilly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9373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Jay L. Johnson</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Kantrow,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2">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Kantrow, Jr.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w:t>
            </w:r>
          </w:p>
        </w:tc>
      </w:tr>
      <w:tr>
        <w:trPr>
          <w:trHeight w:val="7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w:t>
            </w:r>
          </w:p>
        </w:tc>
      </w:tr>
    </w:tbl>
    <w:p>
      <w:pPr>
        <w:spacing w:after="0" w:line="200" w:lineRule="exact"/>
        <w:rPr>
          <w:sz w:val="20"/>
          <w:szCs w:val="20"/>
          <w:color w:val="auto"/>
        </w:rPr>
      </w:pPr>
    </w:p>
    <w:p>
      <w:pPr>
        <w:spacing w:after="0" w:line="243"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2/24/23</w:t>
      </w:r>
    </w:p>
    <w:p>
      <w:pPr>
        <w:spacing w:after="0" w:line="219" w:lineRule="auto"/>
        <w:rPr>
          <w:sz w:val="20"/>
          <w:szCs w:val="20"/>
          <w:color w:val="auto"/>
        </w:rPr>
      </w:pPr>
      <w:r>
        <w:rPr>
          <w:rFonts w:ascii="Times New Roman" w:cs="Times New Roman" w:eastAsia="Times New Roman" w:hAnsi="Times New Roman"/>
          <w:sz w:val="18"/>
          <w:szCs w:val="18"/>
          <w:color w:val="auto"/>
        </w:rPr>
        <w:t>Chief Financial and Accounting Officer and Director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Mergers and Acquisitions and Director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w:t>
            </w:r>
          </w:p>
        </w:tc>
      </w:tr>
    </w:tbl>
    <w:p>
      <w:pPr>
        <w:spacing w:after="0" w:line="415"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320" w:top="121" w:right="359" w:bottom="1440" w:gutter="0" w:footer="0" w:header="0"/>
          <w:type w:val="continuous"/>
        </w:sectPr>
      </w:pPr>
    </w:p>
    <w:bookmarkStart w:id="124" w:name="page125"/>
    <w:bookmarkEnd w:id="124"/>
    <w:p>
      <w:pPr>
        <w:ind w:left="10240"/>
        <w:spacing w:after="0"/>
        <w:rPr>
          <w:sz w:val="20"/>
          <w:szCs w:val="20"/>
          <w:color w:val="auto"/>
        </w:rPr>
      </w:pPr>
      <w:r>
        <w:rPr>
          <w:rFonts w:ascii="Times New Roman" w:cs="Times New Roman" w:eastAsia="Times New Roman" w:hAnsi="Times New Roman"/>
          <w:sz w:val="17"/>
          <w:szCs w:val="17"/>
          <w:b w:val="1"/>
          <w:bCs w:val="1"/>
          <w:color w:val="auto"/>
        </w:rPr>
        <w:t>Exhibit 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LAMAR ADVERTISING COMPANY</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CODE OF BUSINESS CONDUCT AND ETHICS</w:t>
      </w:r>
    </w:p>
    <w:p>
      <w:pPr>
        <w:spacing w:after="0" w:line="200" w:lineRule="exact"/>
        <w:rPr>
          <w:sz w:val="20"/>
          <w:szCs w:val="20"/>
          <w:color w:val="auto"/>
        </w:rPr>
      </w:pPr>
    </w:p>
    <w:p>
      <w:pPr>
        <w:spacing w:after="0" w:line="203"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This Code of Business Conduct and Ethics (the “Code”) sets forth legal and ethical standards of conduct for directors, officers and employees of Lamar Advertising Company and its subsidiaries (collectively, the “Company”). This Code is intended to deter wrongdoing and to promote the conduct of all Company business in accordance with high standards of integrity and in compliance with all applicable laws and regulations.</w:t>
      </w:r>
    </w:p>
    <w:p>
      <w:pPr>
        <w:spacing w:after="0" w:line="152" w:lineRule="exact"/>
        <w:rPr>
          <w:sz w:val="20"/>
          <w:szCs w:val="20"/>
          <w:color w:val="auto"/>
        </w:rPr>
      </w:pPr>
    </w:p>
    <w:p>
      <w:pPr>
        <w:ind w:right="920" w:firstLine="648"/>
        <w:spacing w:after="0" w:line="236" w:lineRule="auto"/>
        <w:rPr>
          <w:sz w:val="20"/>
          <w:szCs w:val="20"/>
          <w:color w:val="auto"/>
        </w:rPr>
      </w:pPr>
      <w:r>
        <w:rPr>
          <w:rFonts w:ascii="Times New Roman" w:cs="Times New Roman" w:eastAsia="Times New Roman" w:hAnsi="Times New Roman"/>
          <w:sz w:val="22"/>
          <w:szCs w:val="22"/>
          <w:color w:val="auto"/>
        </w:rPr>
        <w:t>If you have any questions regarding this Code or its application to you in any situation, you should contact your supervisor or the Vice President of Human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Compliance with Laws, Rules and Regulations</w:t>
      </w:r>
    </w:p>
    <w:p>
      <w:pPr>
        <w:spacing w:after="0" w:line="183"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The Company requires that all employees, officers and directors comply with all laws, rules and regulations applicable to the Company wherever it does business. You are expected to use good judgment and common sense in seeking to comply with all applicable laws, rules and regulations and to ask for advice when you are uncertain about them.</w:t>
      </w:r>
    </w:p>
    <w:p>
      <w:pPr>
        <w:spacing w:after="0" w:line="153"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If you become aware of the violation of any law, rule or regulation by the Company, whether by its officers, employees or directors, it is your responsibility to promptly report the matter as outlined under the heading “Reporting and Compliance Procedures” below. While it is the Company’s desire to address matters internally, nothing in this Code should discourage you from reporting any illegal activity, including any violation of the securities laws, antitrust laws, environmental laws or any other federal, state or foreign law, rule or regulation to the appropriate federal or state regulatory authority. Employees, officers and directors shall not discharge, demote, suspend, threaten, harass or in any other manner discriminate against an employee because he or she in good faith reports any such violation. This Code should not be construed to prohibit you from testifying, participating or otherwise assisting in any state or federal administrative, judicial or legislative proceeding or investigation.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Conflicts of Interest</w:t>
      </w:r>
    </w:p>
    <w:p>
      <w:pPr>
        <w:spacing w:after="0" w:line="18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Employees, officers and directors must act in the best interests of the Company. Personal interests must not interfere with or otherwise be harmful to the interests of the Company. Any actual or apparent conflict of interest between personal interests and those of the Company must be handled honestly and ethically in accordance with the following procedures. Any conflict of interest is prohibited unless it has gone through the process of disclosure, consultation and approval set forth below.</w:t>
      </w:r>
    </w:p>
    <w:p>
      <w:pPr>
        <w:spacing w:after="0" w:line="152"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21"/>
          <w:szCs w:val="21"/>
          <w:color w:val="auto"/>
        </w:rPr>
        <w:t>Full disclosure of any actual or apparent conflict is the essential first step to remaining in full compliance with this policy. You must disclose all actual and apparent conflicts of interest, including any material transaction or relationship that reasonably could be expected to give rise to a conflict of interest, to your Regional Manager or, in the event that such individual is involved in the matter, to the Vice President of Human Resources. Executive officers and directors must disclose such matters to the Chair of the Audit Committee or to the member of such committee charged with reviewing conflicts of interest.</w:t>
      </w:r>
    </w:p>
    <w:p>
      <w:pPr>
        <w:spacing w:after="0" w:line="154" w:lineRule="exact"/>
        <w:rPr>
          <w:sz w:val="20"/>
          <w:szCs w:val="20"/>
          <w:color w:val="auto"/>
        </w:rPr>
      </w:pPr>
    </w:p>
    <w:p>
      <w:pPr>
        <w:ind w:right="420" w:firstLine="648"/>
        <w:spacing w:after="0" w:line="225" w:lineRule="auto"/>
        <w:rPr>
          <w:sz w:val="20"/>
          <w:szCs w:val="20"/>
          <w:color w:val="auto"/>
        </w:rPr>
      </w:pPr>
      <w:r>
        <w:rPr>
          <w:rFonts w:ascii="Times New Roman" w:cs="Times New Roman" w:eastAsia="Times New Roman" w:hAnsi="Times New Roman"/>
          <w:sz w:val="22"/>
          <w:szCs w:val="22"/>
          <w:color w:val="auto"/>
        </w:rPr>
        <w:t>The Board of Directors has adopted rules for what activities constitute conflicts of interest and potential conflicts of interest, as well as procedures for determining whether a relation or transaction constitutes a conflict of interest, which it will review and, if appropriate,</w:t>
      </w:r>
    </w:p>
    <w:p>
      <w:pPr>
        <w:sectPr>
          <w:pgSz w:w="11900" w:h="16838" w:orient="portrait"/>
          <w:cols w:equalWidth="0" w:num="1">
            <w:col w:w="11240"/>
          </w:cols>
          <w:pgMar w:left="320" w:top="10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update from time to time. The current version of these rules and procedures are attached as Appendices A and B to this Code.</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Following disclosure, any employee, officer or director must avoid or terminate any activity that involves an actual or reasonably apparent conflict of interest unless it is determined at the appropriate level that the activity is not a conflict of interest or is otherwise not harmful to the Company or improper. Any such determination shall be made by the disinterested members of the Audit Committee in the case of an executive officer or director and as set forth below for any employee.</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Any employee who has a question about whether any situation in which he or she is involved amounts to a conflict of interest or the appearance of one should disclose the pertinent details, preferably in writing, to his or her supervisor. Each supervisor is responsible for discussing the situation with the employee and arriving at a decision after consultation with or notice to the appropriate higher level of management.</w:t>
      </w:r>
    </w:p>
    <w:p>
      <w:pPr>
        <w:spacing w:after="0" w:line="152" w:lineRule="exact"/>
        <w:rPr>
          <w:sz w:val="20"/>
          <w:szCs w:val="20"/>
          <w:color w:val="auto"/>
        </w:rPr>
      </w:pPr>
    </w:p>
    <w:p>
      <w:pPr>
        <w:ind w:right="500" w:firstLine="648"/>
        <w:spacing w:after="0" w:line="225" w:lineRule="auto"/>
        <w:rPr>
          <w:sz w:val="20"/>
          <w:szCs w:val="20"/>
          <w:color w:val="auto"/>
        </w:rPr>
      </w:pPr>
      <w:r>
        <w:rPr>
          <w:rFonts w:ascii="Times New Roman" w:cs="Times New Roman" w:eastAsia="Times New Roman" w:hAnsi="Times New Roman"/>
          <w:sz w:val="22"/>
          <w:szCs w:val="22"/>
          <w:color w:val="auto"/>
        </w:rPr>
        <w:t>No director, director nominee, executive officer or greater than 5% shareholder may enter into any transaction or relationship that is disclosable by the Company pursuant to SEC Reg. S-K, Item 404 without the prior approval of the Audit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w:t>
      </w:r>
    </w:p>
    <w:p>
      <w:pPr>
        <w:spacing w:after="0" w:line="183" w:lineRule="exact"/>
        <w:rPr>
          <w:sz w:val="20"/>
          <w:szCs w:val="20"/>
          <w:color w:val="auto"/>
        </w:rPr>
      </w:pPr>
    </w:p>
    <w:p>
      <w:pPr>
        <w:ind w:right="220" w:firstLine="648"/>
        <w:spacing w:after="0" w:line="215" w:lineRule="auto"/>
        <w:rPr>
          <w:sz w:val="20"/>
          <w:szCs w:val="20"/>
          <w:color w:val="auto"/>
        </w:rPr>
      </w:pPr>
      <w:r>
        <w:rPr>
          <w:rFonts w:ascii="Times New Roman" w:cs="Times New Roman" w:eastAsia="Times New Roman" w:hAnsi="Times New Roman"/>
          <w:sz w:val="22"/>
          <w:szCs w:val="22"/>
          <w:color w:val="auto"/>
        </w:rPr>
        <w:t>Employees, officers and directors who have material non-public information about the Company or other companies, including our suppliers and customers, as a result of their relationship with the Company are prohibited by law and Company policy from trading in securities of the Company or such other companies, as well as from communicating such information to others who might trade on the basis of that information. To help ensure that you do not engage in prohibited insider trading and avoid even the appearance of an improper transaction, the Company has adopted a Policy on Securities Trading and Inside Information, which is available in the Human Resources section of the Company’s Intranet.</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If you are uncertain about the legal constraints on your purchase or sale of any Company securities or the securities of any other company that you are familiar with by virtue of your relationship with the Company, you should refer to the Company’s Policy on Securities Trading and Inside Information and follow the procedures set forth in that policy before making any such purchase or sale.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83" w:lineRule="exact"/>
        <w:rPr>
          <w:sz w:val="20"/>
          <w:szCs w:val="20"/>
          <w:color w:val="auto"/>
        </w:rPr>
      </w:pPr>
    </w:p>
    <w:p>
      <w:pPr>
        <w:ind w:right="120" w:firstLine="648"/>
        <w:spacing w:after="0" w:line="215" w:lineRule="auto"/>
        <w:rPr>
          <w:sz w:val="20"/>
          <w:szCs w:val="20"/>
          <w:color w:val="auto"/>
        </w:rPr>
      </w:pPr>
      <w:r>
        <w:rPr>
          <w:rFonts w:ascii="Times New Roman" w:cs="Times New Roman" w:eastAsia="Times New Roman" w:hAnsi="Times New Roman"/>
          <w:sz w:val="22"/>
          <w:szCs w:val="22"/>
          <w:color w:val="auto"/>
        </w:rPr>
        <w:t>Employees, officers and directors must maintain the confidentiality of confidential information entrusted to them by the Company or other companies, including its suppliers and customers, except when disclosure is authorized by a supervisor or legally mandated. Unauthorized disclosure of any confidential information is prohibited. Additionally, employees should take appropriate precautions to ensure that confidential or sensitive business information, whether it is proprietary to the Company or another company, is not communicated within the Company except to employees who have a need to know such information to perform their responsibilities for the Company.</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Third parties may ask you for information concerning the Company. Employees, officers and directors (other than the authorized spokespersons referred to below) should not discuss internal Company matters with, or disseminate internal Company information to, anyone outside the Company, except as required in the performance of their Company duties and after an appropriate confidentiality agreement is in place. If you receive any inquiries of this nature, you must decline to comment and refer the inquirer to your supervisor or one of the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395" w:right="359" w:bottom="1440" w:gutter="0" w:footer="0" w:header="0"/>
        </w:sectPr>
      </w:pPr>
    </w:p>
    <w:bookmarkStart w:id="126" w:name="page127"/>
    <w:bookmarkEnd w:id="126"/>
    <w:p>
      <w:pPr>
        <w:ind w:right="380"/>
        <w:spacing w:after="0" w:line="225" w:lineRule="auto"/>
        <w:rPr>
          <w:sz w:val="20"/>
          <w:szCs w:val="20"/>
          <w:color w:val="auto"/>
        </w:rPr>
      </w:pPr>
      <w:r>
        <w:rPr>
          <w:rFonts w:ascii="Times New Roman" w:cs="Times New Roman" w:eastAsia="Times New Roman" w:hAnsi="Times New Roman"/>
          <w:sz w:val="22"/>
          <w:szCs w:val="22"/>
          <w:color w:val="auto"/>
        </w:rPr>
        <w:t>spokespersons. The Company’s policies with respect to public disclosure of internal matters are described more fully in the Company’s Disclosure Policy and Practices, a copy of which is available from the Company’s Human Resources Department upon request.</w:t>
      </w:r>
    </w:p>
    <w:p>
      <w:pPr>
        <w:spacing w:after="0" w:line="153" w:lineRule="exact"/>
        <w:rPr>
          <w:sz w:val="20"/>
          <w:szCs w:val="20"/>
          <w:color w:val="auto"/>
        </w:rPr>
      </w:pPr>
    </w:p>
    <w:p>
      <w:pPr>
        <w:ind w:right="200" w:firstLine="648"/>
        <w:spacing w:after="0" w:line="225" w:lineRule="auto"/>
        <w:rPr>
          <w:sz w:val="20"/>
          <w:szCs w:val="20"/>
          <w:color w:val="auto"/>
        </w:rPr>
      </w:pPr>
      <w:r>
        <w:rPr>
          <w:rFonts w:ascii="Times New Roman" w:cs="Times New Roman" w:eastAsia="Times New Roman" w:hAnsi="Times New Roman"/>
          <w:sz w:val="22"/>
          <w:szCs w:val="22"/>
          <w:color w:val="auto"/>
        </w:rPr>
        <w:t>You also must abide by any lawful obligations that you have to your former employer. These obligations may include restrictions on the use and disclosure of confidential information, restrictions on the solicitation of former colleagues to work at the Company and non-competition obligations.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Honest and Ethical Conduct and Fair Dealing</w:t>
      </w:r>
    </w:p>
    <w:p>
      <w:pPr>
        <w:spacing w:after="0" w:line="183"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Each employee, officer and director should endeavor to deal honestly, ethically and fairly with the Company’s suppliers, customers, competitors and employees. Statements regarding the Company’s products and services should not be untrue, misleading, deceptive or fraudulent. You should not take unfair advantage of anyone through manipulation, concealment, abuse of privileged information, misrepresentation of material facts or any other unfair-dealing practice.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Protection and Proper Use of Corporate Assets</w:t>
      </w:r>
    </w:p>
    <w:p>
      <w:pPr>
        <w:spacing w:after="0" w:line="183" w:lineRule="exact"/>
        <w:rPr>
          <w:sz w:val="20"/>
          <w:szCs w:val="20"/>
          <w:color w:val="auto"/>
        </w:rPr>
      </w:pPr>
    </w:p>
    <w:p>
      <w:pPr>
        <w:jc w:val="both"/>
        <w:ind w:right="240" w:firstLine="648"/>
        <w:spacing w:after="0" w:line="225" w:lineRule="auto"/>
        <w:rPr>
          <w:sz w:val="20"/>
          <w:szCs w:val="20"/>
          <w:color w:val="auto"/>
        </w:rPr>
      </w:pPr>
      <w:r>
        <w:rPr>
          <w:rFonts w:ascii="Times New Roman" w:cs="Times New Roman" w:eastAsia="Times New Roman" w:hAnsi="Times New Roman"/>
          <w:sz w:val="22"/>
          <w:szCs w:val="22"/>
          <w:color w:val="auto"/>
        </w:rPr>
        <w:t>All employees, officers and directors should seek to protect the Company’s assets. Theft, carelessness and waste have a direct impact on the Company’s financial performance. Employees, officers and directors should use the Company’s assets and services solely for legitimate business purposes of the Company and not for any unauthorized use.</w:t>
      </w:r>
    </w:p>
    <w:p>
      <w:pPr>
        <w:spacing w:after="0" w:line="153"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22"/>
          <w:szCs w:val="22"/>
          <w:color w:val="auto"/>
        </w:rPr>
        <w:t>All employees, officers and directors should advance the Company’s legitimate interests when the opportunity to do so arises. You should not take for yourself personal opportunities that are discovered through your position with the Company or the use of property or information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Gifts and Gratuities</w:t>
      </w:r>
    </w:p>
    <w:p>
      <w:pPr>
        <w:spacing w:after="0" w:line="18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The use of Company funds or assets for gifts to or entertainment of government officials or employees is prohibited, except to the extent such gifts or entertainment are in compliance with applicable law, nominal in amount (not to exceed $100 in value or such lesser amount as permitted under applicable law), and not given in consideration or expectation of any action by the recipient.</w:t>
      </w:r>
    </w:p>
    <w:p>
      <w:pPr>
        <w:spacing w:after="0" w:line="152"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22"/>
          <w:szCs w:val="22"/>
          <w:color w:val="auto"/>
        </w:rPr>
        <w:t>Employees, officers and directors must not accept, or permit any close relative to accept, any gifts, gratuities or other favors from any customers, suppliers or others doing or seeking to do business with the Company, other than items of nominal value. Any gifts that are not of nominal value should be returned immediately and reported to your supervisor. If immediate return is not practical, they should be given to the Company for charitable disposition or such other disposition as the Company believes appropriate in its sole discretion.</w:t>
      </w:r>
    </w:p>
    <w:p>
      <w:pPr>
        <w:spacing w:after="0" w:line="152"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Bribes and kickbacks are criminal acts, strictly prohibited by law. No Company employee may offer, give, solicit or receive any form of bribe or kickback. Bribes shall be interpreted in the broadest sense to include any type of preferential treatment secured by providing, directly or indirectly, an individual or his or her family members or associates with personal gain in relation to business conducted by or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220"/>
          </w:cols>
          <w:pgMar w:left="320" w:top="1395"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Accuracy of Books and Records and Public Reports</w:t>
      </w:r>
    </w:p>
    <w:p>
      <w:pPr>
        <w:spacing w:after="0" w:line="183"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Employees, officers and directors must honestly and accurately report all business transactions. You are responsible for the accuracy of your records and reports. Accurate information is essential to the Company’s ability to meet legal and regulatory obligations.</w:t>
      </w:r>
    </w:p>
    <w:p>
      <w:pPr>
        <w:spacing w:after="0" w:line="15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1"/>
          <w:szCs w:val="21"/>
          <w:color w:val="auto"/>
        </w:rPr>
        <w:t>All Company books, records and accounts shall be maintained in accordance with all applicable regulations and standards and accurately reflect the true nature of the transactions they record. The financial statements of the Company shall conform to generally accepted accounting rules and the Company’s accounting policies. No undisclosed or unrecorded account or fund shall be established for any purpose. No false or misleading entries shall be made in the Company’s books or records for any reason, and no disbursement of corporate funds or other corporate property shall be made without adequate supporting documentation.</w:t>
      </w:r>
    </w:p>
    <w:p>
      <w:pPr>
        <w:spacing w:after="0" w:line="154" w:lineRule="exact"/>
        <w:rPr>
          <w:sz w:val="20"/>
          <w:szCs w:val="20"/>
          <w:color w:val="auto"/>
        </w:rPr>
      </w:pPr>
    </w:p>
    <w:p>
      <w:pPr>
        <w:ind w:right="780" w:firstLine="648"/>
        <w:spacing w:after="0" w:line="255" w:lineRule="auto"/>
        <w:rPr>
          <w:sz w:val="20"/>
          <w:szCs w:val="20"/>
          <w:color w:val="auto"/>
        </w:rPr>
      </w:pPr>
      <w:r>
        <w:rPr>
          <w:rFonts w:ascii="Times New Roman" w:cs="Times New Roman" w:eastAsia="Times New Roman" w:hAnsi="Times New Roman"/>
          <w:sz w:val="21"/>
          <w:szCs w:val="21"/>
          <w:color w:val="auto"/>
        </w:rPr>
        <w:t>It is the policy of the Company to provide full, fair, accurate, timely and understandable disclosure in reports and documents filed with, or submitted to, the Securities and Exchange Commission and in other public communications.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Waivers of this Code of Business Conduct and Ethics</w:t>
      </w:r>
    </w:p>
    <w:p>
      <w:pPr>
        <w:spacing w:after="0" w:line="183"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While some of the policies contained in this Code must be strictly adhered to and no exceptions can be allowed, in other cases exceptions may be possible. Any employee or non-executive officer who believes that an exception to any of these policies is appropriate in his or her case should first contact his or her immediate supervisor. If the supervisor agrees that an exception is appropriate, the approval of the Regional Manager must be obtained. Each Regional Manager shall be responsible for maintaining a complete record of all requests for exceptions to any of these policies and the disposition of such requests.</w:t>
      </w:r>
    </w:p>
    <w:p>
      <w:pPr>
        <w:spacing w:after="0" w:line="152" w:lineRule="exact"/>
        <w:rPr>
          <w:sz w:val="20"/>
          <w:szCs w:val="20"/>
          <w:color w:val="auto"/>
        </w:rPr>
      </w:pPr>
    </w:p>
    <w:p>
      <w:pPr>
        <w:jc w:val="both"/>
        <w:ind w:right="100" w:firstLine="648"/>
        <w:spacing w:after="0" w:line="220" w:lineRule="auto"/>
        <w:rPr>
          <w:sz w:val="20"/>
          <w:szCs w:val="20"/>
          <w:color w:val="auto"/>
        </w:rPr>
      </w:pPr>
      <w:r>
        <w:rPr>
          <w:rFonts w:ascii="Times New Roman" w:cs="Times New Roman" w:eastAsia="Times New Roman" w:hAnsi="Times New Roman"/>
          <w:sz w:val="22"/>
          <w:szCs w:val="22"/>
          <w:color w:val="auto"/>
        </w:rPr>
        <w:t>Any executive officer or director who seeks an exception to any of these policies should contact the Company’s General Counsel. Any waiver of this Code for executive officers or directors or any change to this Code that applies to executive officers or directors may be made only by the disinterested members of the Board of Directors of the Company and will be disclosed as required by applicable law or stock market regulation.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Reporting and Compliance Procedures</w:t>
      </w:r>
    </w:p>
    <w:p>
      <w:pPr>
        <w:spacing w:after="0" w:line="183" w:lineRule="exact"/>
        <w:rPr>
          <w:sz w:val="20"/>
          <w:szCs w:val="20"/>
          <w:color w:val="auto"/>
        </w:rPr>
      </w:pPr>
    </w:p>
    <w:p>
      <w:pPr>
        <w:ind w:right="220" w:firstLine="648"/>
        <w:spacing w:after="0" w:line="224" w:lineRule="auto"/>
        <w:rPr>
          <w:sz w:val="20"/>
          <w:szCs w:val="20"/>
          <w:color w:val="auto"/>
        </w:rPr>
      </w:pPr>
      <w:r>
        <w:rPr>
          <w:rFonts w:ascii="Times New Roman" w:cs="Times New Roman" w:eastAsia="Times New Roman" w:hAnsi="Times New Roman"/>
          <w:sz w:val="21"/>
          <w:szCs w:val="21"/>
          <w:color w:val="auto"/>
        </w:rPr>
        <w:t>Every employee, officer and director has the responsibility to ask questions, seek guidance, report suspected violations and express concerns regarding compliance with this Code. Any employee, officer or director who knows or believes that any other employee or representative of the Company has engaged or is engaging in Company-related conduct that violates applicable law or this Code should report such information via Lamar Safe Workplace by Convercent, as described below. You may report such conduct openly or anonymously without fear of retaliation. The Company will not discipline, discriminate against or retaliate against any employee who reports such conduct in good faith, whether or not such information is ultimately proven to be correct, or who cooperates in any investigation or inquiry regarding such conduct.</w:t>
      </w:r>
    </w:p>
    <w:p>
      <w:pPr>
        <w:spacing w:after="0" w:line="150"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22"/>
          <w:szCs w:val="22"/>
          <w:color w:val="auto"/>
        </w:rPr>
        <w:t>You may report violations of this Code via Lamar Safe Workplace by Convercent, including on a confidential or anonymous basis, as follows: by logging on to (</w:t>
      </w:r>
      <w:r>
        <w:rPr>
          <w:rFonts w:ascii="Times New Roman" w:cs="Times New Roman" w:eastAsia="Times New Roman" w:hAnsi="Times New Roman"/>
          <w:sz w:val="22"/>
          <w:szCs w:val="22"/>
          <w:i w:val="1"/>
          <w:iCs w:val="1"/>
          <w:color w:val="auto"/>
        </w:rPr>
        <w:t>website</w:t>
      </w:r>
      <w:r>
        <w:rPr>
          <w:rFonts w:ascii="Times New Roman" w:cs="Times New Roman" w:eastAsia="Times New Roman" w:hAnsi="Times New Roman"/>
          <w:sz w:val="22"/>
          <w:szCs w:val="22"/>
          <w:color w:val="auto"/>
        </w:rPr>
        <w:t>) or by calling toll-free (</w:t>
      </w:r>
      <w:r>
        <w:rPr>
          <w:rFonts w:ascii="Times New Roman" w:cs="Times New Roman" w:eastAsia="Times New Roman" w:hAnsi="Times New Roman"/>
          <w:sz w:val="22"/>
          <w:szCs w:val="22"/>
          <w:i w:val="1"/>
          <w:iCs w:val="1"/>
          <w:color w:val="auto"/>
        </w:rPr>
        <w:t>phone number</w:t>
      </w:r>
      <w:r>
        <w:rPr>
          <w:rFonts w:ascii="Times New Roman" w:cs="Times New Roman" w:eastAsia="Times New Roman" w:hAnsi="Times New Roman"/>
          <w:sz w:val="22"/>
          <w:szCs w:val="22"/>
          <w:color w:val="auto"/>
        </w:rPr>
        <w:t>) 24 hours a day. While we prefer that you identify yourself when reporting violations so that we may follow up with you, as necessary, for additional information, you may leave messages anonymously if you wish. All violations or suspected violations of this Code reported to Lamar Safe Workplace by Convercent will be forwarded to the Company’s General Counsel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00"/>
          </w:cols>
          <w:pgMar w:left="320" w:top="1391" w:right="379" w:bottom="1440" w:gutter="0" w:footer="0" w:header="0"/>
        </w:sectPr>
      </w:pPr>
    </w:p>
    <w:bookmarkStart w:id="128" w:name="page129"/>
    <w:bookmarkEnd w:id="128"/>
    <w:p>
      <w:pPr>
        <w:ind w:firstLine="648"/>
        <w:spacing w:after="0" w:line="211" w:lineRule="auto"/>
        <w:rPr>
          <w:sz w:val="20"/>
          <w:szCs w:val="20"/>
          <w:color w:val="auto"/>
        </w:rPr>
      </w:pPr>
      <w:r>
        <w:rPr>
          <w:rFonts w:ascii="Times New Roman" w:cs="Times New Roman" w:eastAsia="Times New Roman" w:hAnsi="Times New Roman"/>
          <w:sz w:val="22"/>
          <w:szCs w:val="22"/>
          <w:color w:val="auto"/>
        </w:rPr>
        <w:t>If the Company’s General Counsel receives information regarding an alleged violation of this Code, he shall, as appropriate, (a) evaluate such information, (b) if the alleged violation involves an executive officer or a director, inform the Chief Executive Officer and Board of Directors of the alleged violation, (c) determine whether it is necessary to conduct an informal inquiry or a formal investigation and, if so, initiate such inquiry or investigation and (d) report the results of any such inquiry or investigation, together with a recommendation as to disposition of the matter, to the Chief Executive Officer for action, or if the alleged violation involves an executive officer or a director, report the results of any such inquiry or investigation to the Board of Directors or a committee thereof. Employees, officers and directors are expected to cooperate fully with any inquiry or investigation by the Company regarding an alleged violation of this Code. Failure to cooperate with any such inquiry or investigation may result in disciplinary action, up to and including discharge.</w:t>
      </w:r>
    </w:p>
    <w:p>
      <w:pPr>
        <w:spacing w:after="0" w:line="158" w:lineRule="exact"/>
        <w:rPr>
          <w:sz w:val="20"/>
          <w:szCs w:val="20"/>
          <w:color w:val="auto"/>
        </w:rPr>
      </w:pPr>
    </w:p>
    <w:p>
      <w:pPr>
        <w:ind w:right="220" w:firstLine="648"/>
        <w:spacing w:after="0" w:line="231" w:lineRule="auto"/>
        <w:rPr>
          <w:sz w:val="20"/>
          <w:szCs w:val="20"/>
          <w:color w:val="auto"/>
        </w:rPr>
      </w:pPr>
      <w:r>
        <w:rPr>
          <w:rFonts w:ascii="Times New Roman" w:cs="Times New Roman" w:eastAsia="Times New Roman" w:hAnsi="Times New Roman"/>
          <w:sz w:val="21"/>
          <w:szCs w:val="21"/>
          <w:color w:val="auto"/>
        </w:rPr>
        <w:t>The Company shall determine whether violations of this Code have occurred and, if so, shall determine the disciplinary measures to be taken against any employee who has violated this Code. In the event that the alleged violation involves an executive officer or a director, the disinterested members of the Board of Directors shall determine whether a violation of this Code has occurred and, if so, shall determine the disciplinary measures to be taken against such executive officer or director.</w:t>
      </w:r>
    </w:p>
    <w:p>
      <w:pPr>
        <w:spacing w:after="0" w:line="150"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Failure to comply with the standards outlined in this Code will result in disciplinary action including, but not limited to, reprimands, warnings, probation or suspension without pay, demotions, reductions in salary, discharge and restitution. Certain violations of this Code may require the Company to refer the matter to the appropriate criminal or civil authorities for investigation or prosecution. Moreover, any supervisor who directs or approves of any conduct in violation of this Code, or who has knowledge of such conduct and does not immediately report it, also will be subject to disciplinary action, up to and including discharge.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Concerns Regarding to Accounting or Audit Matters</w:t>
      </w:r>
    </w:p>
    <w:p>
      <w:pPr>
        <w:spacing w:after="0" w:line="183"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Employees with concerns regarding questionable accounting or auditing matters or complaints regarding accounting, internal accounting controls or auditing matters may confidentially, and anonymously if they wish, submit such concerns or complaints to Lamar Safe Workplace by Convercent as described above. See “Reporting and Compliance Procedures.” All such complaints will be forwarded to the Audit Committee of the Board of Directors.</w:t>
      </w:r>
    </w:p>
    <w:p>
      <w:pPr>
        <w:spacing w:after="0" w:line="152"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The Audit Committee will evaluate the merits of any complaints received by it and authorize such follow-up actions, if any, as it deems necessary or appropriate to address the substance of the complaint.</w:t>
      </w:r>
    </w:p>
    <w:p>
      <w:pPr>
        <w:spacing w:after="0" w:line="150" w:lineRule="exact"/>
        <w:rPr>
          <w:sz w:val="20"/>
          <w:szCs w:val="20"/>
          <w:color w:val="auto"/>
        </w:rPr>
      </w:pPr>
    </w:p>
    <w:p>
      <w:pPr>
        <w:ind w:right="560" w:firstLine="648"/>
        <w:spacing w:after="0" w:line="236" w:lineRule="auto"/>
        <w:rPr>
          <w:sz w:val="20"/>
          <w:szCs w:val="20"/>
          <w:color w:val="auto"/>
        </w:rPr>
      </w:pPr>
      <w:r>
        <w:rPr>
          <w:rFonts w:ascii="Times New Roman" w:cs="Times New Roman" w:eastAsia="Times New Roman" w:hAnsi="Times New Roman"/>
          <w:sz w:val="22"/>
          <w:szCs w:val="22"/>
          <w:color w:val="auto"/>
        </w:rPr>
        <w:t>The Company will not discipline, discriminate against or retaliate against any employee who reports a complaint or concern (unless the employee is found to have knowingly and willfully made a false report).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Dissemination and Amendment</w:t>
      </w:r>
    </w:p>
    <w:p>
      <w:pPr>
        <w:spacing w:after="0" w:line="183" w:lineRule="exact"/>
        <w:rPr>
          <w:sz w:val="20"/>
          <w:szCs w:val="20"/>
          <w:color w:val="auto"/>
        </w:rPr>
      </w:pPr>
    </w:p>
    <w:p>
      <w:pPr>
        <w:jc w:val="both"/>
        <w:ind w:right="480" w:firstLine="648"/>
        <w:spacing w:after="0" w:line="225" w:lineRule="auto"/>
        <w:rPr>
          <w:sz w:val="20"/>
          <w:szCs w:val="20"/>
          <w:color w:val="auto"/>
        </w:rPr>
      </w:pPr>
      <w:r>
        <w:rPr>
          <w:rFonts w:ascii="Times New Roman" w:cs="Times New Roman" w:eastAsia="Times New Roman" w:hAnsi="Times New Roman"/>
          <w:sz w:val="22"/>
          <w:szCs w:val="22"/>
          <w:color w:val="auto"/>
        </w:rPr>
        <w:t>This Code shall be distributed to each employee, officer and director of the Company. If requested by Company, any employee, officer and director shall be required to certify that he or she has received, read and understood the Code and has complied with its terms.</w:t>
      </w:r>
    </w:p>
    <w:p>
      <w:pPr>
        <w:spacing w:after="0" w:line="153" w:lineRule="exact"/>
        <w:rPr>
          <w:sz w:val="20"/>
          <w:szCs w:val="20"/>
          <w:color w:val="auto"/>
        </w:rPr>
      </w:pPr>
    </w:p>
    <w:p>
      <w:pPr>
        <w:ind w:right="560" w:firstLine="648"/>
        <w:spacing w:after="0" w:line="236" w:lineRule="auto"/>
        <w:rPr>
          <w:sz w:val="20"/>
          <w:szCs w:val="20"/>
          <w:color w:val="auto"/>
        </w:rPr>
      </w:pPr>
      <w:r>
        <w:rPr>
          <w:rFonts w:ascii="Times New Roman" w:cs="Times New Roman" w:eastAsia="Times New Roman" w:hAnsi="Times New Roman"/>
          <w:sz w:val="22"/>
          <w:szCs w:val="22"/>
          <w:color w:val="auto"/>
        </w:rPr>
        <w:t>The Company reserves the right to amend, alter or terminate this Code at any time for any reason. The most current version of this Code can be found in the Human Resources section of the Company’s Intranet.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00"/>
          </w:cols>
          <w:pgMar w:left="320" w:top="1395" w:right="379" w:bottom="1440" w:gutter="0" w:footer="0" w:header="0"/>
        </w:sectPr>
      </w:pPr>
    </w:p>
    <w:bookmarkStart w:id="129" w:name="page130"/>
    <w:bookmarkEnd w:id="129"/>
    <w:p>
      <w:pPr>
        <w:ind w:firstLine="648"/>
        <w:spacing w:after="0" w:line="236" w:lineRule="auto"/>
        <w:rPr>
          <w:sz w:val="20"/>
          <w:szCs w:val="20"/>
          <w:color w:val="auto"/>
        </w:rPr>
      </w:pPr>
      <w:r>
        <w:rPr>
          <w:rFonts w:ascii="Times New Roman" w:cs="Times New Roman" w:eastAsia="Times New Roman" w:hAnsi="Times New Roman"/>
          <w:sz w:val="22"/>
          <w:szCs w:val="22"/>
          <w:color w:val="auto"/>
        </w:rPr>
        <w:t>This document is not an employment contract between the Company and any of its employees, officers or directors and does not alter the Company’s at-will employment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0980"/>
          </w:cols>
          <w:pgMar w:left="320" w:top="1395" w:right="599" w:bottom="1440" w:gutter="0" w:footer="0" w:header="0"/>
        </w:sectPr>
      </w:pPr>
    </w:p>
    <w:bookmarkStart w:id="130" w:name="page131"/>
    <w:bookmarkEnd w:id="130"/>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Conflict of Interest Rules</w:t>
      </w:r>
    </w:p>
    <w:p>
      <w:pPr>
        <w:spacing w:after="0" w:line="179"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Improper Conflicts of Interest</w:t>
      </w:r>
    </w:p>
    <w:p>
      <w:pPr>
        <w:spacing w:after="0" w:line="183" w:lineRule="exact"/>
        <w:rPr>
          <w:sz w:val="20"/>
          <w:szCs w:val="20"/>
          <w:color w:val="auto"/>
        </w:rPr>
      </w:pPr>
    </w:p>
    <w:p>
      <w:pPr>
        <w:ind w:firstLine="212"/>
        <w:spacing w:after="0" w:line="220" w:lineRule="auto"/>
        <w:rPr>
          <w:sz w:val="20"/>
          <w:szCs w:val="20"/>
          <w:color w:val="auto"/>
        </w:rPr>
      </w:pPr>
      <w:r>
        <w:rPr>
          <w:rFonts w:ascii="Times New Roman" w:cs="Times New Roman" w:eastAsia="Times New Roman" w:hAnsi="Times New Roman"/>
          <w:sz w:val="22"/>
          <w:szCs w:val="22"/>
          <w:color w:val="auto"/>
        </w:rPr>
        <w:t>The Board of Directors has adopted the following rules to aid in determining whether a relationship or transaction constitutes a conflict of interest. The board has determined that the following involve an improper conflict of interest under the Company’s Code of Business Conduct and Ethics. This list is not exhaustive and is subject to review and revision by the Board from time to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Employees and Executive Officers</w:t>
      </w:r>
      <w:r>
        <w:rPr>
          <w:rFonts w:ascii="Times New Roman" w:cs="Times New Roman" w:eastAsia="Times New Roman" w:hAnsi="Times New Roman"/>
          <w:sz w:val="22"/>
          <w:szCs w:val="22"/>
          <w:color w:val="auto"/>
        </w:rPr>
        <w:t>. Employees and executive officers must not:</w:t>
      </w:r>
    </w:p>
    <w:p>
      <w:pPr>
        <w:spacing w:after="0" w:line="179" w:lineRule="exact"/>
        <w:rPr>
          <w:sz w:val="20"/>
          <w:szCs w:val="20"/>
          <w:color w:val="auto"/>
        </w:rPr>
      </w:pPr>
    </w:p>
    <w:p>
      <w:pPr>
        <w:ind w:right="20" w:firstLine="224"/>
        <w:spacing w:after="0" w:line="225" w:lineRule="auto"/>
        <w:tabs>
          <w:tab w:leader="none" w:pos="67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services as an employee, officer, director, advisor, consultant (directly or through an entity) or in any other capacity for a significant customer, significant supplier or direct competitor of the Company, other than at the request, or with the prior approval, of the Company;</w:t>
      </w:r>
    </w:p>
    <w:p>
      <w:pPr>
        <w:spacing w:after="0" w:line="152" w:lineRule="exact"/>
        <w:rPr>
          <w:rFonts w:ascii="Times New Roman" w:cs="Times New Roman" w:eastAsia="Times New Roman" w:hAnsi="Times New Roman"/>
          <w:sz w:val="22"/>
          <w:szCs w:val="22"/>
          <w:color w:val="auto"/>
        </w:rPr>
      </w:pPr>
    </w:p>
    <w:p>
      <w:pPr>
        <w:ind w:right="440" w:firstLine="224"/>
        <w:spacing w:after="0" w:line="225" w:lineRule="auto"/>
        <w:tabs>
          <w:tab w:leader="none" w:pos="68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 financial interest in a significant supplier or significant customer of the Company, other than an investment representing less than one percent (1%) of the voting power of a publicly-held company or less than five percent (5%) of the voting power of a privately-held company;</w:t>
      </w:r>
    </w:p>
    <w:p>
      <w:pPr>
        <w:spacing w:after="0" w:line="152" w:lineRule="exact"/>
        <w:rPr>
          <w:rFonts w:ascii="Times New Roman" w:cs="Times New Roman" w:eastAsia="Times New Roman" w:hAnsi="Times New Roman"/>
          <w:sz w:val="22"/>
          <w:szCs w:val="22"/>
          <w:color w:val="auto"/>
        </w:rPr>
      </w:pPr>
    </w:p>
    <w:p>
      <w:pPr>
        <w:ind w:right="600" w:firstLine="224"/>
        <w:spacing w:after="0" w:line="236" w:lineRule="auto"/>
        <w:tabs>
          <w:tab w:leader="none" w:pos="67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 financial interest in a direct competitor of the Company, other than an investment representing less than one percent (1%) of the voting power of a publicly-held company; or</w:t>
      </w:r>
    </w:p>
    <w:p>
      <w:pPr>
        <w:spacing w:after="0" w:line="150" w:lineRule="exact"/>
        <w:rPr>
          <w:rFonts w:ascii="Times New Roman" w:cs="Times New Roman" w:eastAsia="Times New Roman" w:hAnsi="Times New Roman"/>
          <w:sz w:val="22"/>
          <w:szCs w:val="22"/>
          <w:color w:val="auto"/>
        </w:rPr>
      </w:pPr>
    </w:p>
    <w:p>
      <w:pPr>
        <w:ind w:right="260" w:firstLine="224"/>
        <w:spacing w:after="0" w:line="225" w:lineRule="auto"/>
        <w:tabs>
          <w:tab w:leader="none" w:pos="68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otherwise assist or participate, directly or indirectly, in a close relative’s involvement with or investment in a significant supplier, significant customer or direct competitor of the Company in a manner that would be prohibited for the employee or executive officer under any of the prohibited activities listed above.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Non-Employee Directors</w:t>
      </w:r>
      <w:r>
        <w:rPr>
          <w:rFonts w:ascii="Times New Roman" w:cs="Times New Roman" w:eastAsia="Times New Roman" w:hAnsi="Times New Roman"/>
          <w:sz w:val="22"/>
          <w:szCs w:val="22"/>
          <w:color w:val="auto"/>
        </w:rPr>
        <w:t>. A non-employee director must not:</w:t>
      </w:r>
    </w:p>
    <w:p>
      <w:pPr>
        <w:spacing w:after="0" w:line="179" w:lineRule="exact"/>
        <w:rPr>
          <w:sz w:val="20"/>
          <w:szCs w:val="20"/>
          <w:color w:val="auto"/>
        </w:rPr>
      </w:pPr>
    </w:p>
    <w:p>
      <w:pPr>
        <w:ind w:right="580" w:firstLine="224"/>
        <w:spacing w:after="0" w:line="236" w:lineRule="auto"/>
        <w:tabs>
          <w:tab w:leader="none" w:pos="67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services as an employee, officer, director, advisor, consultant (directly or through an entity) or in any other capacity for a direct competitor of the Company;</w:t>
      </w:r>
    </w:p>
    <w:p>
      <w:pPr>
        <w:spacing w:after="0" w:line="150" w:lineRule="exact"/>
        <w:rPr>
          <w:rFonts w:ascii="Times New Roman" w:cs="Times New Roman" w:eastAsia="Times New Roman" w:hAnsi="Times New Roman"/>
          <w:sz w:val="22"/>
          <w:szCs w:val="22"/>
          <w:color w:val="auto"/>
        </w:rPr>
      </w:pPr>
    </w:p>
    <w:p>
      <w:pPr>
        <w:ind w:right="580" w:firstLine="224"/>
        <w:spacing w:after="0" w:line="236" w:lineRule="auto"/>
        <w:tabs>
          <w:tab w:leader="none" w:pos="68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a financial interest in a direct competitor of the Company, other than an investment representing less than one percent (1%) of the outstanding shares of a publicly-held company;</w:t>
      </w:r>
    </w:p>
    <w:p>
      <w:pPr>
        <w:spacing w:after="0" w:line="150" w:lineRule="exact"/>
        <w:rPr>
          <w:rFonts w:ascii="Times New Roman" w:cs="Times New Roman" w:eastAsia="Times New Roman" w:hAnsi="Times New Roman"/>
          <w:sz w:val="22"/>
          <w:szCs w:val="22"/>
          <w:color w:val="auto"/>
        </w:rPr>
      </w:pPr>
    </w:p>
    <w:p>
      <w:pPr>
        <w:ind w:right="220" w:firstLine="224"/>
        <w:spacing w:after="0" w:line="236" w:lineRule="auto"/>
        <w:tabs>
          <w:tab w:leader="none" w:pos="67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his or her position with the Company to influence any decision of the Company relating to a contract or transaction with a supplier or customer of the Company if the director or a close relative of the director:</w:t>
      </w:r>
    </w:p>
    <w:p>
      <w:pPr>
        <w:spacing w:after="0" w:line="150" w:lineRule="exact"/>
        <w:rPr>
          <w:rFonts w:ascii="Times New Roman" w:cs="Times New Roman" w:eastAsia="Times New Roman" w:hAnsi="Times New Roman"/>
          <w:sz w:val="22"/>
          <w:szCs w:val="22"/>
          <w:color w:val="auto"/>
        </w:rPr>
      </w:pPr>
    </w:p>
    <w:p>
      <w:pPr>
        <w:ind w:left="980" w:right="200" w:hanging="324"/>
        <w:spacing w:after="0" w:line="236" w:lineRule="auto"/>
        <w:tabs>
          <w:tab w:leader="none" w:pos="97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performs services as an employee, officer, director, advisor, consultant (directly or through an entity) or in any other capacity for such supplier or customer; or</w:t>
      </w:r>
    </w:p>
    <w:p>
      <w:pPr>
        <w:spacing w:after="0" w:line="150" w:lineRule="exact"/>
        <w:rPr>
          <w:rFonts w:ascii="Times New Roman" w:cs="Times New Roman" w:eastAsia="Times New Roman" w:hAnsi="Times New Roman"/>
          <w:sz w:val="22"/>
          <w:szCs w:val="22"/>
          <w:color w:val="auto"/>
        </w:rPr>
      </w:pPr>
    </w:p>
    <w:p>
      <w:pPr>
        <w:ind w:left="980" w:right="100" w:hanging="324"/>
        <w:spacing w:after="0" w:line="236" w:lineRule="auto"/>
        <w:tabs>
          <w:tab w:leader="none" w:pos="97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 financial interest in such supplier or customer, other than an investment representing less than one percent (1%) of the outstanding shares of a publicly-held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7"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00"/>
          </w:cols>
          <w:pgMar w:left="320" w:top="1440" w:right="379" w:bottom="1440" w:gutter="0" w:footer="0" w:header="0"/>
        </w:sectPr>
      </w:pPr>
    </w:p>
    <w:bookmarkStart w:id="131" w:name="page132"/>
    <w:bookmarkEnd w:id="131"/>
    <w:p>
      <w:pPr>
        <w:ind w:right="180" w:firstLine="224"/>
        <w:spacing w:after="0" w:line="225" w:lineRule="auto"/>
        <w:tabs>
          <w:tab w:leader="none" w:pos="6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otherwise assist or participate, directly or indirectly, in a close relative’s involvement with or investment in a significant supplier, significant customer or direct competitor of the Company in a manner that would be prohibited for the non-employee director under any of the prohibited activities listed above.</w:t>
      </w:r>
    </w:p>
    <w:p>
      <w:pPr>
        <w:spacing w:after="0" w:line="153"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22"/>
          <w:szCs w:val="22"/>
          <w:color w:val="auto"/>
        </w:rPr>
        <w:t>A “close relative” of a person includes a spouse, parent, sibling, child, mother- or father-in-law, son- or daughter-in-law or brother- or sister-in-law, and any other relative living in the same home with the employee, officer or director. A “significant customer” is a customer that has made during the Company’s last full fiscal year, or proposes to make during the Company’s current fiscal year, payments to the Company for property or services in excess of five (5) percent of (i) the Company’s consolidated gross revenues for its last full fiscal year or (ii) the customer’s consolidated gross revenues for its last full fiscal year. A “significant supplier” is a supplier to which the Company has made during the Company’s last full fiscal year, or proposes to make during the Company’s current fiscal year, payments for property or services in excess of five (5) percent of (i) the Company’s consolidated gross revenues for its last full fiscal year or (ii) the supplier’s consolidated gross revenues for its last full fiscal year. A “direct competitor” is an entity principally engaged in the outdoor advertising business with which the Company competes.</w:t>
      </w:r>
    </w:p>
    <w:p>
      <w:pPr>
        <w:spacing w:after="0" w:line="148"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Potential Conflicts of Interest Requiring Disclosure</w:t>
      </w:r>
    </w:p>
    <w:p>
      <w:pPr>
        <w:spacing w:after="0" w:line="183" w:lineRule="exact"/>
        <w:rPr>
          <w:sz w:val="20"/>
          <w:szCs w:val="20"/>
          <w:color w:val="auto"/>
        </w:rPr>
      </w:pPr>
    </w:p>
    <w:p>
      <w:pPr>
        <w:jc w:val="both"/>
        <w:ind w:firstLine="266"/>
        <w:spacing w:after="0" w:line="225" w:lineRule="auto"/>
        <w:rPr>
          <w:sz w:val="20"/>
          <w:szCs w:val="20"/>
          <w:color w:val="auto"/>
        </w:rPr>
      </w:pPr>
      <w:r>
        <w:rPr>
          <w:rFonts w:ascii="Times New Roman" w:cs="Times New Roman" w:eastAsia="Times New Roman" w:hAnsi="Times New Roman"/>
          <w:sz w:val="22"/>
          <w:szCs w:val="22"/>
          <w:color w:val="auto"/>
        </w:rPr>
        <w:t>The Board of Directors has determined that the following involve potential conflicts of interest that must be disclosed under the Company’s Code of Business Conduct and Ethics and then addressed in any manner determined in accordance with the procedures thereunder:</w:t>
      </w:r>
    </w:p>
    <w:p>
      <w:pPr>
        <w:spacing w:after="0" w:line="179" w:lineRule="exact"/>
        <w:rPr>
          <w:sz w:val="20"/>
          <w:szCs w:val="20"/>
          <w:color w:val="auto"/>
        </w:rPr>
      </w:pPr>
    </w:p>
    <w:p>
      <w:pPr>
        <w:ind w:left="980" w:right="40" w:hanging="324"/>
        <w:spacing w:after="0" w:line="220" w:lineRule="auto"/>
        <w:tabs>
          <w:tab w:leader="none" w:pos="974" w:val="left"/>
        </w:tabs>
        <w:numPr>
          <w:ilvl w:val="0"/>
          <w:numId w:val="49"/>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An employee, executive officer or director has a close relative who serves as an officer or director of a significant supplier, significant customer or direct competitor of the Company and such service would have been prohibited if the employee, executive officer or director were serving in that role under Section 1 of these rules.</w:t>
      </w:r>
    </w:p>
    <w:p>
      <w:pPr>
        <w:spacing w:after="0" w:line="177" w:lineRule="exact"/>
        <w:rPr>
          <w:rFonts w:ascii="Times New Roman" w:cs="Times New Roman" w:eastAsia="Times New Roman" w:hAnsi="Times New Roman"/>
          <w:sz w:val="25"/>
          <w:szCs w:val="25"/>
          <w:color w:val="auto"/>
        </w:rPr>
      </w:pPr>
    </w:p>
    <w:p>
      <w:pPr>
        <w:jc w:val="both"/>
        <w:ind w:left="980" w:right="340" w:hanging="324"/>
        <w:spacing w:after="0" w:line="216" w:lineRule="auto"/>
        <w:tabs>
          <w:tab w:leader="none" w:pos="974" w:val="left"/>
        </w:tabs>
        <w:numPr>
          <w:ilvl w:val="0"/>
          <w:numId w:val="49"/>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Any other material financial interest of an employee, executive officer or director in connection with any business relationship with the Company or any similar interest of a close relative of any of them that is known to the related employee, executive officer or director.</w:t>
      </w: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45" w:lineRule="exact"/>
        <w:rPr>
          <w:rFonts w:ascii="Times New Roman" w:cs="Times New Roman" w:eastAsia="Times New Roman" w:hAnsi="Times New Roman"/>
          <w:sz w:val="25"/>
          <w:szCs w:val="25"/>
          <w:color w:val="auto"/>
        </w:rPr>
      </w:pPr>
    </w:p>
    <w:p>
      <w:pPr>
        <w:ind w:left="5580" w:hanging="136"/>
        <w:spacing w:after="0"/>
        <w:tabs>
          <w:tab w:leader="none" w:pos="55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395"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Procedures for Determining Conflicts of Interest and Waivers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216"/>
        <w:spacing w:after="0" w:line="236" w:lineRule="auto"/>
        <w:rPr>
          <w:sz w:val="20"/>
          <w:szCs w:val="20"/>
          <w:color w:val="auto"/>
        </w:rPr>
      </w:pPr>
      <w:r>
        <w:rPr>
          <w:rFonts w:ascii="Times New Roman" w:cs="Times New Roman" w:eastAsia="Times New Roman" w:hAnsi="Times New Roman"/>
          <w:sz w:val="22"/>
          <w:szCs w:val="22"/>
          <w:color w:val="auto"/>
        </w:rPr>
        <w:t>In determining whether a conflict of interest exists and whether to waive a Code of Business Conduct and Ethics provision in a particular circumstance, the board should also consider:</w:t>
      </w:r>
    </w:p>
    <w:p>
      <w:pPr>
        <w:spacing w:after="0" w:line="173" w:lineRule="exact"/>
        <w:rPr>
          <w:sz w:val="20"/>
          <w:szCs w:val="20"/>
          <w:color w:val="auto"/>
        </w:rPr>
      </w:pPr>
    </w:p>
    <w:p>
      <w:pPr>
        <w:ind w:left="980" w:hanging="324"/>
        <w:spacing w:after="0" w:line="217" w:lineRule="auto"/>
        <w:tabs>
          <w:tab w:leader="none" w:pos="974" w:val="left"/>
        </w:tabs>
        <w:numPr>
          <w:ilvl w:val="0"/>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b w:val="1"/>
          <w:bCs w:val="1"/>
          <w:color w:val="auto"/>
        </w:rPr>
        <w:t xml:space="preserve">the person involved in the potential conflict </w:t>
      </w:r>
      <w:r>
        <w:rPr>
          <w:rFonts w:ascii="Times New Roman" w:cs="Times New Roman" w:eastAsia="Times New Roman" w:hAnsi="Times New Roman"/>
          <w:sz w:val="22"/>
          <w:szCs w:val="22"/>
          <w:color w:val="auto"/>
        </w:rPr>
        <w:t>(For example, whether the person is an executive officer or a director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if a director of the Company, whether the person is an independent director. The more peripheral the person’s relationship to the Company is, the less likely that person is to influence the Company’s day-to-day operations and therefore the less likely the circumstance is to be disadvantageous to the Company);</w:t>
      </w:r>
    </w:p>
    <w:p>
      <w:pPr>
        <w:spacing w:after="0" w:line="174" w:lineRule="exact"/>
        <w:rPr>
          <w:rFonts w:ascii="Times New Roman" w:cs="Times New Roman" w:eastAsia="Times New Roman" w:hAnsi="Times New Roman"/>
          <w:sz w:val="25"/>
          <w:szCs w:val="25"/>
          <w:color w:val="auto"/>
        </w:rPr>
      </w:pPr>
    </w:p>
    <w:p>
      <w:pPr>
        <w:ind w:left="980" w:hanging="324"/>
        <w:spacing w:after="0" w:line="209" w:lineRule="auto"/>
        <w:tabs>
          <w:tab w:leader="none" w:pos="974" w:val="left"/>
        </w:tabs>
        <w:numPr>
          <w:ilvl w:val="0"/>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b w:val="1"/>
          <w:bCs w:val="1"/>
          <w:color w:val="auto"/>
        </w:rPr>
        <w:t xml:space="preserve">the nature of the relationship or situation creating the potential conflict of interest </w:t>
      </w:r>
      <w:r>
        <w:rPr>
          <w:rFonts w:ascii="Times New Roman" w:cs="Times New Roman" w:eastAsia="Times New Roman" w:hAnsi="Times New Roman"/>
          <w:sz w:val="22"/>
          <w:szCs w:val="22"/>
          <w:color w:val="auto"/>
        </w:rPr>
        <w:t>(For example, does the issue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arise because the person serves as an executive officer of the Company and a director of a contracting party with the Company? Is the person a director of the Company and an executive officer of a contracting party with the Company? Is the person a director of the Company and a director of a contracting party with the Company? Or is the director or executive officer of the Company related to a person that is a director or executive officer of the contracting party with the Company? The more peripheral the relationship of the person to either of the companies involved, the less likely that person is able to influence either company’s day-to-day decisions and therefore the less likely the relationship or activity is to be disadvantageous to the Company);</w:t>
      </w:r>
    </w:p>
    <w:p>
      <w:pPr>
        <w:spacing w:after="0" w:line="178" w:lineRule="exact"/>
        <w:rPr>
          <w:rFonts w:ascii="Times New Roman" w:cs="Times New Roman" w:eastAsia="Times New Roman" w:hAnsi="Times New Roman"/>
          <w:sz w:val="25"/>
          <w:szCs w:val="25"/>
          <w:color w:val="auto"/>
        </w:rPr>
      </w:pPr>
    </w:p>
    <w:p>
      <w:pPr>
        <w:ind w:left="980" w:right="100" w:hanging="324"/>
        <w:spacing w:after="0" w:line="221" w:lineRule="auto"/>
        <w:tabs>
          <w:tab w:leader="none" w:pos="974" w:val="left"/>
        </w:tabs>
        <w:numPr>
          <w:ilvl w:val="0"/>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b w:val="1"/>
          <w:bCs w:val="1"/>
          <w:color w:val="auto"/>
        </w:rPr>
        <w:t xml:space="preserve">the nature of the company with which the director or executive officer is affiliated </w:t>
      </w:r>
      <w:r>
        <w:rPr>
          <w:rFonts w:ascii="Times New Roman" w:cs="Times New Roman" w:eastAsia="Times New Roman" w:hAnsi="Times New Roman"/>
          <w:sz w:val="22"/>
          <w:szCs w:val="22"/>
          <w:color w:val="auto"/>
        </w:rPr>
        <w:t>(For example, is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competitor of the Company or a collaborator or a supplier or customer, and how significant a competitor, collaborator supplier or customer is the company?);</w:t>
      </w:r>
    </w:p>
    <w:p>
      <w:pPr>
        <w:spacing w:after="0" w:line="172" w:lineRule="exact"/>
        <w:rPr>
          <w:rFonts w:ascii="Times New Roman" w:cs="Times New Roman" w:eastAsia="Times New Roman" w:hAnsi="Times New Roman"/>
          <w:sz w:val="25"/>
          <w:szCs w:val="25"/>
          <w:color w:val="auto"/>
        </w:rPr>
      </w:pPr>
    </w:p>
    <w:p>
      <w:pPr>
        <w:ind w:left="980" w:hanging="324"/>
        <w:spacing w:after="0"/>
        <w:tabs>
          <w:tab w:leader="none" w:pos="980" w:val="left"/>
        </w:tabs>
        <w:numPr>
          <w:ilvl w:val="0"/>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b w:val="1"/>
          <w:bCs w:val="1"/>
          <w:color w:val="auto"/>
        </w:rPr>
        <w:t>the nature of any proposed transaction</w:t>
      </w:r>
      <w:r>
        <w:rPr>
          <w:rFonts w:ascii="Times New Roman" w:cs="Times New Roman" w:eastAsia="Times New Roman" w:hAnsi="Times New Roman"/>
          <w:sz w:val="22"/>
          <w:szCs w:val="22"/>
          <w:color w:val="auto"/>
        </w:rPr>
        <w:t>, including:</w:t>
      </w:r>
    </w:p>
    <w:p>
      <w:pPr>
        <w:spacing w:after="0" w:line="185" w:lineRule="exact"/>
        <w:rPr>
          <w:rFonts w:ascii="Times New Roman" w:cs="Times New Roman" w:eastAsia="Times New Roman" w:hAnsi="Times New Roman"/>
          <w:sz w:val="25"/>
          <w:szCs w:val="25"/>
          <w:color w:val="auto"/>
        </w:rPr>
      </w:pPr>
    </w:p>
    <w:p>
      <w:pPr>
        <w:ind w:left="1620" w:hanging="316"/>
        <w:spacing w:after="0"/>
        <w:tabs>
          <w:tab w:leader="none" w:pos="1620" w:val="left"/>
        </w:tabs>
        <w:numPr>
          <w:ilvl w:val="1"/>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the size of the transaction,</w:t>
      </w:r>
    </w:p>
    <w:p>
      <w:pPr>
        <w:spacing w:after="0" w:line="171" w:lineRule="exact"/>
        <w:rPr>
          <w:rFonts w:ascii="Times New Roman" w:cs="Times New Roman" w:eastAsia="Times New Roman" w:hAnsi="Times New Roman"/>
          <w:sz w:val="25"/>
          <w:szCs w:val="25"/>
          <w:color w:val="auto"/>
        </w:rPr>
      </w:pPr>
    </w:p>
    <w:p>
      <w:pPr>
        <w:ind w:left="1620" w:hanging="316"/>
        <w:spacing w:after="0"/>
        <w:tabs>
          <w:tab w:leader="none" w:pos="1620" w:val="left"/>
        </w:tabs>
        <w:numPr>
          <w:ilvl w:val="1"/>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whether the Company has engaged in this type of transaction before, either with this party or others,</w:t>
      </w:r>
    </w:p>
    <w:p>
      <w:pPr>
        <w:spacing w:after="0" w:line="185" w:lineRule="exact"/>
        <w:rPr>
          <w:rFonts w:ascii="Times New Roman" w:cs="Times New Roman" w:eastAsia="Times New Roman" w:hAnsi="Times New Roman"/>
          <w:sz w:val="25"/>
          <w:szCs w:val="25"/>
          <w:color w:val="auto"/>
        </w:rPr>
      </w:pPr>
    </w:p>
    <w:p>
      <w:pPr>
        <w:ind w:left="1620" w:hanging="316"/>
        <w:spacing w:after="0"/>
        <w:tabs>
          <w:tab w:leader="none" w:pos="1620" w:val="left"/>
        </w:tabs>
        <w:numPr>
          <w:ilvl w:val="1"/>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other connections with the other party,</w:t>
      </w:r>
    </w:p>
    <w:p>
      <w:pPr>
        <w:spacing w:after="0" w:line="185" w:lineRule="exact"/>
        <w:rPr>
          <w:rFonts w:ascii="Times New Roman" w:cs="Times New Roman" w:eastAsia="Times New Roman" w:hAnsi="Times New Roman"/>
          <w:sz w:val="25"/>
          <w:szCs w:val="25"/>
          <w:color w:val="auto"/>
        </w:rPr>
      </w:pPr>
    </w:p>
    <w:p>
      <w:pPr>
        <w:ind w:left="1620" w:hanging="316"/>
        <w:spacing w:after="0"/>
        <w:tabs>
          <w:tab w:leader="none" w:pos="1620" w:val="left"/>
        </w:tabs>
        <w:numPr>
          <w:ilvl w:val="1"/>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leverage of the other party,</w:t>
      </w:r>
    </w:p>
    <w:p>
      <w:pPr>
        <w:spacing w:after="0" w:line="171" w:lineRule="exact"/>
        <w:rPr>
          <w:rFonts w:ascii="Times New Roman" w:cs="Times New Roman" w:eastAsia="Times New Roman" w:hAnsi="Times New Roman"/>
          <w:sz w:val="25"/>
          <w:szCs w:val="25"/>
          <w:color w:val="auto"/>
        </w:rPr>
      </w:pPr>
    </w:p>
    <w:p>
      <w:pPr>
        <w:ind w:left="1620" w:hanging="316"/>
        <w:spacing w:after="0"/>
        <w:tabs>
          <w:tab w:leader="none" w:pos="1620" w:val="left"/>
        </w:tabs>
        <w:numPr>
          <w:ilvl w:val="1"/>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whether there were unusual terms associated with the transaction, and</w:t>
      </w:r>
    </w:p>
    <w:p>
      <w:pPr>
        <w:spacing w:after="0" w:line="190" w:lineRule="exact"/>
        <w:rPr>
          <w:rFonts w:ascii="Times New Roman" w:cs="Times New Roman" w:eastAsia="Times New Roman" w:hAnsi="Times New Roman"/>
          <w:sz w:val="25"/>
          <w:szCs w:val="25"/>
          <w:color w:val="auto"/>
        </w:rPr>
      </w:pPr>
    </w:p>
    <w:p>
      <w:pPr>
        <w:ind w:left="1620" w:right="240" w:hanging="316"/>
        <w:spacing w:after="0" w:line="227" w:lineRule="auto"/>
        <w:tabs>
          <w:tab w:leader="none" w:pos="1614" w:val="left"/>
        </w:tabs>
        <w:numPr>
          <w:ilvl w:val="1"/>
          <w:numId w:val="50"/>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whether the terms offered are those that the Board believes would be offered or could be obtained absent the relationship;</w:t>
      </w: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200" w:lineRule="exact"/>
        <w:rPr>
          <w:rFonts w:ascii="Times New Roman" w:cs="Times New Roman" w:eastAsia="Times New Roman" w:hAnsi="Times New Roman"/>
          <w:sz w:val="25"/>
          <w:szCs w:val="25"/>
          <w:color w:val="auto"/>
        </w:rPr>
      </w:pPr>
    </w:p>
    <w:p>
      <w:pPr>
        <w:spacing w:after="0" w:line="387" w:lineRule="exact"/>
        <w:rPr>
          <w:rFonts w:ascii="Times New Roman" w:cs="Times New Roman" w:eastAsia="Times New Roman" w:hAnsi="Times New Roman"/>
          <w:sz w:val="25"/>
          <w:szCs w:val="25"/>
          <w:color w:val="auto"/>
        </w:rPr>
      </w:pPr>
    </w:p>
    <w:p>
      <w:pPr>
        <w:ind w:left="5580" w:hanging="136"/>
        <w:spacing w:after="0"/>
        <w:tabs>
          <w:tab w:leader="none" w:pos="558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20"/>
          </w:cols>
          <w:pgMar w:left="320" w:top="1390" w:right="359" w:bottom="1440" w:gutter="0" w:footer="0" w:header="0"/>
        </w:sectPr>
      </w:pPr>
    </w:p>
    <w:bookmarkStart w:id="133" w:name="page134"/>
    <w:bookmarkEnd w:id="133"/>
    <w:p>
      <w:pPr>
        <w:ind w:left="1620" w:right="40" w:hanging="316"/>
        <w:spacing w:after="0" w:line="237" w:lineRule="auto"/>
        <w:tabs>
          <w:tab w:leader="none" w:pos="1614"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1"/>
          <w:szCs w:val="21"/>
          <w:color w:val="auto"/>
        </w:rPr>
        <w:t>the level of involvement of the executive officer or director involving questions in any proposed transaction, including whether the waiver candidate will receive any compensation or other benefit tied to the transaction;</w:t>
      </w:r>
    </w:p>
    <w:p>
      <w:pPr>
        <w:spacing w:after="0" w:line="172" w:lineRule="exact"/>
        <w:rPr>
          <w:rFonts w:ascii="Times New Roman" w:cs="Times New Roman" w:eastAsia="Times New Roman" w:hAnsi="Times New Roman"/>
          <w:sz w:val="24"/>
          <w:szCs w:val="24"/>
          <w:color w:val="auto"/>
        </w:rPr>
      </w:pPr>
    </w:p>
    <w:p>
      <w:pPr>
        <w:ind w:left="1620" w:hanging="316"/>
        <w:spacing w:after="0"/>
        <w:tabs>
          <w:tab w:leader="none" w:pos="1620" w:val="left"/>
        </w:tabs>
        <w:numPr>
          <w:ilvl w:val="0"/>
          <w:numId w:val="51"/>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whether the individual usurped a corporate opportunity;</w:t>
      </w:r>
    </w:p>
    <w:p>
      <w:pPr>
        <w:spacing w:after="0" w:line="176" w:lineRule="exact"/>
        <w:rPr>
          <w:rFonts w:ascii="Times New Roman" w:cs="Times New Roman" w:eastAsia="Times New Roman" w:hAnsi="Times New Roman"/>
          <w:sz w:val="25"/>
          <w:szCs w:val="25"/>
          <w:color w:val="auto"/>
        </w:rPr>
      </w:pPr>
    </w:p>
    <w:p>
      <w:pPr>
        <w:ind w:left="1620" w:right="240" w:hanging="316"/>
        <w:spacing w:after="0" w:line="227" w:lineRule="auto"/>
        <w:tabs>
          <w:tab w:leader="none" w:pos="1614" w:val="left"/>
        </w:tabs>
        <w:numPr>
          <w:ilvl w:val="0"/>
          <w:numId w:val="51"/>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whether the proposed transaction or relationship would cause a director to lose his status as an independent director; and</w:t>
      </w:r>
    </w:p>
    <w:p>
      <w:pPr>
        <w:spacing w:after="0" w:line="172" w:lineRule="exact"/>
        <w:rPr>
          <w:rFonts w:ascii="Times New Roman" w:cs="Times New Roman" w:eastAsia="Times New Roman" w:hAnsi="Times New Roman"/>
          <w:sz w:val="25"/>
          <w:szCs w:val="25"/>
          <w:color w:val="auto"/>
        </w:rPr>
      </w:pPr>
    </w:p>
    <w:p>
      <w:pPr>
        <w:ind w:left="1620" w:hanging="316"/>
        <w:spacing w:after="0"/>
        <w:tabs>
          <w:tab w:leader="none" w:pos="1620" w:val="left"/>
        </w:tabs>
        <w:numPr>
          <w:ilvl w:val="0"/>
          <w:numId w:val="51"/>
        </w:numPr>
        <w:rPr>
          <w:rFonts w:ascii="Times New Roman" w:cs="Times New Roman" w:eastAsia="Times New Roman" w:hAnsi="Times New Roman"/>
          <w:sz w:val="25"/>
          <w:szCs w:val="25"/>
          <w:color w:val="auto"/>
        </w:rPr>
      </w:pPr>
      <w:r>
        <w:rPr>
          <w:rFonts w:ascii="Times New Roman" w:cs="Times New Roman" w:eastAsia="Times New Roman" w:hAnsi="Times New Roman"/>
          <w:sz w:val="22"/>
          <w:szCs w:val="22"/>
          <w:color w:val="auto"/>
        </w:rPr>
        <w:t>how any related disclosure would appear in, for example, The Wall Street Journal or other public forum.</w:t>
      </w:r>
    </w:p>
    <w:p>
      <w:pPr>
        <w:spacing w:after="0" w:line="163" w:lineRule="exact"/>
        <w:rPr>
          <w:sz w:val="20"/>
          <w:szCs w:val="20"/>
          <w:color w:val="auto"/>
        </w:rPr>
      </w:pPr>
    </w:p>
    <w:p>
      <w:pPr>
        <w:ind w:firstLine="204"/>
        <w:spacing w:after="0" w:line="227" w:lineRule="auto"/>
        <w:rPr>
          <w:sz w:val="20"/>
          <w:szCs w:val="20"/>
          <w:color w:val="auto"/>
        </w:rPr>
      </w:pPr>
      <w:r>
        <w:rPr>
          <w:rFonts w:ascii="Times New Roman" w:cs="Times New Roman" w:eastAsia="Times New Roman" w:hAnsi="Times New Roman"/>
          <w:sz w:val="21"/>
          <w:szCs w:val="21"/>
          <w:color w:val="auto"/>
        </w:rPr>
        <w:t>After reviewing these considerations and any others it considers appropriate, the Board should then consider whether the relationship or activity (i) will adversely affect the Company, (ii) was undertaken by the individual in good faith, (iii) constitutes a breach of loyalty to the Company and its stockholders, (iv) constitutes a violation of law, and (v) confers an improper personal benefit on the individual. The Board should then be in a position to determine if a conflict of interest exists and, if so, whether to waive the conflict if the relationship or activity is in the best interests of the Company or not opposed to those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120"/>
          </w:cols>
          <w:pgMar w:left="320" w:top="1421" w:right="45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21(a)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 OF LAMAR ADVERTISING</w:t>
            </w:r>
          </w:p>
        </w:tc>
      </w:tr>
      <w:tr>
        <w:trPr>
          <w:trHeight w:val="35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75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364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91"/>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Media Corp.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5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TODS Limited</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Nova Scotia, Canada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Kentucky</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Puerto Rico, Inc.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Puerto Rico</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South Dakota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S/W Joint Venture</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Canada Holding Limited</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Canadian Outdoor Company</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7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QRS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Advertising Canada Ltd.</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Maine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Mississippi</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Missouri</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Montana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Mexico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QMC Transit, Inc.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Virginia</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Washington</w:t>
            </w:r>
          </w:p>
        </w:tc>
      </w:tr>
    </w:tbl>
    <w:p>
      <w:pPr>
        <w:sectPr>
          <w:pgSz w:w="11900" w:h="16838" w:orient="portrait"/>
          <w:cols w:equalWidth="0" w:num="1">
            <w:col w:w="11220"/>
          </w:cols>
          <w:pgMar w:left="320" w:top="1006" w:right="35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220"/>
          </w:cols>
          <w:pgMar w:left="320" w:top="1006" w:right="35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22(a)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 of Lamar Media Corp.</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Lamar Media Corp. is the issuer of the (i) 3 3/4% Senior Notes due 2028, (ii) 4% Senior Notes due 2030, (iii) 4 7/8% Senior Notes due 2029, (iv) 5 3/4% Senior Notes due 2026, and (v) 3 5/8% Senior Notes due 2031 (collectively, the “Notes”). The following subsidiaries are guarantors of these Notes as of the</w:t>
      </w:r>
    </w:p>
    <w:p>
      <w:pPr>
        <w:spacing w:after="0"/>
        <w:rPr>
          <w:sz w:val="20"/>
          <w:szCs w:val="20"/>
          <w:color w:val="auto"/>
        </w:rPr>
      </w:pPr>
      <w:r>
        <w:rPr>
          <w:rFonts w:ascii="Times New Roman" w:cs="Times New Roman" w:eastAsia="Times New Roman" w:hAnsi="Times New Roman"/>
          <w:sz w:val="18"/>
          <w:szCs w:val="18"/>
          <w:color w:val="auto"/>
        </w:rPr>
        <w:t>last day of the period covered by this report.</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5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5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Kentucky</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Colorado</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78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3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Maine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Mississippi</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Missouri</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Montana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Jersey</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Mexico</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120"/>
          </w:cols>
          <w:pgMar w:left="420" w:top="1006"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333-89034, 333-37858, 333-116008, 333-160945, 333-190603, 333-323687, and 333-232686) on Form S-8 and No. 333-257243 on Form S-3 of our reports dated February 24, 2023, with respect to the consolidated financial statements of Lamar Advertising Company and Lamar Media Corp. and the effectiveness of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19202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KPMG LLP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rPr>
          <w:sz w:val="20"/>
          <w:szCs w:val="20"/>
          <w:color w:val="auto"/>
        </w:rPr>
      </w:pPr>
      <w:r>
        <w:rPr>
          <w:rFonts w:ascii="Times New Roman" w:cs="Times New Roman" w:eastAsia="Times New Roman" w:hAnsi="Times New Roman"/>
          <w:sz w:val="18"/>
          <w:szCs w:val="18"/>
          <w:color w:val="auto"/>
        </w:rPr>
        <w:t>February 24, 2023</w:t>
      </w:r>
    </w:p>
    <w:p>
      <w:pPr>
        <w:sectPr>
          <w:pgSz w:w="11900" w:h="16838" w:orient="portrait"/>
          <w:cols w:equalWidth="0" w:num="1">
            <w:col w:w="11240"/>
          </w:cols>
          <w:pgMar w:left="320" w:top="95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225"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Sean E. Reilly</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p>
      <w:pPr>
        <w:sectPr>
          <w:pgSz w:w="11900" w:h="16838" w:orient="portrait"/>
          <w:cols w:equalWidth="0" w:num="1">
            <w:col w:w="11240"/>
          </w:cols>
          <w:pgMar w:left="320" w:top="110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225"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10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2022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24, 2023</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29"/>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24, 2023</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30"/>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lvl w:ilvl="1">
      <w:lvlJc w:val="left"/>
      <w:lvlText w:val="x"/>
      <w:numFmt w:val="bullet"/>
      <w:start w:val="1"/>
    </w:lvl>
  </w:abstractNum>
  <w:abstractNum w:abstractNumId="1">
    <w:nsid w:val="71F32454"/>
    <w:multiLevelType w:val="hybridMultilevel"/>
    <w:lvl w:ilvl="0">
      <w:lvlJc w:val="left"/>
      <w:lvlText w:val="(%1)"/>
      <w:numFmt w:val="lowerRoman"/>
      <w:start w:val="3"/>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3"/>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Roman"/>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Roman"/>
      <w:start w:val="3"/>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4"/>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7"/>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4"/>
    </w:lvl>
  </w:abstractNum>
  <w:abstractNum w:abstractNumId="37">
    <w:nsid w:val="7A6D8D3C"/>
    <w:multiLevelType w:val="hybridMultilevel"/>
    <w:lvl w:ilvl="0">
      <w:lvlJc w:val="left"/>
      <w:lvlText w:val="(%1)"/>
      <w:numFmt w:val="upperLetter"/>
      <w:start w:val="1"/>
    </w:lvl>
  </w:abstractNum>
  <w:abstractNum w:abstractNumId="38">
    <w:nsid w:val="4B588F54"/>
    <w:multiLevelType w:val="hybridMultilevel"/>
    <w:lvl w:ilvl="0">
      <w:lvlJc w:val="left"/>
      <w:lvlText w:val="%1."/>
      <w:numFmt w:val="decimal"/>
      <w:start w:val="2"/>
    </w:lvl>
  </w:abstractNum>
  <w:abstractNum w:abstractNumId="39">
    <w:nsid w:val="542289EC"/>
    <w:multiLevelType w:val="hybridMultilevel"/>
    <w:lvl w:ilvl="0">
      <w:lvlJc w:val="left"/>
      <w:lvlText w:val="%1."/>
      <w:numFmt w:val="decimal"/>
      <w:start w:val="3"/>
    </w:lvl>
  </w:abstractNum>
  <w:abstractNum w:abstractNumId="40">
    <w:nsid w:val="6DE91B18"/>
    <w:multiLevelType w:val="hybridMultilevel"/>
    <w:lvl w:ilvl="0">
      <w:lvlJc w:val="left"/>
      <w:lvlText w:val="%1"/>
      <w:numFmt w:val="decimal"/>
      <w:start w:val="101"/>
    </w:lvl>
  </w:abstractNum>
  <w:abstractNum w:abstractNumId="41">
    <w:nsid w:val="38437FDB"/>
    <w:multiLevelType w:val="hybridMultilevel"/>
    <w:lvl w:ilvl="0">
      <w:lvlJc w:val="left"/>
      <w:lvlText w:val="%1"/>
      <w:numFmt w:val="decimal"/>
      <w:start w:val="104"/>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46">
    <w:nsid w:val="749ABB43"/>
    <w:multiLevelType w:val="hybridMultilevel"/>
    <w:lvl w:ilvl="0">
      <w:lvlJc w:val="left"/>
      <w:lvlText w:val="(%1)"/>
      <w:numFmt w:val="lowerLetter"/>
      <w:start w:val="4"/>
    </w:lvl>
  </w:abstractNum>
  <w:abstractNum w:abstractNumId="47">
    <w:nsid w:val="3DC240FB"/>
    <w:multiLevelType w:val="hybridMultilevel"/>
    <w:lvl w:ilvl="0">
      <w:lvlJc w:val="left"/>
      <w:lvlText w:val="%1."/>
      <w:numFmt w:val="decimal"/>
      <w:start w:val="2"/>
    </w:lvl>
  </w:abstractNum>
  <w:abstractNum w:abstractNumId="48">
    <w:nsid w:val="1BA026FA"/>
    <w:multiLevelType w:val="hybridMultilevel"/>
    <w:lvl w:ilvl="0">
      <w:lvlJc w:val="left"/>
      <w:lvlText w:val="•"/>
      <w:numFmt w:val="bullet"/>
      <w:start w:val="1"/>
    </w:lvl>
    <w:lvl w:ilvl="1">
      <w:lvlJc w:val="left"/>
      <w:lvlText w:val="-"/>
      <w:numFmt w:val="bullet"/>
      <w:start w:val="1"/>
    </w:lvl>
  </w:abstractNum>
  <w:abstractNum w:abstractNumId="49">
    <w:nsid w:val="79A1DEA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96" Type="http://schemas.openxmlformats.org/officeDocument/2006/relationships/image" Target="media/image147.png"/><Relationship Id="rId200"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20" Type="http://schemas.openxmlformats.org/officeDocument/2006/relationships/image" Target="media/image151.png"/><Relationship Id="rId221" Type="http://schemas.openxmlformats.org/officeDocument/2006/relationships/image" Target="media/image152.png"/><Relationship Id="rId232" Type="http://schemas.openxmlformats.org/officeDocument/2006/relationships/image" Target="media/image153.png"/><Relationship Id="rId233" Type="http://schemas.openxmlformats.org/officeDocument/2006/relationships/image" Target="media/image154.png"/><Relationship Id="rId242" Type="http://schemas.openxmlformats.org/officeDocument/2006/relationships/image" Target="media/image155.png"/><Relationship Id="rId243" Type="http://schemas.openxmlformats.org/officeDocument/2006/relationships/image" Target="media/image156.png"/><Relationship Id="rId253" Type="http://schemas.openxmlformats.org/officeDocument/2006/relationships/image" Target="media/image157.png"/><Relationship Id="rId254" Type="http://schemas.openxmlformats.org/officeDocument/2006/relationships/image" Target="media/image158.png"/><Relationship Id="rId262" Type="http://schemas.openxmlformats.org/officeDocument/2006/relationships/image" Target="media/image159.png"/><Relationship Id="rId269" Type="http://schemas.openxmlformats.org/officeDocument/2006/relationships/image" Target="media/image160.png"/><Relationship Id="rId270" Type="http://schemas.openxmlformats.org/officeDocument/2006/relationships/image" Target="media/image161.png"/><Relationship Id="rId271" Type="http://schemas.openxmlformats.org/officeDocument/2006/relationships/image" Target="media/image162.png"/><Relationship Id="rId276" Type="http://schemas.openxmlformats.org/officeDocument/2006/relationships/image" Target="media/image163.png"/><Relationship Id="rId277" Type="http://schemas.openxmlformats.org/officeDocument/2006/relationships/image" Target="media/image164.png"/><Relationship Id="rId278" Type="http://schemas.openxmlformats.org/officeDocument/2006/relationships/image" Target="media/image165.png"/><Relationship Id="rId279" Type="http://schemas.openxmlformats.org/officeDocument/2006/relationships/image" Target="media/image166.png"/><Relationship Id="rId280" Type="http://schemas.openxmlformats.org/officeDocument/2006/relationships/image" Target="media/image167.png"/><Relationship Id="rId281" Type="http://schemas.openxmlformats.org/officeDocument/2006/relationships/image" Target="media/image168.png"/><Relationship Id="rId282" Type="http://schemas.openxmlformats.org/officeDocument/2006/relationships/image" Target="media/image169.png"/><Relationship Id="rId283" Type="http://schemas.openxmlformats.org/officeDocument/2006/relationships/image" Target="media/image170.png"/><Relationship Id="rId284" Type="http://schemas.openxmlformats.org/officeDocument/2006/relationships/image" Target="media/image171.png"/><Relationship Id="rId285" Type="http://schemas.openxmlformats.org/officeDocument/2006/relationships/image" Target="media/image172.png"/><Relationship Id="rId145" Type="http://schemas.openxmlformats.org/officeDocument/2006/relationships/hyperlink" Target="https://www.sec.gov/Archives/edgar/data/1090425/000119312514329086/d783274dex21.htm" TargetMode="External"/><Relationship Id="rId146" Type="http://schemas.openxmlformats.org/officeDocument/2006/relationships/hyperlink" Target="https://www.sec.gov/Archives/edgar/data/1090425/000119312514417756/d823054dex31.htm" TargetMode="External"/><Relationship Id="rId147" Type="http://schemas.openxmlformats.org/officeDocument/2006/relationships/hyperlink" Target="https://www.sec.gov/Archives/edgar/data/1090425/000119312514417756/d823054dex32.htm" TargetMode="External"/><Relationship Id="rId148" Type="http://schemas.openxmlformats.org/officeDocument/2006/relationships/hyperlink" Target="https://www.sec.gov/Archives/edgar/data/1090425/000119312514417756/d823054dex33.htm" TargetMode="External"/><Relationship Id="rId149" Type="http://schemas.openxmlformats.org/officeDocument/2006/relationships/hyperlink" Target="https://www.sec.gov/Archives/edgar/data/899045/000095013407011105/d46520exv3w2.htm" TargetMode="External"/><Relationship Id="rId150" Type="http://schemas.openxmlformats.org/officeDocument/2006/relationships/hyperlink" Target="https://www.sec.gov/Archives/edgar/data/899045/000095013499009877/0000950134-99-009877.txt" TargetMode="External"/><Relationship Id="rId151" Type="http://schemas.openxmlformats.org/officeDocument/2006/relationships/hyperlink" Target="https://www.sec.gov/Archives/edgar/data/1090425/000119312514417756/d823054dex42.htm" TargetMode="External"/><Relationship Id="rId152" Type="http://schemas.openxmlformats.org/officeDocument/2006/relationships/hyperlink" Target="https://www.sec.gov/Archives/edgar/data/1090425/000119312514417756/d823054dex43.htm" TargetMode="External"/><Relationship Id="rId153" Type="http://schemas.openxmlformats.org/officeDocument/2006/relationships/hyperlink" Target="https://www.sec.gov/Archives/edgar/data/899045/000156459020005593/lamr-ex4a3_479.htm" TargetMode="External"/><Relationship Id="rId154" Type="http://schemas.openxmlformats.org/officeDocument/2006/relationships/hyperlink" Target="https://www.sec.gov/Archives/edgar/data/899045/000119312512443858/d431256dex41.htm" TargetMode="External"/><Relationship Id="rId158" Type="http://schemas.openxmlformats.org/officeDocument/2006/relationships/hyperlink" Target="https://www.sec.gov/Archives/edgar/data/899045/000119312513084458/d446463dex4h4.htm" TargetMode="External"/><Relationship Id="rId159" Type="http://schemas.openxmlformats.org/officeDocument/2006/relationships/hyperlink" Target="https://www.sec.gov/Archives/edgar/data/899045/000119312513084458/d446463dex4h5.htm" TargetMode="External"/><Relationship Id="rId160" Type="http://schemas.openxmlformats.org/officeDocument/2006/relationships/hyperlink" Target="https://www.sec.gov/Archives/edgar/data/899045/000119312513084458/d446463dex4h6.htm" TargetMode="External"/><Relationship Id="rId161" Type="http://schemas.openxmlformats.org/officeDocument/2006/relationships/hyperlink" Target="https://www.sec.gov/Archives/edgar/data/899045/000119312513327135/d565771dex44.htm" TargetMode="External"/><Relationship Id="rId162" Type="http://schemas.openxmlformats.org/officeDocument/2006/relationships/hyperlink" Target="https://www.sec.gov/Archives/edgar/data/899045/000119312514187495/d707798dex45.htm" TargetMode="External"/><Relationship Id="rId163" Type="http://schemas.openxmlformats.org/officeDocument/2006/relationships/hyperlink" Target="https://www.sec.gov/Archives/edgar/data/899045/000119312515368451/d47340dex42.htm" TargetMode="External"/><Relationship Id="rId164" Type="http://schemas.openxmlformats.org/officeDocument/2006/relationships/hyperlink" Target="https://www.sec.gov/Archives/edgar/data/899045/000156459018003444/lamr-ex4c10_199.htm" TargetMode="External"/><Relationship Id="rId165" Type="http://schemas.openxmlformats.org/officeDocument/2006/relationships/hyperlink" Target="https://www.sec.gov/Archives/edgar/data/899045/000156459018003444/lamr-ex4c11_198.htm" TargetMode="External"/><Relationship Id="rId166" Type="http://schemas.openxmlformats.org/officeDocument/2006/relationships/hyperlink" Target="https://www.sec.gov/Archives/edgar/data/899045/000156459019015115/lamr-ex42_90.htm" TargetMode="External"/><Relationship Id="rId169" Type="http://schemas.openxmlformats.org/officeDocument/2006/relationships/hyperlink" Target="https://www.sec.gov/Archives/edgar/data/899045/000156459019015115/lamr-ex43_89.htm" TargetMode="External"/><Relationship Id="rId170" Type="http://schemas.openxmlformats.org/officeDocument/2006/relationships/hyperlink" Target="https://www.sec.gov/Archives/edgar/data/899045/000156459019040322/lamr-ex41_139.htm" TargetMode="External"/><Relationship Id="rId171" Type="http://schemas.openxmlformats.org/officeDocument/2006/relationships/hyperlink" Target="https://www.sec.gov/Archives/edgar/data/899045/000119312514011018/d659877dex41.htm" TargetMode="External"/><Relationship Id="rId172" Type="http://schemas.openxmlformats.org/officeDocument/2006/relationships/hyperlink" Target="https://www.sec.gov/Archives/edgar/data/899045/000119312515368451/d47340dex41.htm" TargetMode="External"/><Relationship Id="rId173" Type="http://schemas.openxmlformats.org/officeDocument/2006/relationships/hyperlink" Target="https://www.sec.gov/Archives/edgar/data/899045/000156459018003444/lamr-ex4d5_197.htm" TargetMode="External"/><Relationship Id="rId174" Type="http://schemas.openxmlformats.org/officeDocument/2006/relationships/hyperlink" Target="https://www.sec.gov/Archives/edgar/data/899045/000156459018003444/lamr-ex4d6_196.htm" TargetMode="External"/><Relationship Id="rId175" Type="http://schemas.openxmlformats.org/officeDocument/2006/relationships/hyperlink" Target="https://www.sec.gov/Archives/edgar/data/899045/000156459019015115/lamr-ex44_88.htm" TargetMode="External"/><Relationship Id="rId176" Type="http://schemas.openxmlformats.org/officeDocument/2006/relationships/hyperlink" Target="https://www.sec.gov/Archives/edgar/data/899045/000156459019015115/lamr-ex45_87.htm" TargetMode="External"/><Relationship Id="rId179" Type="http://schemas.openxmlformats.org/officeDocument/2006/relationships/hyperlink" Target="https://www.sec.gov/Archives/edgar/data/899045/000156459019040322/lamr-ex42_138.htm" TargetMode="External"/><Relationship Id="rId180" Type="http://schemas.openxmlformats.org/officeDocument/2006/relationships/hyperlink" Target="https://www.sec.gov/Archives/edgar/data/899045/000119312516446075/d127039dex41.htm" TargetMode="External"/><Relationship Id="rId181" Type="http://schemas.openxmlformats.org/officeDocument/2006/relationships/hyperlink" Target="https://www.sec.gov/Archives/edgar/data/899045/000156459018003444/lamr-ex4e4_195.htm" TargetMode="External"/><Relationship Id="rId182" Type="http://schemas.openxmlformats.org/officeDocument/2006/relationships/hyperlink" Target="https://www.sec.gov/Archives/edgar/data/899045/000156459018003444/lamr-ex4e5_194.htm" TargetMode="External"/><Relationship Id="rId183" Type="http://schemas.openxmlformats.org/officeDocument/2006/relationships/hyperlink" Target="https://www.sec.gov/Archives/edgar/data/899045/000156459019015115/lamr-ex46_86.htm" TargetMode="External"/><Relationship Id="rId184" Type="http://schemas.openxmlformats.org/officeDocument/2006/relationships/hyperlink" Target="https://www.sec.gov/Archives/edgar/data/899045/000156459019015115/lamr-ex47_85.htm" TargetMode="External"/><Relationship Id="rId185" Type="http://schemas.openxmlformats.org/officeDocument/2006/relationships/hyperlink" Target="https://www.sec.gov/Archives/edgar/data/899045/000119312519029539/d695015dex41.htm" TargetMode="External"/><Relationship Id="rId186" Type="http://schemas.openxmlformats.org/officeDocument/2006/relationships/hyperlink" Target="https://www.sec.gov/Archives/edgar/data/899045/000156459019040322/lamr-ex43_136.htm" TargetMode="External"/><Relationship Id="rId189" Type="http://schemas.openxmlformats.org/officeDocument/2006/relationships/hyperlink" Target="https://www.sec.gov/Archives/edgar/data/899045/000119312520033197/d889727dex41.htm" TargetMode="External"/><Relationship Id="rId190" Type="http://schemas.openxmlformats.org/officeDocument/2006/relationships/hyperlink" Target="https://www.sec.gov/Archives/edgar/data/899045/000162828022012480/lamr-20220331x10qxexx42.htm" TargetMode="External"/><Relationship Id="rId191" Type="http://schemas.openxmlformats.org/officeDocument/2006/relationships/hyperlink" Target="https://www.sec.gov/Archives/edgar/data/899045/000162828022020393/lamr-20220630x10qxexx42.htm" TargetMode="External"/><Relationship Id="rId192" Type="http://schemas.openxmlformats.org/officeDocument/2006/relationships/hyperlink" Target="https://www.sec.gov/Archives/edgar/data/899045/000119312520033197/d889727dex42.htm" TargetMode="External"/><Relationship Id="rId193" Type="http://schemas.openxmlformats.org/officeDocument/2006/relationships/hyperlink" Target="https://www.sec.gov/Archives/edgar/data/899045/000162828022012480/lamr-20220331x10qxexx43.htm" TargetMode="External"/><Relationship Id="rId194" Type="http://schemas.openxmlformats.org/officeDocument/2006/relationships/hyperlink" Target="https://www.sec.gov/Archives/edgar/data/899045/000162828022020393/lamr-20220630x10qxexx43.htm" TargetMode="External"/><Relationship Id="rId195" Type="http://schemas.openxmlformats.org/officeDocument/2006/relationships/hyperlink" Target="https://www.sec.gov/Archives/edgar/data/899045/000119312520146127/d930554dex41.htm" TargetMode="External"/><Relationship Id="rId197" Type="http://schemas.openxmlformats.org/officeDocument/2006/relationships/hyperlink" Target="https://www.sec.gov/Archives/edgar/data/899045/000162828022012480/lamr-20220331x10qxexx44.htm" TargetMode="External"/><Relationship Id="rId198" Type="http://schemas.openxmlformats.org/officeDocument/2006/relationships/hyperlink" Target="https://www.sec.gov/Archives/edgar/data/899045/000162828022020393/lamr-20220660x10qxexx44.htm" TargetMode="External"/><Relationship Id="rId199" Type="http://schemas.openxmlformats.org/officeDocument/2006/relationships/hyperlink" Target="https://www.sec.gov/Archives/edgar/data/0001090425/000119312521020764/d111035dex41.htm" TargetMode="External"/><Relationship Id="rId201" Type="http://schemas.openxmlformats.org/officeDocument/2006/relationships/hyperlink" Target="https://www.sec.gov/Archives/edgar/data/899045/000162828022012480/lamr-20220331x10qxexx41.htm" TargetMode="External"/><Relationship Id="rId202" Type="http://schemas.openxmlformats.org/officeDocument/2006/relationships/hyperlink" Target="https://www.sec.gov/Archives/edgar/data/899045/000162828022020393/lamr-20220630x10qxexx41.htm" TargetMode="External"/><Relationship Id="rId203" Type="http://schemas.openxmlformats.org/officeDocument/2006/relationships/hyperlink" Target="https://www.sec.gov/Archives/edgar/data/0001090425/000119312521193497/d361202dex41.htm" TargetMode="External"/><Relationship Id="rId204" Type="http://schemas.openxmlformats.org/officeDocument/2006/relationships/hyperlink" Target="https://www.sec.gov/Archives/edgar/data/899045/000156459020005593/lamr-ex10a1_478.htm" TargetMode="External"/><Relationship Id="rId207" Type="http://schemas.openxmlformats.org/officeDocument/2006/relationships/hyperlink" Target="https://www.sec.gov/Archives/edgar/data/899045/000156459020005593/lamr-ex10a2_477.htm" TargetMode="External"/><Relationship Id="rId208" Type="http://schemas.openxmlformats.org/officeDocument/2006/relationships/hyperlink" Target="https://www.sec.gov/Archives/edgar/data/899045/000095013406005174/d33719exv10w16.txt" TargetMode="External"/><Relationship Id="rId209" Type="http://schemas.openxmlformats.org/officeDocument/2006/relationships/hyperlink" Target="https://www.sec.gov/Archives/edgar/data/1090425/000095013407012610/d47205exv10w1.htm" TargetMode="External"/><Relationship Id="rId210" Type="http://schemas.openxmlformats.org/officeDocument/2006/relationships/hyperlink" Target="https://www.sec.gov/Archives/edgar/data/899045/000156459017021772/lamr-ex101_170.htm" TargetMode="External"/><Relationship Id="rId211" Type="http://schemas.openxmlformats.org/officeDocument/2006/relationships/hyperlink" Target="https://www.sec.gov/Archives/edgar/data/1090425/000119312519166112/d760299dex102.htm" TargetMode="External"/><Relationship Id="rId212" Type="http://schemas.openxmlformats.org/officeDocument/2006/relationships/hyperlink" Target="https://www.sec.gov/Archives/edgar/data/1090425/000095013407019058/d49522exv10w1.htm" TargetMode="External"/><Relationship Id="rId213" Type="http://schemas.openxmlformats.org/officeDocument/2006/relationships/hyperlink" Target="https://www.sec.gov/Archives/edgar/data/899045/000095013505006967/b58122laexv10w2.txt" TargetMode="External"/><Relationship Id="rId214" Type="http://schemas.openxmlformats.org/officeDocument/2006/relationships/hyperlink" Target="https://www.sec.gov/Archives/edgar/data/899045/000119312514072774/d651857dex10d3.htm" TargetMode="External"/><Relationship Id="rId215" Type="http://schemas.openxmlformats.org/officeDocument/2006/relationships/hyperlink" Target="https://www.sec.gov/Archives/edgar/data/1090425/000119312516521502/d168422d8k.htm" TargetMode="External"/><Relationship Id="rId216" Type="http://schemas.openxmlformats.org/officeDocument/2006/relationships/hyperlink" Target="https://www.sec.gov/Archives/edgar/data/1090425/000119312516608341/d183173d8k.htm" TargetMode="External"/><Relationship Id="rId217" Type="http://schemas.openxmlformats.org/officeDocument/2006/relationships/hyperlink" Target="https://www.sec.gov/Archives/edgar/data/899045/000119312518355826/d678645dex101.htm" TargetMode="External"/><Relationship Id="rId218" Type="http://schemas.openxmlformats.org/officeDocument/2006/relationships/hyperlink" Target="https://www.sec.gov/Archives/edgar/data/899045/000119312518355826/d678645dex102.htm" TargetMode="External"/><Relationship Id="rId219" Type="http://schemas.openxmlformats.org/officeDocument/2006/relationships/hyperlink" Target="https://www.sec.gov/Archives/edgar/data/899045/000119312518355826/d678645dex103.htm" TargetMode="External"/><Relationship Id="rId222" Type="http://schemas.openxmlformats.org/officeDocument/2006/relationships/hyperlink" Target="https://www.sec.gov/Archives/edgar/data/899045/000119312518355826/d678645dex104.htm" TargetMode="External"/><Relationship Id="rId223" Type="http://schemas.openxmlformats.org/officeDocument/2006/relationships/hyperlink" Target="https://www.sec.gov/Archives/edgar/data/899045/000119312520033197/d889727dex104.htm" TargetMode="External"/><Relationship Id="rId224" Type="http://schemas.openxmlformats.org/officeDocument/2006/relationships/hyperlink" Target="https://www.sec.gov/Archives/edgar/data/899045/000119312520033197/d889727dex105.htm" TargetMode="External"/><Relationship Id="rId225" Type="http://schemas.openxmlformats.org/officeDocument/2006/relationships/hyperlink" Target="https://www.sec.gov/Archives/edgar/data/899045/000119312520033197/d889727dex106.htm" TargetMode="External"/><Relationship Id="rId226" Type="http://schemas.openxmlformats.org/officeDocument/2006/relationships/hyperlink" Target="https://www.sec.gov/Archives/edgar/data/899045/000156459020037399/lamr-ex102_170.htm" TargetMode="External"/><Relationship Id="rId227" Type="http://schemas.openxmlformats.org/officeDocument/2006/relationships/hyperlink" Target="https://www.sec.gov/Archives/edgar/data/899045/000156459020037399/lamr-ex103_152.htm" TargetMode="External"/><Relationship Id="rId228" Type="http://schemas.openxmlformats.org/officeDocument/2006/relationships/hyperlink" Target="https://www.sec.gov/Archives/edgar/data/899045/000119312520187830/d864629dex101.htm" TargetMode="External"/><Relationship Id="rId229" Type="http://schemas.openxmlformats.org/officeDocument/2006/relationships/hyperlink" Target="https://www.sec.gov/Archives/edgar/data/899045/000119312520276938/d25262dex101.htm" TargetMode="External"/><Relationship Id="rId230" Type="http://schemas.openxmlformats.org/officeDocument/2006/relationships/hyperlink" Target="https://www.sec.gov/Archives/edgar/data/0001090425/000119312521176922/d175058dex101.htm" TargetMode="External"/><Relationship Id="rId231" Type="http://schemas.openxmlformats.org/officeDocument/2006/relationships/hyperlink" Target="https://www.sec.gov/Archives/edgar/data/899045/000119312522186266/d376417dex101.htm" TargetMode="External"/><Relationship Id="rId234" Type="http://schemas.openxmlformats.org/officeDocument/2006/relationships/hyperlink" Target="https://www.sec.gov/Archives/edgar/data/899045/000095012310042765/d72662exv10w1.htm" TargetMode="External"/><Relationship Id="rId235" Type="http://schemas.openxmlformats.org/officeDocument/2006/relationships/hyperlink" Target="https://www.sec.gov/Archives/edgar/data/899045/000095012311018470/d78824exv10wpw2.htm" TargetMode="External"/><Relationship Id="rId236" Type="http://schemas.openxmlformats.org/officeDocument/2006/relationships/hyperlink" Target="https://www.sec.gov/Archives/edgar/data/899045/000095012311018470/d78824exv10wpw3.htm" TargetMode="External"/><Relationship Id="rId237" Type="http://schemas.openxmlformats.org/officeDocument/2006/relationships/hyperlink" Target="https://www.sec.gov/Archives/edgar/data/899045/000119312512057440/d299753dex102.htm" TargetMode="External"/><Relationship Id="rId238" Type="http://schemas.openxmlformats.org/officeDocument/2006/relationships/hyperlink" Target="https://www.sec.gov/Archives/edgar/data/899045/000119312514072774/d651857dex10f11.htm" TargetMode="External"/><Relationship Id="rId239" Type="http://schemas.openxmlformats.org/officeDocument/2006/relationships/hyperlink" Target="https://www.sec.gov/Archives/edgar/data/899045/000119312514040877/d672556dex101.htm" TargetMode="External"/><Relationship Id="rId240" Type="http://schemas.openxmlformats.org/officeDocument/2006/relationships/hyperlink" Target="https://www.sec.gov/Archives/edgar/data/899045/000119312514152081/d715756dex101.htm" TargetMode="External"/><Relationship Id="rId241" Type="http://schemas.openxmlformats.org/officeDocument/2006/relationships/hyperlink" Target="https://www.sec.gov/Archives/edgar/data/899045/000119312516428976/d121868dex101.htm" TargetMode="External"/><Relationship Id="rId244" Type="http://schemas.openxmlformats.org/officeDocument/2006/relationships/hyperlink" Target="https://www.sec.gov/Archives/edgar/data/899045/000119312516496958/d138430dex101.htm" TargetMode="External"/><Relationship Id="rId245" Type="http://schemas.openxmlformats.org/officeDocument/2006/relationships/hyperlink" Target="https://www.sec.gov/Archives/edgar/data/899045/000119312517176596/d400789dex101.htm" TargetMode="External"/><Relationship Id="rId246" Type="http://schemas.openxmlformats.org/officeDocument/2006/relationships/hyperlink" Target="https://www.sec.gov/Archives/edgar/data/899045/000119312518089644/d545969dex101.htm" TargetMode="External"/><Relationship Id="rId247" Type="http://schemas.openxmlformats.org/officeDocument/2006/relationships/hyperlink" Target="https://www.sec.gov/Archives/edgar/data/899045/000119312518347754/d672539dex101.htm" TargetMode="External"/><Relationship Id="rId248" Type="http://schemas.openxmlformats.org/officeDocument/2006/relationships/hyperlink" Target="https://www.sec.gov/Archives/edgar/data/899045/000119312519014003/d690385dex101.htm" TargetMode="External"/><Relationship Id="rId249" Type="http://schemas.openxmlformats.org/officeDocument/2006/relationships/hyperlink" Target="https://www.sec.gov/Archives/edgar/data/899045/000119312512081940/d263372dex10p4.htm" TargetMode="External"/><Relationship Id="rId250" Type="http://schemas.openxmlformats.org/officeDocument/2006/relationships/hyperlink" Target="https://www.sec.gov/Archives/edgar/data/899045/000119312512081940/d263372dex10p5.htm" TargetMode="External"/><Relationship Id="rId251" Type="http://schemas.openxmlformats.org/officeDocument/2006/relationships/hyperlink" Target="https://www.sec.gov/Archives/edgar/data/899045/000119312512081940/d263372dex10p6.htm" TargetMode="External"/><Relationship Id="rId252" Type="http://schemas.openxmlformats.org/officeDocument/2006/relationships/hyperlink" Target="https://www.sec.gov/Archives/edgar/data/899045/000119312513084458/d446463dex10f9.htm" TargetMode="External"/><Relationship Id="rId255" Type="http://schemas.openxmlformats.org/officeDocument/2006/relationships/hyperlink" Target="https://www.sec.gov/Archives/edgar/data/899045/000119312513084458/d446463dex10f10.htm" TargetMode="External"/><Relationship Id="rId256" Type="http://schemas.openxmlformats.org/officeDocument/2006/relationships/hyperlink" Target="https://www.sec.gov/Archives/edgar/data/899045/000119312514072774/d651857dex10f12.htm" TargetMode="External"/><Relationship Id="rId257" Type="http://schemas.openxmlformats.org/officeDocument/2006/relationships/hyperlink" Target="https://www.sec.gov/Archives/edgar/data/899045/000119312514072774/d651857dex10f13.htm" TargetMode="External"/><Relationship Id="rId258" Type="http://schemas.openxmlformats.org/officeDocument/2006/relationships/hyperlink" Target="https://www.sec.gov/Archives/edgar/data/899045/000119312514072774/d651857dex10f14.htm" TargetMode="External"/><Relationship Id="rId259" Type="http://schemas.openxmlformats.org/officeDocument/2006/relationships/hyperlink" Target="https://www.sec.gov/Archives/edgar/data/899045/000119312514072774/d651857dex10f15.htm" TargetMode="External"/><Relationship Id="rId260" Type="http://schemas.openxmlformats.org/officeDocument/2006/relationships/hyperlink" Target="https://www.sec.gov/Archives/edgar/data/899045/000156459017002293/lamr-ex10f20_934.htm" TargetMode="External"/><Relationship Id="rId261" Type="http://schemas.openxmlformats.org/officeDocument/2006/relationships/hyperlink" Target="https://www.sec.gov/Archives/edgar/data/899045/000156459018010171/lamr-ex101_92.htm" TargetMode="External"/><Relationship Id="rId263" Type="http://schemas.openxmlformats.org/officeDocument/2006/relationships/hyperlink" Target="https://www.sec.gov/Archives/edgar/data/899045/000156459019015115/lamr-ex103_84.htm" TargetMode="External"/><Relationship Id="rId264" Type="http://schemas.openxmlformats.org/officeDocument/2006/relationships/hyperlink" Target="https://www.sec.gov/Archives/edgar/data/899045/000156459019015115/lamr-ex104_83.htm" TargetMode="External"/><Relationship Id="rId265" Type="http://schemas.openxmlformats.org/officeDocument/2006/relationships/hyperlink" Target="https://www.sec.gov/Archives/edgar/data/899045/000156459019040322/lamr-ex101_137.htm" TargetMode="External"/><Relationship Id="rId266" Type="http://schemas.openxmlformats.org/officeDocument/2006/relationships/hyperlink" Target="https://www.sec.gov/Archives/edgar/data/899045/000119312520033197/d889727dex103.htm" TargetMode="External"/><Relationship Id="rId267" Type="http://schemas.openxmlformats.org/officeDocument/2006/relationships/hyperlink" Target="https://www.sec.gov/Archives/edgar/data/899045/000162828022012480/lamr-20220331x10qxexx101.htm" TargetMode="External"/><Relationship Id="rId268" Type="http://schemas.openxmlformats.org/officeDocument/2006/relationships/hyperlink" Target="https://www.sec.gov/Archives/edgar/data/899045/000162828022020393/lamr-20220630x10qxexx101.htm" TargetMode="External"/><Relationship Id="rId272" Type="http://schemas.openxmlformats.org/officeDocument/2006/relationships/hyperlink" Target="https://www.sec.gov/Archives/edgar/data/899045/000119312522210548/d380331dex101.htm" TargetMode="External"/><Relationship Id="rId273" Type="http://schemas.openxmlformats.org/officeDocument/2006/relationships/hyperlink" Target="https://www.sec.gov/Archives/edgar/data/899045/000119312522189555/d349853dex101.htm" TargetMode="External"/><Relationship Id="rId274" Type="http://schemas.openxmlformats.org/officeDocument/2006/relationships/hyperlink" Target="https://www.sec.gov/Archives/edgar/data/899045/000119312522189555/d349853dex102.htm" TargetMode="External"/><Relationship Id="rId275" Type="http://schemas.openxmlformats.org/officeDocument/2006/relationships/hyperlink" Target="https://www.sec.gov/Archives/edgar/data/1090425/000119312514417756/d8230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2023-02-24T10:02:37Z</dcterms:created>
  <dcterms:modified xsi:type="dcterms:W3CDTF">2023-02-24T10:02:37Z</dcterms:modified>
</cp:coreProperties>
</file>