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4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w:t>
      </w:r>
    </w:p>
    <w:p>
      <w:pPr>
        <w:pStyle w:val="TextBody"/>
        <w:spacing w:lineRule="auto" w:line="288" w:before="60" w:after="283"/>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w:t>
      </w:r>
    </w:p>
    <w:tbl>
      <w:tblPr>
        <w:tblW w:w="5697" w:type="dxa"/>
        <w:jc w:val="left"/>
        <w:tblInd w:w="0" w:type="dxa"/>
        <w:tblCellMar>
          <w:top w:w="28" w:type="dxa"/>
          <w:left w:w="28" w:type="dxa"/>
          <w:bottom w:w="28" w:type="dxa"/>
          <w:right w:w="28" w:type="dxa"/>
        </w:tblCellMar>
      </w:tblPr>
      <w:tblGrid>
        <w:gridCol w:w="124"/>
        <w:gridCol w:w="109"/>
        <w:gridCol w:w="109"/>
        <w:gridCol w:w="1566"/>
        <w:gridCol w:w="1566"/>
        <w:gridCol w:w="222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c>
          <w:tcPr>
            <w:tcW w:w="222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x</w:t>
            </w:r>
          </w:p>
        </w:tc>
        <w:tc>
          <w:tcPr>
            <w:tcW w:w="53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14"/>
              </w:rPr>
            </w:pPr>
            <w:r>
              <w:rPr>
                <w:rFonts w:ascii="Times New Roman;sans-serif" w:hAnsi="Times New Roman;sans-serif"/>
                <w:b/>
                <w:color w:val="000000"/>
                <w:sz w:val="14"/>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For the quarterly period ended March 31, 2023</w:t>
      </w:r>
    </w:p>
    <w:p>
      <w:pPr>
        <w:pStyle w:val="TextBody"/>
        <w:spacing w:lineRule="auto" w:line="288" w:before="60" w:after="283"/>
        <w:jc w:val="center"/>
        <w:rPr>
          <w:rFonts w:ascii="Times New Roman;sans-serif" w:hAnsi="Times New Roman;sans-serif"/>
          <w:b/>
          <w:color w:val="000000"/>
          <w:sz w:val="14"/>
        </w:rPr>
      </w:pPr>
      <w:r>
        <w:rPr>
          <w:rFonts w:ascii="Times New Roman;sans-serif" w:hAnsi="Times New Roman;sans-serif"/>
          <w:b/>
          <w:color w:val="000000"/>
          <w:sz w:val="14"/>
        </w:rPr>
        <w:t>or</w:t>
      </w:r>
    </w:p>
    <w:tbl>
      <w:tblPr>
        <w:tblW w:w="5741" w:type="dxa"/>
        <w:jc w:val="left"/>
        <w:tblInd w:w="0" w:type="dxa"/>
        <w:tblCellMar>
          <w:top w:w="28" w:type="dxa"/>
          <w:left w:w="28" w:type="dxa"/>
          <w:bottom w:w="28" w:type="dxa"/>
          <w:right w:w="28" w:type="dxa"/>
        </w:tblCellMar>
      </w:tblPr>
      <w:tblGrid>
        <w:gridCol w:w="124"/>
        <w:gridCol w:w="109"/>
        <w:gridCol w:w="109"/>
        <w:gridCol w:w="1580"/>
        <w:gridCol w:w="1580"/>
        <w:gridCol w:w="22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c>
          <w:tcPr>
            <w:tcW w:w="22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60" w:after="283"/>
              <w:jc w:val="left"/>
              <w:rPr>
                <w:color w:val="000000"/>
              </w:rPr>
            </w:pPr>
            <w:r>
              <w:rPr>
                <w:color w:val="000000"/>
              </w:rPr>
              <w:t>☐</w:t>
            </w:r>
          </w:p>
        </w:tc>
        <w:tc>
          <w:tcPr>
            <w:tcW w:w="539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14"/>
              </w:rPr>
            </w:pPr>
            <w:r>
              <w:rPr>
                <w:rFonts w:ascii="Times New Roman;sans-serif" w:hAnsi="Times New Roman;sans-serif"/>
                <w:b/>
                <w:color w:val="000000"/>
                <w:sz w:val="14"/>
              </w:rPr>
              <w:t>Transition Report Pursuant to Section 13 or 15(d) of the Securities Exchange Act of 1934</w:t>
            </w:r>
          </w:p>
        </w:tc>
      </w:tr>
    </w:tbl>
    <w:p>
      <w:pPr>
        <w:pStyle w:val="TextBody"/>
        <w:spacing w:lineRule="auto" w:line="288" w:before="60" w:after="283"/>
        <w:jc w:val="center"/>
        <w:rPr/>
      </w:pPr>
      <w:r>
        <w:rPr>
          <w:rFonts w:ascii="Times New Roman;sans-serif" w:hAnsi="Times New Roman;sans-serif"/>
          <w:b/>
          <w:color w:val="000000"/>
          <w:sz w:val="14"/>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4"/>
        </w:rPr>
        <w:t xml:space="preserve">to </w:t>
      </w:r>
      <w:r>
        <w:rPr>
          <w:color w:val="000000"/>
          <w:u w:val="single"/>
        </w:rPr>
        <w:t>                    </w:t>
      </w:r>
    </w:p>
    <w:p>
      <w:pPr>
        <w:pStyle w:val="TextBody"/>
        <w:spacing w:lineRule="auto" w:line="288" w:before="60" w:after="283"/>
        <w:jc w:val="center"/>
        <w:rPr>
          <w:rFonts w:ascii="Times New Roman;sans-serif" w:hAnsi="Times New Roman;sans-serif"/>
          <w:b/>
          <w:i/>
          <w:color w:val="000000"/>
          <w:sz w:val="14"/>
        </w:rPr>
      </w:pPr>
      <w:r>
        <w:rPr>
          <w:rFonts w:ascii="Times New Roman;sans-serif" w:hAnsi="Times New Roman;sans-serif"/>
          <w:b/>
          <w:i/>
          <w:color w:val="000000"/>
          <w:sz w:val="14"/>
        </w:rPr>
        <w:t>Commission File Number 1-36756</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Lamar Advertising Company</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________________________________________________</w:t>
      </w:r>
    </w:p>
    <w:p>
      <w:pPr>
        <w:pStyle w:val="TextBody"/>
        <w:spacing w:lineRule="auto" w:line="288" w:before="60" w:after="283"/>
        <w:jc w:val="center"/>
        <w:rPr>
          <w:rFonts w:ascii="Times New Roman;sans-serif" w:hAnsi="Times New Roman;sans-serif"/>
          <w:b/>
          <w:i/>
          <w:color w:val="000000"/>
          <w:sz w:val="16"/>
        </w:rPr>
      </w:pPr>
      <w:r>
        <w:rPr>
          <w:rFonts w:ascii="Times New Roman;sans-serif" w:hAnsi="Times New Roman;sans-serif"/>
          <w:b/>
          <w:i/>
          <w:color w:val="000000"/>
          <w:sz w:val="16"/>
        </w:rPr>
        <w:t>Commission File Number 1-12407</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________________________________________________</w:t>
      </w:r>
    </w:p>
    <w:p>
      <w:pPr>
        <w:pStyle w:val="TextBody"/>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Lamar Media Corp.</w:t>
      </w:r>
    </w:p>
    <w:p>
      <w:pPr>
        <w:pStyle w:val="TextBody"/>
        <w:spacing w:lineRule="auto" w:line="288" w:before="60" w:after="283"/>
        <w:jc w:val="center"/>
        <w:rPr>
          <w:rFonts w:ascii="Times New Roman;sans-serif" w:hAnsi="Times New Roman;sans-serif"/>
          <w:b/>
          <w:i/>
          <w:color w:val="000000"/>
          <w:sz w:val="16"/>
        </w:rPr>
      </w:pPr>
      <w:r>
        <w:rPr>
          <w:rFonts w:ascii="Times New Roman;sans-serif" w:hAnsi="Times New Roman;sans-serif"/>
          <w:b/>
          <w:i/>
          <w:color w:val="000000"/>
          <w:sz w:val="16"/>
        </w:rPr>
        <w:t>(Exact name of registrants as specified in their charters)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tbl>
      <w:tblPr>
        <w:tblW w:w="6282" w:type="dxa"/>
        <w:jc w:val="left"/>
        <w:tblInd w:w="0" w:type="dxa"/>
        <w:tblCellMar>
          <w:top w:w="28" w:type="dxa"/>
          <w:left w:w="28" w:type="dxa"/>
          <w:bottom w:w="28" w:type="dxa"/>
          <w:right w:w="28" w:type="dxa"/>
        </w:tblCellMar>
      </w:tblPr>
      <w:tblGrid>
        <w:gridCol w:w="1358"/>
        <w:gridCol w:w="1190"/>
        <w:gridCol w:w="1202"/>
        <w:gridCol w:w="109"/>
        <w:gridCol w:w="109"/>
        <w:gridCol w:w="109"/>
        <w:gridCol w:w="644"/>
        <w:gridCol w:w="644"/>
        <w:gridCol w:w="917"/>
      </w:tblGrid>
      <w:tr>
        <w:trPr/>
        <w:tc>
          <w:tcPr>
            <w:tcW w:w="1358"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r>
      <w:tr>
        <w:trPr/>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47-0961620</w:t>
            </w:r>
          </w:p>
        </w:tc>
      </w:tr>
      <w:tr>
        <w:trPr/>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72-1205791</w:t>
            </w:r>
          </w:p>
        </w:tc>
      </w:tr>
      <w:tr>
        <w:trPr/>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4"/>
              </w:rPr>
            </w:pPr>
            <w:r>
              <w:rPr>
                <w:rFonts w:ascii="Times New Roman;sans-serif" w:hAnsi="Times New Roman;sans-serif"/>
                <w:b/>
                <w:i/>
                <w:color w:val="000000"/>
                <w:sz w:val="14"/>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4"/>
              </w:rPr>
            </w:pPr>
            <w:r>
              <w:rPr>
                <w:rFonts w:ascii="Times New Roman;sans-serif" w:hAnsi="Times New Roman;sans-serif"/>
                <w:b/>
                <w:i/>
                <w:color w:val="000000"/>
                <w:sz w:val="14"/>
              </w:rPr>
              <w:t>(I.R.S Employer Identification No.)</w:t>
            </w:r>
          </w:p>
        </w:tc>
      </w:tr>
      <w:tr>
        <w:trPr/>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5321 Corporate Blvd., Baton Rouge, LA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70808</w:t>
            </w:r>
          </w:p>
        </w:tc>
      </w:tr>
      <w:tr>
        <w:trPr/>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spacing w:lineRule="auto" w:line="288" w:before="60" w:after="283"/>
        <w:jc w:val="center"/>
        <w:rPr>
          <w:rFonts w:ascii="Times New Roman;sans-serif" w:hAnsi="Times New Roman;sans-serif"/>
          <w:b/>
          <w:color w:val="000000"/>
          <w:sz w:val="12"/>
        </w:rPr>
      </w:pPr>
      <w:r>
        <w:rPr>
          <w:rFonts w:ascii="Times New Roman;sans-serif" w:hAnsi="Times New Roman;sans-serif"/>
          <w:b/>
          <w:color w:val="000000"/>
          <w:sz w:val="12"/>
        </w:rPr>
        <w:t>Registrants’ telephone number, including area code: (225) 926-1000  </w:t>
      </w:r>
    </w:p>
    <w:p>
      <w:pPr>
        <w:pStyle w:val="TextBody"/>
        <w:spacing w:lineRule="auto" w:line="288" w:before="6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Securities registered pursuant to Section 12(b) of the Act:</w:t>
      </w:r>
    </w:p>
    <w:tbl>
      <w:tblPr>
        <w:tblW w:w="6254" w:type="dxa"/>
        <w:jc w:val="left"/>
        <w:tblInd w:w="0" w:type="dxa"/>
        <w:tblCellMar>
          <w:top w:w="28" w:type="dxa"/>
          <w:left w:w="28" w:type="dxa"/>
          <w:bottom w:w="28" w:type="dxa"/>
          <w:right w:w="28" w:type="dxa"/>
        </w:tblCellMar>
      </w:tblPr>
      <w:tblGrid>
        <w:gridCol w:w="886"/>
        <w:gridCol w:w="776"/>
        <w:gridCol w:w="783"/>
        <w:gridCol w:w="394"/>
        <w:gridCol w:w="394"/>
        <w:gridCol w:w="396"/>
        <w:gridCol w:w="768"/>
        <w:gridCol w:w="768"/>
        <w:gridCol w:w="1089"/>
      </w:tblGrid>
      <w:tr>
        <w:trPr/>
        <w:tc>
          <w:tcPr>
            <w:tcW w:w="886"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Title of each class</w:t>
            </w:r>
          </w:p>
        </w:tc>
        <w:tc>
          <w:tcPr>
            <w:tcW w:w="118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Trading Symbol(s)</w:t>
            </w:r>
          </w:p>
        </w:tc>
        <w:tc>
          <w:tcPr>
            <w:tcW w:w="26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Name of each exchange on which registered</w:t>
            </w:r>
          </w:p>
        </w:tc>
      </w:tr>
      <w:tr>
        <w:trPr/>
        <w:tc>
          <w:tcPr>
            <w:tcW w:w="244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Class A common stock, $0.001 par value</w:t>
            </w:r>
          </w:p>
        </w:tc>
        <w:tc>
          <w:tcPr>
            <w:tcW w:w="118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LAMR</w:t>
            </w:r>
          </w:p>
        </w:tc>
        <w:tc>
          <w:tcPr>
            <w:tcW w:w="262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The NASDAQ Stock Market, LLC</w:t>
            </w:r>
          </w:p>
        </w:tc>
      </w:tr>
    </w:tbl>
    <w:p>
      <w:pPr>
        <w:pStyle w:val="TextBody"/>
        <w:spacing w:lineRule="auto" w:line="288" w:before="60" w:after="283"/>
        <w:jc w:val="both"/>
        <w:rPr/>
      </w:pPr>
      <w:r>
        <w:rPr>
          <w:rFonts w:ascii="Times New Roman;sans-serif" w:hAnsi="Times New Roman;sans-serif"/>
          <w:b w:val="false"/>
          <w:color w:val="000000"/>
          <w:sz w:val="14"/>
        </w:rPr>
        <w:t>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4"/>
        </w:rPr>
        <w:t>x</w:t>
      </w:r>
      <w:r>
        <w:rPr>
          <w:color w:val="000000"/>
        </w:rPr>
        <w:t>    </w:t>
      </w:r>
      <w:r>
        <w:rPr>
          <w:rFonts w:ascii="Times New Roman;sans-serif" w:hAnsi="Times New Roman;sans-serif"/>
          <w:b w:val="false"/>
          <w:color w:val="000000"/>
          <w:sz w:val="14"/>
        </w:rPr>
        <w:t>No  </w:t>
      </w:r>
      <w:r>
        <w:rPr>
          <w:color w:val="000000"/>
        </w:rPr>
        <w:t>☐</w:t>
      </w:r>
    </w:p>
    <w:p>
      <w:pPr>
        <w:pStyle w:val="TextBody"/>
        <w:spacing w:lineRule="auto" w:line="288" w:before="60" w:after="283"/>
        <w:jc w:val="both"/>
        <w:rPr/>
      </w:pPr>
      <w:r>
        <w:rPr>
          <w:rFonts w:ascii="Times New Roman;sans-serif" w:hAnsi="Times New Roman;sans-serif"/>
          <w:b w:val="false"/>
          <w:color w:val="000000"/>
          <w:sz w:val="14"/>
        </w:rPr>
        <w:t>Indicate by check mark whether each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4"/>
        </w:rPr>
        <w:t>x</w:t>
      </w:r>
      <w:r>
        <w:rPr>
          <w:color w:val="000000"/>
        </w:rPr>
        <w:t>    </w:t>
      </w:r>
      <w:r>
        <w:rPr>
          <w:rFonts w:ascii="Times New Roman;sans-serif" w:hAnsi="Times New Roman;sans-serif"/>
          <w:b w:val="false"/>
          <w:color w:val="000000"/>
          <w:sz w:val="14"/>
        </w:rPr>
        <w:t>No  </w:t>
      </w:r>
      <w:r>
        <w:rPr>
          <w:color w:val="000000"/>
        </w:rPr>
        <w:t>☐</w:t>
      </w:r>
    </w:p>
    <w:p>
      <w:pPr>
        <w:pStyle w:val="TextBody"/>
        <w:spacing w:lineRule="auto" w:line="288" w:before="60" w:after="283"/>
        <w:jc w:val="both"/>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Lamar Advertising Company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56" w:type="dxa"/>
        <w:jc w:val="left"/>
        <w:tblInd w:w="0" w:type="dxa"/>
        <w:tblCellMar>
          <w:top w:w="28" w:type="dxa"/>
          <w:left w:w="28" w:type="dxa"/>
          <w:bottom w:w="28" w:type="dxa"/>
          <w:right w:w="28" w:type="dxa"/>
        </w:tblCellMar>
      </w:tblPr>
      <w:tblGrid>
        <w:gridCol w:w="603"/>
        <w:gridCol w:w="530"/>
        <w:gridCol w:w="532"/>
        <w:gridCol w:w="109"/>
        <w:gridCol w:w="109"/>
        <w:gridCol w:w="109"/>
        <w:gridCol w:w="109"/>
        <w:gridCol w:w="109"/>
        <w:gridCol w:w="109"/>
        <w:gridCol w:w="554"/>
        <w:gridCol w:w="554"/>
        <w:gridCol w:w="557"/>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both"/>
        <w:rPr>
          <w:rFonts w:ascii="Times New Roman;sans-serif" w:hAnsi="Times New Roman;sans-serif"/>
          <w:b w:val="false"/>
          <w:color w:val="000000"/>
          <w:sz w:val="14"/>
        </w:rPr>
      </w:pPr>
      <w:r>
        <w:rPr>
          <w:rFonts w:ascii="Times New Roman;sans-serif" w:hAnsi="Times New Roman;sans-serif"/>
          <w:b w:val="false"/>
          <w:color w:val="000000"/>
          <w:sz w:val="14"/>
        </w:rPr>
        <w:t>If an emerging growth company, indicate by check mark if Lamar Advertising Company has elected not to use the extended transition period for complying with any new or revised financial accounting standards provided pursuant to Section 13(a) of the Exchange Act. ☐</w:t>
      </w:r>
    </w:p>
    <w:p>
      <w:pPr>
        <w:pStyle w:val="TextBody"/>
        <w:spacing w:lineRule="auto" w:line="288" w:before="60" w:after="283"/>
        <w:jc w:val="both"/>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Lamar Media Corp.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356" w:type="dxa"/>
        <w:jc w:val="left"/>
        <w:tblInd w:w="0" w:type="dxa"/>
        <w:tblCellMar>
          <w:top w:w="28" w:type="dxa"/>
          <w:left w:w="28" w:type="dxa"/>
          <w:bottom w:w="28" w:type="dxa"/>
          <w:right w:w="28" w:type="dxa"/>
        </w:tblCellMar>
      </w:tblPr>
      <w:tblGrid>
        <w:gridCol w:w="603"/>
        <w:gridCol w:w="530"/>
        <w:gridCol w:w="532"/>
        <w:gridCol w:w="109"/>
        <w:gridCol w:w="109"/>
        <w:gridCol w:w="109"/>
        <w:gridCol w:w="109"/>
        <w:gridCol w:w="109"/>
        <w:gridCol w:w="109"/>
        <w:gridCol w:w="554"/>
        <w:gridCol w:w="554"/>
        <w:gridCol w:w="557"/>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both"/>
        <w:rPr/>
      </w:pPr>
      <w:r>
        <w:rPr>
          <w:rFonts w:ascii="Times New Roman;sans-serif" w:hAnsi="Times New Roman;sans-serif"/>
          <w:b w:val="false"/>
          <w:color w:val="000000"/>
          <w:sz w:val="14"/>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60" w:after="283"/>
        <w:jc w:val="both"/>
        <w:rPr/>
      </w:pPr>
      <w:r>
        <w:rPr>
          <w:rFonts w:ascii="Times New Roman;sans-serif" w:hAnsi="Times New Roman;sans-serif"/>
          <w:b w:val="false"/>
          <w:color w:val="000000"/>
          <w:sz w:val="14"/>
        </w:rPr>
        <w:t>Indicate by check mark whether Lamar Advertising Company is a shell company (as defined in Rule 12b-2 of the Exchange Act):    Yes  </w:t>
      </w:r>
      <w:r>
        <w:rPr>
          <w:color w:val="000000"/>
        </w:rPr>
        <w:t>☐    </w:t>
      </w:r>
      <w:r>
        <w:rPr>
          <w:rFonts w:ascii="Times New Roman;sans-serif" w:hAnsi="Times New Roman;sans-serif"/>
          <w:b w:val="false"/>
          <w:color w:val="000000"/>
          <w:sz w:val="14"/>
        </w:rPr>
        <w:t>No  </w:t>
      </w:r>
      <w:r>
        <w:rPr>
          <w:rFonts w:ascii="Wingdings;sans-serif" w:hAnsi="Wingdings;sans-serif"/>
          <w:b w:val="false"/>
          <w:color w:val="000000"/>
          <w:sz w:val="14"/>
        </w:rPr>
        <w:t>x</w:t>
      </w:r>
    </w:p>
    <w:p>
      <w:pPr>
        <w:pStyle w:val="TextBody"/>
        <w:spacing w:lineRule="auto" w:line="288" w:before="60" w:after="283"/>
        <w:jc w:val="both"/>
        <w:rPr/>
      </w:pPr>
      <w:r>
        <w:rPr>
          <w:rFonts w:ascii="Times New Roman;sans-serif" w:hAnsi="Times New Roman;sans-serif"/>
          <w:b w:val="false"/>
          <w:color w:val="000000"/>
          <w:sz w:val="14"/>
        </w:rPr>
        <w:t>Indicate by check mark whether Lamar Media Corp. is a shell company (as defined in Rule 12b-2 of the Exchange Act):    Yes  </w:t>
      </w:r>
      <w:r>
        <w:rPr>
          <w:color w:val="000000"/>
        </w:rPr>
        <w:t>☐    </w:t>
      </w:r>
      <w:r>
        <w:rPr>
          <w:rFonts w:ascii="Times New Roman;sans-serif" w:hAnsi="Times New Roman;sans-serif"/>
          <w:b w:val="false"/>
          <w:color w:val="000000"/>
          <w:sz w:val="14"/>
        </w:rPr>
        <w:t>No  </w:t>
      </w:r>
      <w:r>
        <w:rPr>
          <w:rFonts w:ascii="Wingdings;sans-serif" w:hAnsi="Wingdings;sans-serif"/>
          <w:b w:val="false"/>
          <w:color w:val="000000"/>
          <w:sz w:val="14"/>
        </w:rPr>
        <w:t>x</w:t>
      </w:r>
    </w:p>
    <w:p>
      <w:pPr>
        <w:pStyle w:val="TextBody"/>
        <w:spacing w:lineRule="auto" w:line="288" w:before="60" w:after="283"/>
        <w:jc w:val="both"/>
        <w:rPr>
          <w:rFonts w:ascii="Times New Roman;sans-serif" w:hAnsi="Times New Roman;sans-serif"/>
          <w:b w:val="false"/>
          <w:color w:val="000000"/>
          <w:sz w:val="14"/>
        </w:rPr>
      </w:pPr>
      <w:r>
        <w:rPr>
          <w:rFonts w:ascii="Times New Roman;sans-serif" w:hAnsi="Times New Roman;sans-serif"/>
          <w:b w:val="false"/>
          <w:color w:val="000000"/>
          <w:sz w:val="14"/>
        </w:rPr>
        <w:t>The number of shares of Lamar Advertising Company’s Class A common stock outstanding as of April 28, 2023: 87,487,301 </w:t>
      </w:r>
    </w:p>
    <w:p>
      <w:pPr>
        <w:pStyle w:val="TextBody"/>
        <w:spacing w:lineRule="auto" w:line="288" w:before="60" w:after="283"/>
        <w:jc w:val="both"/>
        <w:rPr>
          <w:rFonts w:ascii="Times New Roman;sans-serif" w:hAnsi="Times New Roman;sans-serif"/>
          <w:b w:val="false"/>
          <w:color w:val="000000"/>
          <w:sz w:val="14"/>
        </w:rPr>
      </w:pPr>
      <w:r>
        <w:rPr>
          <w:rFonts w:ascii="Times New Roman;sans-serif" w:hAnsi="Times New Roman;sans-serif"/>
          <w:b w:val="false"/>
          <w:color w:val="000000"/>
          <w:sz w:val="14"/>
        </w:rPr>
        <w:t>The number of shares of the Lamar Advertising Company’s Class B common stock outstanding as of April 28, 2023: 14,420,085</w:t>
      </w:r>
    </w:p>
    <w:p>
      <w:pPr>
        <w:pStyle w:val="TextBody"/>
        <w:spacing w:lineRule="auto" w:line="288" w:before="60" w:after="283"/>
        <w:jc w:val="both"/>
        <w:rPr>
          <w:rFonts w:ascii="Times New Roman;sans-serif" w:hAnsi="Times New Roman;sans-serif"/>
          <w:b w:val="false"/>
          <w:color w:val="000000"/>
          <w:sz w:val="14"/>
        </w:rPr>
      </w:pPr>
      <w:r>
        <w:rPr>
          <w:rFonts w:ascii="Times New Roman;sans-serif" w:hAnsi="Times New Roman;sans-serif"/>
          <w:b w:val="false"/>
          <w:color w:val="000000"/>
          <w:sz w:val="14"/>
        </w:rPr>
        <w:t>The number of shares of Lamar Media Corp. common stock outstanding as of April 28, 2023: 100</w:t>
      </w:r>
    </w:p>
    <w:p>
      <w:pPr>
        <w:pStyle w:val="TextBody"/>
        <w:spacing w:lineRule="auto" w:line="288" w:before="60" w:after="283"/>
        <w:jc w:val="both"/>
        <w:rPr/>
      </w:pPr>
      <w:r>
        <w:rPr>
          <w:rFonts w:ascii="Times New Roman;sans-serif" w:hAnsi="Times New Roman;sans-serif"/>
          <w:b/>
          <w:color w:val="000000"/>
          <w:sz w:val="14"/>
        </w:rPr>
        <w:t>This combined Form 10-Q is separately filed by (i) Lamar Advertising Company and (ii) Lamar Media Corp. (which is a wholly owned subsidiary of Lamar Advertising Company). Lamar Media Corp. meets the conditions set forth in general instruction H(1) (a) and (b) of Form 10-Q and is, therefore, filing this form with the reduced disclosure format permitted by such instruction</w:t>
      </w:r>
      <w:r>
        <w:rPr>
          <w:rFonts w:ascii="Times New Roman;sans-serif" w:hAnsi="Times New Roman;sans-serif"/>
          <w:b/>
          <w:color w:val="000000"/>
          <w:sz w:val="16"/>
        </w:rPr>
        <w:t>.</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NOTE REGARDING FORWARD-LOOKING STATEMENTS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our future financial performance and condition;</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our business plans, objectives, prospects, growth and operating strategies;</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our future capital expenditures and level of acquisition activity;</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our ability to integrate acquired assets and realize operating efficiency from acquisitions;</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market opportunities and competitive positions;</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our future cash flows and expected cash requirements;</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estimated risks;</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our ability to maintain compliance with applicable covenants and restrictions included in Lamar Media’s senior credit facility, Accounts Receivable Securitization Program and the indentures relating to its outstanding notes;</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stock price;</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estimated future dividend distributions; and</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our ability to remain qualified as a Real Estate Investment Trust (“REIT”).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subject to known and unknown risks, uncertainties and other important factors, including but not limited to the following, any of which may cause the actual results, performance or achievements of Lamar Advertising Company (referred to herein as the “Company” or “Lamar Advertising”) or Lamar Media Corp. (referred to herein as “Lamar Media”) to differ materially from those expressed or implied by the forward-looking statements:</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the state of the economy and financial markets generally and their effects on the markets in which we operate and the broader demand for advertising, including inflationary pressures;</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the levels of expenditures on advertising in general and outdoor advertising in particular;</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risks and uncertainties relating to our significant indebtedness;</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the demand for outdoor advertising and its continued popularity as an advertising medium;</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our need for, and ability to obtain, additional funding for acquisitions, operations and debt refinancing;</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increased competition within the outdoor advertising industry;</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the regulation of the outdoor advertising industry by federal, state and local governments;</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our ability to renew expiring contracts at favorable rates;</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the integration of businesses and assets that we acquire and our ability to recognize cost savings and operating efficiencies as a result of these acquisitions;</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our ability to successfully implement our digital deployment strategy;</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the market for our Class A common stock;</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changes in accounting principles, policies or guidelines;</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our ability to effectively mitigate the threat of and damages caused by hurricanes and other kinds of severe weather;</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our ability to maintain our status as a REIT; and</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changes in tax laws applicable to REITs or in the interpretation of those laws.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in this report are based on our current good faith beliefs, however, actual results may differ due to inaccurate assumptions, the factors listed above or other foreseeable or unforeseeable factors. Consequently, we cannot </w:t>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guarantee that any of the forward-looking statements will prove to be accurate. The forward-looking statements in this report speak only as of the date of this report, and Lamar Advertising and Lamar Media expressly disclaim any obligation or undertaking to update or revise any forward-looking statement contained in this report, except as required by law.</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further description of these and other risks and uncertainties, the Company encourages you to read carefully Item 1A to the combined Annual Report on Form 10-K for the year ended December 31, 2022 of the Company and Lamar Media (the “2022 Combined Form 10-K”), filed on February 24, 2023, and as such risk factors may be further updated or supplemented, from time to time, in our future combined Quarterly Reports on Form 10-Q and Current Reports on Form 8-K.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CONTENTS</w:t>
      </w:r>
    </w:p>
    <w:tbl>
      <w:tblPr>
        <w:tblW w:w="10205" w:type="dxa"/>
        <w:jc w:val="left"/>
        <w:tblInd w:w="0" w:type="dxa"/>
        <w:tblCellMar>
          <w:top w:w="28" w:type="dxa"/>
          <w:left w:w="28" w:type="dxa"/>
          <w:bottom w:w="28" w:type="dxa"/>
          <w:right w:w="28" w:type="dxa"/>
        </w:tblCellMar>
      </w:tblPr>
      <w:tblGrid>
        <w:gridCol w:w="3508"/>
        <w:gridCol w:w="3089"/>
        <w:gridCol w:w="3095"/>
        <w:gridCol w:w="149"/>
        <w:gridCol w:w="149"/>
        <w:gridCol w:w="215"/>
      </w:tblGrid>
      <w:tr>
        <w:trPr/>
        <w:tc>
          <w:tcPr>
            <w:tcW w:w="3508" w:type="dxa"/>
            <w:tcBorders/>
            <w:shd w:fill="auto" w:val="clear"/>
            <w:vAlign w:val="center"/>
          </w:tcPr>
          <w:p>
            <w:pPr>
              <w:pStyle w:val="TableContents"/>
              <w:spacing w:before="0" w:after="283"/>
              <w:rPr>
                <w:sz w:val="4"/>
                <w:szCs w:val="4"/>
              </w:rPr>
            </w:pPr>
            <w:r>
              <w:rPr>
                <w:sz w:val="4"/>
                <w:szCs w:val="4"/>
              </w:rPr>
            </w:r>
          </w:p>
        </w:tc>
        <w:tc>
          <w:tcPr>
            <w:tcW w:w="3089" w:type="dxa"/>
            <w:tcBorders/>
            <w:shd w:fill="auto" w:val="clear"/>
            <w:vAlign w:val="center"/>
          </w:tcPr>
          <w:p>
            <w:pPr>
              <w:pStyle w:val="TableContents"/>
              <w:spacing w:before="0" w:after="283"/>
              <w:rPr>
                <w:sz w:val="4"/>
                <w:szCs w:val="4"/>
              </w:rPr>
            </w:pPr>
            <w:r>
              <w:rPr>
                <w:sz w:val="4"/>
                <w:szCs w:val="4"/>
              </w:rPr>
            </w:r>
          </w:p>
        </w:tc>
        <w:tc>
          <w:tcPr>
            <w:tcW w:w="309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9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06d24cebc7b4749bd3661771216904e_13">
              <w:r>
                <w:rPr>
                  <w:rStyle w:val="InternetLink"/>
                  <w:rFonts w:ascii="Times New Roman;sans-serif" w:hAnsi="Times New Roman;sans-serif"/>
                  <w:b w:val="false"/>
                  <w:color w:val="0000FF"/>
                  <w:sz w:val="20"/>
                  <w:u w:val="single"/>
                </w:rPr>
                <w:t>PART I — FINANCIAL INFORMATION</w:t>
              </w:r>
            </w:hyperlink>
          </w:p>
        </w:tc>
        <w:tc>
          <w:tcPr>
            <w:tcW w:w="5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hyperlink w:anchor="i306d24cebc7b4749bd3661771216904e_13">
              <w:r>
                <w:rPr>
                  <w:rStyle w:val="InternetLink"/>
                  <w:rFonts w:ascii="Times New Roman;sans-serif" w:hAnsi="Times New Roman;sans-serif"/>
                  <w:b w:val="false"/>
                  <w:strike w:val="false"/>
                  <w:dstrike w:val="false"/>
                  <w:color w:val="000000"/>
                  <w:sz w:val="20"/>
                  <w:u w:val="none"/>
                  <w:effect w:val="none"/>
                </w:rPr>
                <w:t>5</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06d24cebc7b4749bd3661771216904e_16">
              <w:r>
                <w:rPr>
                  <w:rStyle w:val="InternetLink"/>
                  <w:rFonts w:ascii="Times New Roman;sans-serif" w:hAnsi="Times New Roman;sans-serif"/>
                  <w:b w:val="false"/>
                  <w:color w:val="0000FF"/>
                  <w:sz w:val="20"/>
                  <w:u w:val="single"/>
                </w:rPr>
                <w:t>ITEM 1. FINANCIAL STATEMENTS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06d24cebc7b4749bd3661771216904e_16">
              <w:r>
                <w:rPr>
                  <w:rStyle w:val="InternetLink"/>
                  <w:rFonts w:ascii="Times New Roman;sans-serif" w:hAnsi="Times New Roman;sans-serif"/>
                  <w:b w:val="false"/>
                  <w:strike w:val="false"/>
                  <w:dstrike w:val="false"/>
                  <w:color w:val="000000"/>
                  <w:sz w:val="20"/>
                  <w:u w:val="none"/>
                  <w:effect w:val="none"/>
                </w:rPr>
                <w:t>5</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Lamar Advertising Company</w:t>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06d24cebc7b4749bd3661771216904e_19">
              <w:r>
                <w:rPr>
                  <w:rStyle w:val="InternetLink"/>
                </w:rPr>
                <w:t xml:space="preserve">Condensed Consolidated Balance Sheets as of </w:t>
              </w:r>
            </w:hyperlink>
            <w:hyperlink w:anchor="i306d24cebc7b4749bd3661771216904e_19">
              <w:r>
                <w:rPr>
                  <w:rStyle w:val="InternetLink"/>
                </w:rPr>
                <w:t>March</w:t>
              </w:r>
            </w:hyperlink>
            <w:hyperlink w:anchor="i306d24cebc7b4749bd3661771216904e_19">
              <w:r>
                <w:rPr>
                  <w:rStyle w:val="InternetLink"/>
                </w:rPr>
                <w:t xml:space="preserve"> 3</w:t>
              </w:r>
            </w:hyperlink>
            <w:hyperlink w:anchor="i306d24cebc7b4749bd3661771216904e_19">
              <w:r>
                <w:rPr>
                  <w:rStyle w:val="InternetLink"/>
                </w:rPr>
                <w:t>1</w:t>
              </w:r>
            </w:hyperlink>
            <w:hyperlink w:anchor="i306d24cebc7b4749bd3661771216904e_19">
              <w:r>
                <w:rPr>
                  <w:rStyle w:val="InternetLink"/>
                </w:rPr>
                <w:t>, 202</w:t>
              </w:r>
            </w:hyperlink>
            <w:hyperlink w:anchor="i306d24cebc7b4749bd3661771216904e_19">
              <w:r>
                <w:rPr>
                  <w:rStyle w:val="InternetLink"/>
                </w:rPr>
                <w:t>3</w:t>
              </w:r>
            </w:hyperlink>
            <w:hyperlink w:anchor="i306d24cebc7b4749bd3661771216904e_19">
              <w:r>
                <w:rPr>
                  <w:rStyle w:val="InternetLink"/>
                </w:rPr>
                <w:t xml:space="preserve"> and December 31, 20</w:t>
              </w:r>
            </w:hyperlink>
            <w:hyperlink w:anchor="i306d24cebc7b4749bd3661771216904e_19">
              <w:r>
                <w:rPr>
                  <w:rStyle w:val="InternetLink"/>
                </w:rPr>
                <w:t>2</w:t>
              </w:r>
            </w:hyperlink>
            <w:hyperlink w:anchor="i306d24cebc7b4749bd3661771216904e_19">
              <w:r>
                <w:rPr>
                  <w:rStyle w:val="InternetLink"/>
                </w:rPr>
                <w:t>2</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06d24cebc7b4749bd3661771216904e_19">
              <w:r>
                <w:rPr>
                  <w:rStyle w:val="InternetLink"/>
                  <w:rFonts w:ascii="Times New Roman;sans-serif" w:hAnsi="Times New Roman;sans-serif"/>
                  <w:b w:val="false"/>
                  <w:strike w:val="false"/>
                  <w:dstrike w:val="false"/>
                  <w:color w:val="000000"/>
                  <w:sz w:val="20"/>
                  <w:u w:val="none"/>
                  <w:effect w:val="none"/>
                </w:rPr>
                <w:t>5</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306d24cebc7b4749bd3661771216904e_22">
              <w:r>
                <w:rPr>
                  <w:rStyle w:val="InternetLink"/>
                </w:rPr>
                <w:t>Condensed Consolidated Statements of Income and Comprehensive Income for the three</w:t>
              </w:r>
            </w:hyperlink>
            <w:hyperlink w:anchor="i306d24cebc7b4749bd3661771216904e_22">
              <w:r>
                <w:rPr>
                  <w:rStyle w:val="InternetLink"/>
                </w:rPr>
                <w:t xml:space="preserve"> months ended </w:t>
              </w:r>
            </w:hyperlink>
            <w:hyperlink w:anchor="i306d24cebc7b4749bd3661771216904e_22">
              <w:r>
                <w:rPr>
                  <w:rStyle w:val="InternetLink"/>
                </w:rPr>
                <w:t>March</w:t>
              </w:r>
            </w:hyperlink>
            <w:hyperlink w:anchor="i306d24cebc7b4749bd3661771216904e_22">
              <w:r>
                <w:rPr>
                  <w:rStyle w:val="InternetLink"/>
                </w:rPr>
                <w:t xml:space="preserve"> 3</w:t>
              </w:r>
            </w:hyperlink>
            <w:hyperlink w:anchor="i306d24cebc7b4749bd3661771216904e_22">
              <w:r>
                <w:rPr>
                  <w:rStyle w:val="InternetLink"/>
                </w:rPr>
                <w:t>1</w:t>
              </w:r>
            </w:hyperlink>
            <w:hyperlink w:anchor="i306d24cebc7b4749bd3661771216904e_22">
              <w:r>
                <w:rPr>
                  <w:rStyle w:val="InternetLink"/>
                </w:rPr>
                <w:t>, 202</w:t>
              </w:r>
            </w:hyperlink>
            <w:hyperlink w:anchor="i306d24cebc7b4749bd3661771216904e_22">
              <w:r>
                <w:rPr>
                  <w:rStyle w:val="InternetLink"/>
                </w:rPr>
                <w:t>3</w:t>
              </w:r>
            </w:hyperlink>
            <w:hyperlink w:anchor="i306d24cebc7b4749bd3661771216904e_22">
              <w:r>
                <w:rPr>
                  <w:rStyle w:val="InternetLink"/>
                </w:rPr>
                <w:t xml:space="preserve"> and 20</w:t>
              </w:r>
            </w:hyperlink>
            <w:hyperlink w:anchor="i306d24cebc7b4749bd3661771216904e_22">
              <w:r>
                <w:rPr>
                  <w:rStyle w:val="InternetLink"/>
                </w:rPr>
                <w:t>2</w:t>
              </w:r>
            </w:hyperlink>
            <w:hyperlink w:anchor="i306d24cebc7b4749bd3661771216904e_22">
              <w:r>
                <w:rPr>
                  <w:rStyle w:val="InternetLink"/>
                </w:rPr>
                <w:t>2</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06d24cebc7b4749bd3661771216904e_22">
              <w:r>
                <w:rPr>
                  <w:rStyle w:val="InternetLink"/>
                  <w:rFonts w:ascii="Times New Roman;sans-serif" w:hAnsi="Times New Roman;sans-serif"/>
                  <w:b w:val="false"/>
                  <w:strike w:val="false"/>
                  <w:dstrike w:val="false"/>
                  <w:color w:val="000000"/>
                  <w:sz w:val="20"/>
                  <w:u w:val="none"/>
                  <w:effect w:val="none"/>
                </w:rPr>
                <w:t>6</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70"/>
              <w:jc w:val="left"/>
              <w:rPr/>
            </w:pPr>
            <w:hyperlink w:anchor="i306d24cebc7b4749bd3661771216904e_25">
              <w:r>
                <w:rPr>
                  <w:rStyle w:val="InternetLink"/>
                </w:rPr>
                <w:t>Condensed Consolidated Statements of Stockholders’ Equity for the three</w:t>
              </w:r>
            </w:hyperlink>
            <w:hyperlink w:anchor="i306d24cebc7b4749bd3661771216904e_25">
              <w:r>
                <w:rPr>
                  <w:rStyle w:val="InternetLink"/>
                </w:rPr>
                <w:t xml:space="preserve"> months ended </w:t>
              </w:r>
            </w:hyperlink>
            <w:hyperlink w:anchor="i306d24cebc7b4749bd3661771216904e_25">
              <w:r>
                <w:rPr>
                  <w:rStyle w:val="InternetLink"/>
                </w:rPr>
                <w:t>March</w:t>
              </w:r>
            </w:hyperlink>
            <w:hyperlink w:anchor="i306d24cebc7b4749bd3661771216904e_25">
              <w:r>
                <w:rPr>
                  <w:rStyle w:val="InternetLink"/>
                </w:rPr>
                <w:t xml:space="preserve"> 3</w:t>
              </w:r>
            </w:hyperlink>
            <w:hyperlink w:anchor="i306d24cebc7b4749bd3661771216904e_25">
              <w:r>
                <w:rPr>
                  <w:rStyle w:val="InternetLink"/>
                </w:rPr>
                <w:t>1</w:t>
              </w:r>
            </w:hyperlink>
            <w:hyperlink w:anchor="i306d24cebc7b4749bd3661771216904e_25">
              <w:r>
                <w:rPr>
                  <w:rStyle w:val="InternetLink"/>
                </w:rPr>
                <w:t>, 202</w:t>
              </w:r>
            </w:hyperlink>
            <w:hyperlink w:anchor="i306d24cebc7b4749bd3661771216904e_25">
              <w:r>
                <w:rPr>
                  <w:rStyle w:val="InternetLink"/>
                </w:rPr>
                <w:t>3</w:t>
              </w:r>
            </w:hyperlink>
            <w:hyperlink w:anchor="i306d24cebc7b4749bd3661771216904e_25">
              <w:r>
                <w:rPr>
                  <w:rStyle w:val="InternetLink"/>
                </w:rPr>
                <w:t xml:space="preserve"> and 20</w:t>
              </w:r>
            </w:hyperlink>
            <w:hyperlink w:anchor="i306d24cebc7b4749bd3661771216904e_25">
              <w:r>
                <w:rPr>
                  <w:rStyle w:val="InternetLink"/>
                </w:rPr>
                <w:t>2</w:t>
              </w:r>
            </w:hyperlink>
            <w:hyperlink w:anchor="i306d24cebc7b4749bd3661771216904e_25">
              <w:r>
                <w:rPr>
                  <w:rStyle w:val="InternetLink"/>
                </w:rPr>
                <w:t>2</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06d24cebc7b4749bd3661771216904e_25">
              <w:r>
                <w:rPr>
                  <w:rStyle w:val="InternetLink"/>
                  <w:rFonts w:ascii="Times New Roman;sans-serif" w:hAnsi="Times New Roman;sans-serif"/>
                  <w:b w:val="false"/>
                  <w:strike w:val="false"/>
                  <w:dstrike w:val="false"/>
                  <w:color w:val="000000"/>
                  <w:sz w:val="20"/>
                  <w:u w:val="none"/>
                  <w:effect w:val="none"/>
                </w:rPr>
                <w:t>7</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06d24cebc7b4749bd3661771216904e_28">
              <w:r>
                <w:rPr>
                  <w:rStyle w:val="InternetLink"/>
                </w:rPr>
                <w:t xml:space="preserve">Condensed Consolidated Statements of Cash Flows for the </w:t>
              </w:r>
            </w:hyperlink>
            <w:hyperlink w:anchor="i306d24cebc7b4749bd3661771216904e_28">
              <w:r>
                <w:rPr>
                  <w:rStyle w:val="InternetLink"/>
                </w:rPr>
                <w:t>three</w:t>
              </w:r>
            </w:hyperlink>
            <w:hyperlink w:anchor="i306d24cebc7b4749bd3661771216904e_28">
              <w:r>
                <w:rPr>
                  <w:rStyle w:val="InternetLink"/>
                </w:rPr>
                <w:t xml:space="preserve"> months ended </w:t>
              </w:r>
            </w:hyperlink>
            <w:hyperlink w:anchor="i306d24cebc7b4749bd3661771216904e_28">
              <w:r>
                <w:rPr>
                  <w:rStyle w:val="InternetLink"/>
                </w:rPr>
                <w:t>March</w:t>
              </w:r>
            </w:hyperlink>
            <w:hyperlink w:anchor="i306d24cebc7b4749bd3661771216904e_28">
              <w:r>
                <w:rPr>
                  <w:rStyle w:val="InternetLink"/>
                </w:rPr>
                <w:t xml:space="preserve"> 3</w:t>
              </w:r>
            </w:hyperlink>
            <w:hyperlink w:anchor="i306d24cebc7b4749bd3661771216904e_28">
              <w:r>
                <w:rPr>
                  <w:rStyle w:val="InternetLink"/>
                </w:rPr>
                <w:t>1</w:t>
              </w:r>
            </w:hyperlink>
            <w:hyperlink w:anchor="i306d24cebc7b4749bd3661771216904e_28">
              <w:r>
                <w:rPr>
                  <w:rStyle w:val="InternetLink"/>
                </w:rPr>
                <w:t>, 202</w:t>
              </w:r>
            </w:hyperlink>
            <w:hyperlink w:anchor="i306d24cebc7b4749bd3661771216904e_28">
              <w:r>
                <w:rPr>
                  <w:rStyle w:val="InternetLink"/>
                </w:rPr>
                <w:t>3</w:t>
              </w:r>
            </w:hyperlink>
            <w:hyperlink w:anchor="i306d24cebc7b4749bd3661771216904e_28">
              <w:r>
                <w:rPr>
                  <w:rStyle w:val="InternetLink"/>
                </w:rPr>
                <w:t xml:space="preserve"> and 20</w:t>
              </w:r>
            </w:hyperlink>
            <w:hyperlink w:anchor="i306d24cebc7b4749bd3661771216904e_28">
              <w:r>
                <w:rPr>
                  <w:rStyle w:val="InternetLink"/>
                </w:rPr>
                <w:t>2</w:t>
              </w:r>
            </w:hyperlink>
            <w:hyperlink w:anchor="i306d24cebc7b4749bd3661771216904e_28">
              <w:r>
                <w:rPr>
                  <w:rStyle w:val="InternetLink"/>
                </w:rPr>
                <w:t>2</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06d24cebc7b4749bd3661771216904e_28">
              <w:r>
                <w:rPr>
                  <w:rStyle w:val="InternetLink"/>
                  <w:rFonts w:ascii="Times New Roman;sans-serif" w:hAnsi="Times New Roman;sans-serif"/>
                  <w:b w:val="false"/>
                  <w:strike w:val="false"/>
                  <w:dstrike w:val="false"/>
                  <w:color w:val="000000"/>
                  <w:sz w:val="20"/>
                  <w:u w:val="none"/>
                  <w:effect w:val="none"/>
                </w:rPr>
                <w:t>8</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06d24cebc7b4749bd3661771216904e_31">
              <w:r>
                <w:rPr>
                  <w:rStyle w:val="InternetLink"/>
                  <w:rFonts w:ascii="Times New Roman;sans-serif" w:hAnsi="Times New Roman;sans-serif"/>
                  <w:b w:val="false"/>
                  <w:color w:val="0000FF"/>
                  <w:sz w:val="20"/>
                  <w:u w:val="single"/>
                </w:rPr>
                <w:t>Notes to Condensed Consolidated Financial Statements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06d24cebc7b4749bd3661771216904e_31">
              <w:r>
                <w:rPr>
                  <w:rStyle w:val="InternetLink"/>
                  <w:rFonts w:ascii="Times New Roman;sans-serif" w:hAnsi="Times New Roman;sans-serif"/>
                  <w:b w:val="false"/>
                  <w:strike w:val="false"/>
                  <w:dstrike w:val="false"/>
                  <w:color w:val="000000"/>
                  <w:sz w:val="20"/>
                  <w:u w:val="none"/>
                  <w:effect w:val="none"/>
                </w:rPr>
                <w:t>9</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Lamar Media Corp.</w:t>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06d24cebc7b4749bd3661771216904e_91">
              <w:r>
                <w:rPr>
                  <w:rStyle w:val="InternetLink"/>
                </w:rPr>
                <w:t xml:space="preserve">Condensed Consolidated Balance Sheets as of </w:t>
              </w:r>
            </w:hyperlink>
            <w:hyperlink w:anchor="i306d24cebc7b4749bd3661771216904e_91">
              <w:r>
                <w:rPr>
                  <w:rStyle w:val="InternetLink"/>
                </w:rPr>
                <w:t>March</w:t>
              </w:r>
            </w:hyperlink>
            <w:hyperlink w:anchor="i306d24cebc7b4749bd3661771216904e_91">
              <w:r>
                <w:rPr>
                  <w:rStyle w:val="InternetLink"/>
                </w:rPr>
                <w:t xml:space="preserve"> </w:t>
              </w:r>
            </w:hyperlink>
            <w:hyperlink w:anchor="i306d24cebc7b4749bd3661771216904e_91">
              <w:r>
                <w:rPr>
                  <w:rStyle w:val="InternetLink"/>
                </w:rPr>
                <w:t>31</w:t>
              </w:r>
            </w:hyperlink>
            <w:hyperlink w:anchor="i306d24cebc7b4749bd3661771216904e_91">
              <w:r>
                <w:rPr>
                  <w:rStyle w:val="InternetLink"/>
                </w:rPr>
                <w:t>, 202</w:t>
              </w:r>
            </w:hyperlink>
            <w:hyperlink w:anchor="i306d24cebc7b4749bd3661771216904e_91">
              <w:r>
                <w:rPr>
                  <w:rStyle w:val="InternetLink"/>
                </w:rPr>
                <w:t>3</w:t>
              </w:r>
            </w:hyperlink>
            <w:hyperlink w:anchor="i306d24cebc7b4749bd3661771216904e_91">
              <w:r>
                <w:rPr>
                  <w:rStyle w:val="InternetLink"/>
                </w:rPr>
                <w:t xml:space="preserve"> and December 31, 202</w:t>
              </w:r>
            </w:hyperlink>
            <w:hyperlink w:anchor="i306d24cebc7b4749bd3661771216904e_91">
              <w:r>
                <w:rPr>
                  <w:rStyle w:val="InternetLink"/>
                </w:rPr>
                <w:t>2</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06d24cebc7b4749bd3661771216904e_91">
              <w:r>
                <w:rPr>
                  <w:rStyle w:val="InternetLink"/>
                  <w:rFonts w:ascii="Times New Roman;sans-serif" w:hAnsi="Times New Roman;sans-serif"/>
                  <w:b w:val="false"/>
                  <w:strike w:val="false"/>
                  <w:dstrike w:val="false"/>
                  <w:color w:val="000000"/>
                  <w:sz w:val="20"/>
                  <w:u w:val="none"/>
                  <w:effect w:val="none"/>
                </w:rPr>
                <w:t>19</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306d24cebc7b4749bd3661771216904e_94">
              <w:r>
                <w:rPr>
                  <w:rStyle w:val="InternetLink"/>
                </w:rPr>
                <w:t>Condensed Consolidated Statements of Income and Comprehensive Income for the three</w:t>
              </w:r>
            </w:hyperlink>
            <w:hyperlink w:anchor="i306d24cebc7b4749bd3661771216904e_94">
              <w:r>
                <w:rPr>
                  <w:rStyle w:val="InternetLink"/>
                </w:rPr>
                <w:t xml:space="preserve"> months ended </w:t>
              </w:r>
            </w:hyperlink>
            <w:hyperlink w:anchor="i306d24cebc7b4749bd3661771216904e_94">
              <w:r>
                <w:rPr>
                  <w:rStyle w:val="InternetLink"/>
                </w:rPr>
                <w:t>March</w:t>
              </w:r>
            </w:hyperlink>
            <w:hyperlink w:anchor="i306d24cebc7b4749bd3661771216904e_94">
              <w:r>
                <w:rPr>
                  <w:rStyle w:val="InternetLink"/>
                </w:rPr>
                <w:t xml:space="preserve"> 3</w:t>
              </w:r>
            </w:hyperlink>
            <w:hyperlink w:anchor="i306d24cebc7b4749bd3661771216904e_94">
              <w:r>
                <w:rPr>
                  <w:rStyle w:val="InternetLink"/>
                </w:rPr>
                <w:t>1</w:t>
              </w:r>
            </w:hyperlink>
            <w:hyperlink w:anchor="i306d24cebc7b4749bd3661771216904e_94">
              <w:r>
                <w:rPr>
                  <w:rStyle w:val="InternetLink"/>
                </w:rPr>
                <w:t>, 202</w:t>
              </w:r>
            </w:hyperlink>
            <w:hyperlink w:anchor="i306d24cebc7b4749bd3661771216904e_94">
              <w:r>
                <w:rPr>
                  <w:rStyle w:val="InternetLink"/>
                </w:rPr>
                <w:t>3</w:t>
              </w:r>
            </w:hyperlink>
            <w:hyperlink w:anchor="i306d24cebc7b4749bd3661771216904e_94">
              <w:r>
                <w:rPr>
                  <w:rStyle w:val="InternetLink"/>
                </w:rPr>
                <w:t xml:space="preserve"> and 202</w:t>
              </w:r>
            </w:hyperlink>
            <w:hyperlink w:anchor="i306d24cebc7b4749bd3661771216904e_94">
              <w:r>
                <w:rPr>
                  <w:rStyle w:val="InternetLink"/>
                </w:rPr>
                <w:t>2</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06d24cebc7b4749bd3661771216904e_94">
              <w:r>
                <w:rPr>
                  <w:rStyle w:val="InternetLink"/>
                  <w:rFonts w:ascii="Times New Roman;sans-serif" w:hAnsi="Times New Roman;sans-serif"/>
                  <w:b w:val="false"/>
                  <w:strike w:val="false"/>
                  <w:dstrike w:val="false"/>
                  <w:color w:val="000000"/>
                  <w:sz w:val="20"/>
                  <w:u w:val="none"/>
                  <w:effect w:val="none"/>
                </w:rPr>
                <w:t>20</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306d24cebc7b4749bd3661771216904e_97">
              <w:r>
                <w:rPr>
                  <w:rStyle w:val="InternetLink"/>
                </w:rPr>
                <w:t>Condensed Consolidated Statements of Stockholder's Equity for the three</w:t>
              </w:r>
            </w:hyperlink>
            <w:hyperlink w:anchor="i306d24cebc7b4749bd3661771216904e_97">
              <w:r>
                <w:rPr>
                  <w:rStyle w:val="InternetLink"/>
                </w:rPr>
                <w:t xml:space="preserve"> </w:t>
              </w:r>
            </w:hyperlink>
            <w:hyperlink w:anchor="i306d24cebc7b4749bd3661771216904e_97">
              <w:r>
                <w:rPr>
                  <w:rStyle w:val="InternetLink"/>
                </w:rPr>
                <w:t xml:space="preserve">months ended </w:t>
              </w:r>
            </w:hyperlink>
            <w:hyperlink w:anchor="i306d24cebc7b4749bd3661771216904e_97">
              <w:r>
                <w:rPr>
                  <w:rStyle w:val="InternetLink"/>
                </w:rPr>
                <w:t>March</w:t>
              </w:r>
            </w:hyperlink>
            <w:hyperlink w:anchor="i306d24cebc7b4749bd3661771216904e_97">
              <w:r>
                <w:rPr>
                  <w:rStyle w:val="InternetLink"/>
                </w:rPr>
                <w:t xml:space="preserve"> 3</w:t>
              </w:r>
            </w:hyperlink>
            <w:hyperlink w:anchor="i306d24cebc7b4749bd3661771216904e_97">
              <w:r>
                <w:rPr>
                  <w:rStyle w:val="InternetLink"/>
                </w:rPr>
                <w:t>1</w:t>
              </w:r>
            </w:hyperlink>
            <w:hyperlink w:anchor="i306d24cebc7b4749bd3661771216904e_97">
              <w:r>
                <w:rPr>
                  <w:rStyle w:val="InternetLink"/>
                </w:rPr>
                <w:t>, 202</w:t>
              </w:r>
            </w:hyperlink>
            <w:hyperlink w:anchor="i306d24cebc7b4749bd3661771216904e_97">
              <w:r>
                <w:rPr>
                  <w:rStyle w:val="InternetLink"/>
                </w:rPr>
                <w:t>3</w:t>
              </w:r>
            </w:hyperlink>
            <w:hyperlink w:anchor="i306d24cebc7b4749bd3661771216904e_97">
              <w:r>
                <w:rPr>
                  <w:rStyle w:val="InternetLink"/>
                </w:rPr>
                <w:t xml:space="preserve"> and 202</w:t>
              </w:r>
            </w:hyperlink>
            <w:hyperlink w:anchor="i306d24cebc7b4749bd3661771216904e_97">
              <w:r>
                <w:rPr>
                  <w:rStyle w:val="InternetLink"/>
                </w:rPr>
                <w:t>2</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06d24cebc7b4749bd3661771216904e_97">
              <w:r>
                <w:rPr>
                  <w:rStyle w:val="InternetLink"/>
                  <w:rFonts w:ascii="Times New Roman;sans-serif" w:hAnsi="Times New Roman;sans-serif"/>
                  <w:b w:val="false"/>
                  <w:strike w:val="false"/>
                  <w:dstrike w:val="false"/>
                  <w:color w:val="000000"/>
                  <w:sz w:val="20"/>
                  <w:u w:val="none"/>
                  <w:effect w:val="none"/>
                </w:rPr>
                <w:t>21</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06d24cebc7b4749bd3661771216904e_100">
              <w:r>
                <w:rPr>
                  <w:rStyle w:val="InternetLink"/>
                </w:rPr>
                <w:t xml:space="preserve">Condensed Consolidated Statements of Cash Flows for the </w:t>
              </w:r>
            </w:hyperlink>
            <w:hyperlink w:anchor="i306d24cebc7b4749bd3661771216904e_100">
              <w:r>
                <w:rPr>
                  <w:rStyle w:val="InternetLink"/>
                </w:rPr>
                <w:t>three</w:t>
              </w:r>
            </w:hyperlink>
            <w:hyperlink w:anchor="i306d24cebc7b4749bd3661771216904e_100">
              <w:r>
                <w:rPr>
                  <w:rStyle w:val="InternetLink"/>
                </w:rPr>
                <w:t xml:space="preserve"> months ended </w:t>
              </w:r>
            </w:hyperlink>
            <w:hyperlink w:anchor="i306d24cebc7b4749bd3661771216904e_100">
              <w:r>
                <w:rPr>
                  <w:rStyle w:val="InternetLink"/>
                </w:rPr>
                <w:t>March</w:t>
              </w:r>
            </w:hyperlink>
            <w:hyperlink w:anchor="i306d24cebc7b4749bd3661771216904e_100">
              <w:r>
                <w:rPr>
                  <w:rStyle w:val="InternetLink"/>
                </w:rPr>
                <w:t xml:space="preserve"> 3</w:t>
              </w:r>
            </w:hyperlink>
            <w:hyperlink w:anchor="i306d24cebc7b4749bd3661771216904e_100">
              <w:r>
                <w:rPr>
                  <w:rStyle w:val="InternetLink"/>
                </w:rPr>
                <w:t>1</w:t>
              </w:r>
            </w:hyperlink>
            <w:hyperlink w:anchor="i306d24cebc7b4749bd3661771216904e_100">
              <w:r>
                <w:rPr>
                  <w:rStyle w:val="InternetLink"/>
                </w:rPr>
                <w:t>, 202</w:t>
              </w:r>
            </w:hyperlink>
            <w:hyperlink w:anchor="i306d24cebc7b4749bd3661771216904e_100">
              <w:r>
                <w:rPr>
                  <w:rStyle w:val="InternetLink"/>
                </w:rPr>
                <w:t>3</w:t>
              </w:r>
            </w:hyperlink>
            <w:hyperlink w:anchor="i306d24cebc7b4749bd3661771216904e_100">
              <w:r>
                <w:rPr>
                  <w:rStyle w:val="InternetLink"/>
                </w:rPr>
                <w:t xml:space="preserve"> and 202</w:t>
              </w:r>
            </w:hyperlink>
            <w:hyperlink w:anchor="i306d24cebc7b4749bd3661771216904e_100">
              <w:r>
                <w:rPr>
                  <w:rStyle w:val="InternetLink"/>
                </w:rPr>
                <w:t>2</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06d24cebc7b4749bd3661771216904e_100">
              <w:r>
                <w:rPr>
                  <w:rStyle w:val="InternetLink"/>
                  <w:rFonts w:ascii="Times New Roman;sans-serif" w:hAnsi="Times New Roman;sans-serif"/>
                  <w:b w:val="false"/>
                  <w:strike w:val="false"/>
                  <w:dstrike w:val="false"/>
                  <w:color w:val="000000"/>
                  <w:sz w:val="20"/>
                  <w:u w:val="none"/>
                  <w:effect w:val="none"/>
                </w:rPr>
                <w:t>22</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06d24cebc7b4749bd3661771216904e_103">
              <w:r>
                <w:rPr>
                  <w:rStyle w:val="InternetLink"/>
                  <w:rFonts w:ascii="Times New Roman;sans-serif" w:hAnsi="Times New Roman;sans-serif"/>
                  <w:b w:val="false"/>
                  <w:color w:val="0000FF"/>
                  <w:sz w:val="20"/>
                  <w:u w:val="single"/>
                </w:rPr>
                <w:t>Notes to Condensed Consolidated Financial Statements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06d24cebc7b4749bd3661771216904e_103">
              <w:r>
                <w:rPr>
                  <w:rStyle w:val="InternetLink"/>
                  <w:rFonts w:ascii="Times New Roman;sans-serif" w:hAnsi="Times New Roman;sans-serif"/>
                  <w:b w:val="false"/>
                  <w:strike w:val="false"/>
                  <w:dstrike w:val="false"/>
                  <w:color w:val="000000"/>
                  <w:sz w:val="20"/>
                  <w:u w:val="none"/>
                  <w:effect w:val="none"/>
                </w:rPr>
                <w:t>23</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06d24cebc7b4749bd3661771216904e_124">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06d24cebc7b4749bd3661771216904e_124">
              <w:r>
                <w:rPr>
                  <w:rStyle w:val="InternetLink"/>
                  <w:rFonts w:ascii="Times New Roman;sans-serif" w:hAnsi="Times New Roman;sans-serif"/>
                  <w:b w:val="false"/>
                  <w:strike w:val="false"/>
                  <w:dstrike w:val="false"/>
                  <w:color w:val="000000"/>
                  <w:sz w:val="20"/>
                  <w:u w:val="none"/>
                  <w:effect w:val="none"/>
                </w:rPr>
                <w:t>30</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06d24cebc7b4749bd3661771216904e_142">
              <w:r>
                <w:rPr>
                  <w:rStyle w:val="InternetLink"/>
                  <w:rFonts w:ascii="Times New Roman;sans-serif" w:hAnsi="Times New Roman;sans-serif"/>
                  <w:b w:val="false"/>
                  <w:color w:val="0000FF"/>
                  <w:sz w:val="20"/>
                  <w:u w:val="single"/>
                </w:rPr>
                <w:t>ITEM 3. Quantitative and Qualitative Disclosures About Market Risk</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06d24cebc7b4749bd3661771216904e_142">
              <w:r>
                <w:rPr>
                  <w:rStyle w:val="InternetLink"/>
                  <w:rFonts w:ascii="Times New Roman;sans-serif" w:hAnsi="Times New Roman;sans-serif"/>
                  <w:b w:val="false"/>
                  <w:strike w:val="false"/>
                  <w:dstrike w:val="false"/>
                  <w:color w:val="000000"/>
                  <w:sz w:val="20"/>
                  <w:u w:val="none"/>
                  <w:effect w:val="none"/>
                </w:rPr>
                <w:t>43</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06d24cebc7b4749bd3661771216904e_145">
              <w:r>
                <w:rPr>
                  <w:rStyle w:val="InternetLink"/>
                  <w:rFonts w:ascii="Times New Roman;sans-serif" w:hAnsi="Times New Roman;sans-serif"/>
                  <w:b w:val="false"/>
                  <w:color w:val="0000FF"/>
                  <w:sz w:val="20"/>
                  <w:u w:val="single"/>
                </w:rPr>
                <w:t>ITEM 4. Controls and Procedures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06d24cebc7b4749bd3661771216904e_145">
              <w:r>
                <w:rPr>
                  <w:rStyle w:val="InternetLink"/>
                  <w:rFonts w:ascii="Times New Roman;sans-serif" w:hAnsi="Times New Roman;sans-serif"/>
                  <w:b w:val="false"/>
                  <w:strike w:val="false"/>
                  <w:dstrike w:val="false"/>
                  <w:color w:val="000000"/>
                  <w:sz w:val="20"/>
                  <w:u w:val="none"/>
                  <w:effect w:val="none"/>
                </w:rPr>
                <w:t>43</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06d24cebc7b4749bd3661771216904e_148">
              <w:r>
                <w:rPr>
                  <w:rStyle w:val="InternetLink"/>
                  <w:rFonts w:ascii="Times New Roman;sans-serif" w:hAnsi="Times New Roman;sans-serif"/>
                  <w:b w:val="false"/>
                  <w:color w:val="0000FF"/>
                  <w:sz w:val="20"/>
                  <w:u w:val="single"/>
                </w:rPr>
                <w:t>PART II — OTHER INFORMATION</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06d24cebc7b4749bd3661771216904e_148">
              <w:r>
                <w:rPr>
                  <w:rStyle w:val="InternetLink"/>
                  <w:rFonts w:ascii="Times New Roman;sans-serif" w:hAnsi="Times New Roman;sans-serif"/>
                  <w:b w:val="false"/>
                  <w:strike w:val="false"/>
                  <w:dstrike w:val="false"/>
                  <w:color w:val="000000"/>
                  <w:sz w:val="20"/>
                  <w:u w:val="none"/>
                  <w:effect w:val="none"/>
                </w:rPr>
                <w:t>44</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06d24cebc7b4749bd3661771216904e_151">
              <w:r>
                <w:rPr>
                  <w:rStyle w:val="InternetLink"/>
                  <w:rFonts w:ascii="Times New Roman;sans-serif" w:hAnsi="Times New Roman;sans-serif"/>
                  <w:b w:val="false"/>
                  <w:color w:val="0000FF"/>
                  <w:sz w:val="20"/>
                  <w:u w:val="single"/>
                </w:rPr>
                <w:t>ITEM 1A. Risk Factors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06d24cebc7b4749bd3661771216904e_151">
              <w:r>
                <w:rPr>
                  <w:rStyle w:val="InternetLink"/>
                  <w:rFonts w:ascii="Times New Roman;sans-serif" w:hAnsi="Times New Roman;sans-serif"/>
                  <w:b w:val="false"/>
                  <w:strike w:val="false"/>
                  <w:dstrike w:val="false"/>
                  <w:color w:val="000000"/>
                  <w:sz w:val="20"/>
                  <w:u w:val="none"/>
                  <w:effect w:val="none"/>
                </w:rPr>
                <w:t>44</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06d24cebc7b4749bd3661771216904e_154">
              <w:r>
                <w:rPr>
                  <w:rStyle w:val="InternetLink"/>
                  <w:rFonts w:ascii="Times New Roman;sans-serif" w:hAnsi="Times New Roman;sans-serif"/>
                  <w:b w:val="false"/>
                  <w:color w:val="0000FF"/>
                  <w:sz w:val="20"/>
                  <w:u w:val="single"/>
                </w:rPr>
                <w:t>ITEM 2. Unregistered Sales of Equity Securities and Use of Proceeds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06d24cebc7b4749bd3661771216904e_154">
              <w:r>
                <w:rPr>
                  <w:rStyle w:val="InternetLink"/>
                  <w:rFonts w:ascii="Times New Roman;sans-serif" w:hAnsi="Times New Roman;sans-serif"/>
                  <w:b w:val="false"/>
                  <w:strike w:val="false"/>
                  <w:dstrike w:val="false"/>
                  <w:color w:val="000000"/>
                  <w:sz w:val="20"/>
                  <w:u w:val="none"/>
                  <w:effect w:val="none"/>
                </w:rPr>
                <w:t>44</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06d24cebc7b4749bd3661771216904e_157">
              <w:r>
                <w:rPr>
                  <w:rStyle w:val="InternetLink"/>
                  <w:rFonts w:ascii="Times New Roman;sans-serif" w:hAnsi="Times New Roman;sans-serif"/>
                  <w:b w:val="false"/>
                  <w:color w:val="0000FF"/>
                  <w:sz w:val="20"/>
                  <w:u w:val="single"/>
                </w:rPr>
                <w:t>ITEM 5. Other Information</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06d24cebc7b4749bd3661771216904e_157">
              <w:r>
                <w:rPr>
                  <w:rStyle w:val="InternetLink"/>
                  <w:rFonts w:ascii="Times New Roman;sans-serif" w:hAnsi="Times New Roman;sans-serif"/>
                  <w:b w:val="false"/>
                  <w:strike w:val="false"/>
                  <w:dstrike w:val="false"/>
                  <w:color w:val="000000"/>
                  <w:sz w:val="20"/>
                  <w:u w:val="none"/>
                  <w:effect w:val="none"/>
                </w:rPr>
                <w:t>44</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06d24cebc7b4749bd3661771216904e_160">
              <w:r>
                <w:rPr>
                  <w:rStyle w:val="InternetLink"/>
                  <w:rFonts w:ascii="Times New Roman;sans-serif" w:hAnsi="Times New Roman;sans-serif"/>
                  <w:b w:val="false"/>
                  <w:color w:val="0000FF"/>
                  <w:sz w:val="20"/>
                  <w:u w:val="single"/>
                </w:rPr>
                <w:t>ITEM 6. Exhibits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06d24cebc7b4749bd3661771216904e_160">
              <w:r>
                <w:rPr>
                  <w:rStyle w:val="InternetLink"/>
                  <w:rFonts w:ascii="Times New Roman;sans-serif" w:hAnsi="Times New Roman;sans-serif"/>
                  <w:b w:val="false"/>
                  <w:strike w:val="false"/>
                  <w:dstrike w:val="false"/>
                  <w:color w:val="000000"/>
                  <w:sz w:val="20"/>
                  <w:u w:val="none"/>
                  <w:effect w:val="none"/>
                </w:rPr>
                <w:t>44</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pPr>
      <w:r>
        <w:rPr>
          <w:rFonts w:ascii="Times New Roman;sans-serif" w:hAnsi="Times New Roman;sans-serif"/>
          <w:b/>
          <w:color w:val="000000"/>
          <w:sz w:val="20"/>
        </w:rPr>
        <w:t>ITEM 1.</w:t>
      </w:r>
      <w:r>
        <w:rPr>
          <w:color w:val="000000"/>
        </w:rPr>
        <w:t> — </w:t>
      </w:r>
      <w:r>
        <w:rPr>
          <w:rFonts w:ascii="Times New Roman;sans-serif" w:hAnsi="Times New Roman;sans-serif"/>
          <w:b/>
          <w:color w:val="000000"/>
          <w:sz w:val="20"/>
        </w:rPr>
        <w:t>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LAMAR ADVERTISING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CellMar>
          <w:top w:w="28" w:type="dxa"/>
          <w:left w:w="28" w:type="dxa"/>
          <w:bottom w:w="28" w:type="dxa"/>
          <w:right w:w="28" w:type="dxa"/>
        </w:tblCellMar>
      </w:tblPr>
      <w:tblGrid>
        <w:gridCol w:w="3004"/>
        <w:gridCol w:w="2240"/>
        <w:gridCol w:w="2236"/>
        <w:gridCol w:w="196"/>
        <w:gridCol w:w="871"/>
        <w:gridCol w:w="109"/>
        <w:gridCol w:w="109"/>
        <w:gridCol w:w="109"/>
        <w:gridCol w:w="109"/>
        <w:gridCol w:w="196"/>
        <w:gridCol w:w="871"/>
        <w:gridCol w:w="155"/>
      </w:tblGrid>
      <w:tr>
        <w:trPr/>
        <w:tc>
          <w:tcPr>
            <w:tcW w:w="3004" w:type="dxa"/>
            <w:tcBorders/>
            <w:shd w:fill="auto" w:val="clear"/>
            <w:vAlign w:val="center"/>
          </w:tcPr>
          <w:p>
            <w:pPr>
              <w:pStyle w:val="TableContents"/>
              <w:spacing w:before="0" w:after="283"/>
              <w:rPr>
                <w:sz w:val="4"/>
                <w:szCs w:val="4"/>
              </w:rPr>
            </w:pPr>
            <w:r>
              <w:rPr>
                <w:sz w:val="4"/>
                <w:szCs w:val="4"/>
              </w:rPr>
            </w:r>
          </w:p>
        </w:tc>
        <w:tc>
          <w:tcPr>
            <w:tcW w:w="2240" w:type="dxa"/>
            <w:tcBorders/>
            <w:shd w:fill="auto" w:val="clear"/>
            <w:vAlign w:val="center"/>
          </w:tcPr>
          <w:p>
            <w:pPr>
              <w:pStyle w:val="TableContents"/>
              <w:spacing w:before="0" w:after="283"/>
              <w:rPr>
                <w:sz w:val="4"/>
                <w:szCs w:val="4"/>
              </w:rPr>
            </w:pPr>
            <w:r>
              <w:rPr>
                <w:sz w:val="4"/>
                <w:szCs w:val="4"/>
              </w:rPr>
            </w:r>
          </w:p>
        </w:tc>
        <w:tc>
          <w:tcPr>
            <w:tcW w:w="223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52,619 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net of allowance for doubtful accounts of $10,661 and $11,418 in 2023 and 2022, respectively</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285,039 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26,894 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364,552 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plant and equipment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4,144,289 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4,109,146 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accumulated depreciation and amortization</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(2,634,370)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(2,609,447)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property, plant and equipment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1,509,919 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1,499,699 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 of use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1,279,602 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1,271,631 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lease right of use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14,037 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2,035,272 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2,035,269 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1,181,407 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1,206,625 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83,401 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6,441,785 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6,475,214 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 accounts payable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19,643 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Current maturities of long-term debt, net of deferred financing costs of $559 and $593 in 2023 and 2022, respectively</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234,624 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249,785 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operating lease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205,838 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financing lease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117,593 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131,847 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726,037 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net of deferred financing costs of $30,522 and $32,022 in 2023 and 2022, respectively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3,134,505 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3,063,020 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1,030,959 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1,035,655 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lease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15,945 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retirement obligation</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390,442 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39,090 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5,281,098 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5,279,840 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Series AA preferred stock, par value $0.001, $63.80 cumulative dividends, 5,720 shares authorized; 5,720 shares issued and outstanding at 2023 and 2022</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$0.001, 362,500,000 shares authorized; 88,327,805 and 88,110,928 shares issued at 2023 and 2022, respectively; 87,487,301 and 87,327,232 outstanding at 2023 and 2022, respectively</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B common stock, par value $0.001, 37,500,000 shares authorized, 14,420,085 shares issued and outstanding at 2023 and 2022</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2,084,102 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2,061,671 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comprehensive loss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(855,892)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(804,382)</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Cost of shares held in treasury, 840,504 and 783,696 shares at 2023 and 2022, respectively</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(61,358)</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1,195,374 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6,441,785 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6,475,214 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LAMAR ADVERTISING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and Comprehensive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9339" w:type="dxa"/>
        <w:jc w:val="left"/>
        <w:tblInd w:w="0" w:type="dxa"/>
        <w:tblCellMar>
          <w:top w:w="28" w:type="dxa"/>
          <w:left w:w="28" w:type="dxa"/>
          <w:bottom w:w="28" w:type="dxa"/>
          <w:right w:w="28" w:type="dxa"/>
        </w:tblCellMar>
      </w:tblPr>
      <w:tblGrid>
        <w:gridCol w:w="2110"/>
        <w:gridCol w:w="1860"/>
        <w:gridCol w:w="1865"/>
        <w:gridCol w:w="109"/>
        <w:gridCol w:w="109"/>
        <w:gridCol w:w="150"/>
        <w:gridCol w:w="150"/>
        <w:gridCol w:w="290"/>
        <w:gridCol w:w="1014"/>
        <w:gridCol w:w="150"/>
        <w:gridCol w:w="109"/>
        <w:gridCol w:w="109"/>
        <w:gridCol w:w="109"/>
        <w:gridCol w:w="234"/>
        <w:gridCol w:w="817"/>
        <w:gridCol w:w="154"/>
      </w:tblGrid>
      <w:tr>
        <w:trPr/>
        <w:tc>
          <w:tcPr>
            <w:tcW w:w="2110" w:type="dxa"/>
            <w:tcBorders/>
            <w:shd w:fill="auto" w:val="clear"/>
            <w:vAlign w:val="center"/>
          </w:tcPr>
          <w:p>
            <w:pPr>
              <w:pStyle w:val="TableContents"/>
              <w:spacing w:before="0" w:after="283"/>
              <w:rPr>
                <w:sz w:val="4"/>
                <w:szCs w:val="4"/>
              </w:rPr>
            </w:pPr>
            <w:r>
              <w:rPr>
                <w:sz w:val="4"/>
                <w:szCs w:val="4"/>
              </w:rPr>
            </w:r>
          </w:p>
        </w:tc>
        <w:tc>
          <w:tcPr>
            <w:tcW w:w="1860" w:type="dxa"/>
            <w:tcBorders/>
            <w:shd w:fill="auto" w:val="clear"/>
            <w:vAlign w:val="center"/>
          </w:tcPr>
          <w:p>
            <w:pPr>
              <w:pStyle w:val="TableContents"/>
              <w:spacing w:before="0" w:after="283"/>
              <w:rPr>
                <w:sz w:val="4"/>
                <w:szCs w:val="4"/>
              </w:rPr>
            </w:pPr>
            <w:r>
              <w:rPr>
                <w:sz w:val="4"/>
                <w:szCs w:val="4"/>
              </w:rPr>
            </w:r>
          </w:p>
        </w:tc>
        <w:tc>
          <w:tcPr>
            <w:tcW w:w="18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532" w:type="dxa"/>
            <w:gridSpan w:val="6"/>
            <w:tcBorders/>
            <w:shd w:fill="auto" w:val="clear"/>
          </w:tcPr>
          <w:p>
            <w:pPr>
              <w:pStyle w:val="TableContents"/>
              <w:spacing w:before="0" w:after="283"/>
              <w:rPr>
                <w:sz w:val="4"/>
                <w:szCs w:val="4"/>
              </w:rPr>
            </w:pPr>
            <w:r>
              <w:rPr>
                <w:sz w:val="4"/>
                <w:szCs w:val="4"/>
              </w:rPr>
            </w:r>
          </w:p>
        </w:tc>
      </w:tr>
      <w:tr>
        <w:trPr/>
        <w:tc>
          <w:tcPr>
            <w:tcW w:w="5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83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Statements of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471,332 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451,388 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 advertising expenses (exclusive of 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168,432 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 (exclusive of 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85,135 </w:t>
            </w:r>
          </w:p>
        </w:tc>
        <w:tc>
          <w:tcPr>
            <w:tcW w:w="15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83,084 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expenses (exclusive of 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28,527 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73,125 </w:t>
            </w:r>
          </w:p>
        </w:tc>
        <w:tc>
          <w:tcPr>
            <w:tcW w:w="15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68,627 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disposition of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(2,688)</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352,531 </w:t>
            </w:r>
          </w:p>
        </w:tc>
        <w:tc>
          <w:tcPr>
            <w:tcW w:w="150"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330,932 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118,801 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454"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4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41,444 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investee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40,805 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77,996 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76,198 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attributable to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76,041 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and paid on preferred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applicable to 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75,950 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45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0.74 </w:t>
            </w:r>
          </w:p>
        </w:tc>
        <w:tc>
          <w:tcPr>
            <w:tcW w:w="15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per share of 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used in computing 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45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101,792,317 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101,339,558 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101,963,563 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101,540,213 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Statements of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76,198 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76,196 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attributable to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76,039 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LAMAR ADVERTISING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1931" w:type="dxa"/>
        <w:jc w:val="center"/>
        <w:tblInd w:w="0" w:type="dxa"/>
        <w:tblCellMar>
          <w:top w:w="28" w:type="dxa"/>
          <w:left w:w="28" w:type="dxa"/>
          <w:bottom w:w="28" w:type="dxa"/>
          <w:right w:w="28" w:type="dxa"/>
        </w:tblCellMar>
      </w:tblPr>
      <w:tblGrid>
        <w:gridCol w:w="630"/>
        <w:gridCol w:w="225"/>
        <w:gridCol w:w="226"/>
        <w:gridCol w:w="196"/>
        <w:gridCol w:w="406"/>
        <w:gridCol w:w="109"/>
        <w:gridCol w:w="109"/>
        <w:gridCol w:w="109"/>
        <w:gridCol w:w="109"/>
        <w:gridCol w:w="196"/>
        <w:gridCol w:w="331"/>
        <w:gridCol w:w="109"/>
        <w:gridCol w:w="109"/>
        <w:gridCol w:w="109"/>
        <w:gridCol w:w="109"/>
        <w:gridCol w:w="196"/>
        <w:gridCol w:w="331"/>
        <w:gridCol w:w="109"/>
        <w:gridCol w:w="109"/>
        <w:gridCol w:w="109"/>
        <w:gridCol w:w="109"/>
        <w:gridCol w:w="196"/>
        <w:gridCol w:w="661"/>
        <w:gridCol w:w="109"/>
        <w:gridCol w:w="109"/>
        <w:gridCol w:w="109"/>
        <w:gridCol w:w="109"/>
        <w:gridCol w:w="196"/>
        <w:gridCol w:w="871"/>
        <w:gridCol w:w="109"/>
        <w:gridCol w:w="109"/>
        <w:gridCol w:w="109"/>
        <w:gridCol w:w="109"/>
        <w:gridCol w:w="242"/>
        <w:gridCol w:w="538"/>
        <w:gridCol w:w="136"/>
        <w:gridCol w:w="109"/>
        <w:gridCol w:w="109"/>
        <w:gridCol w:w="109"/>
        <w:gridCol w:w="196"/>
        <w:gridCol w:w="751"/>
        <w:gridCol w:w="109"/>
        <w:gridCol w:w="109"/>
        <w:gridCol w:w="109"/>
        <w:gridCol w:w="109"/>
        <w:gridCol w:w="247"/>
        <w:gridCol w:w="531"/>
        <w:gridCol w:w="138"/>
        <w:gridCol w:w="109"/>
        <w:gridCol w:w="109"/>
        <w:gridCol w:w="109"/>
        <w:gridCol w:w="196"/>
        <w:gridCol w:w="871"/>
        <w:gridCol w:w="154"/>
      </w:tblGrid>
      <w:tr>
        <w:trPr/>
        <w:tc>
          <w:tcPr>
            <w:tcW w:w="63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Series AA</w:t>
              <w:br/>
              <w:t>PREF</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w:t>
              <w:br/>
              <w:t>CMN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B</w:t>
              <w:br/>
              <w:t>CMN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Add’l</w:t>
              <w:br/>
              <w:t>Paid 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2"/>
              </w:rPr>
            </w:pPr>
            <w:r>
              <w:rPr>
                <w:rFonts w:ascii="Times New Roman;sans-serif" w:hAnsi="Times New Roman;sans-serif"/>
                <w:b/>
                <w:color w:val="000000"/>
                <w:sz w:val="12"/>
              </w:rPr>
              <w:t>Total</w:t>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2,061,671 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(804,382)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1,195,374 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w:t>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161,050 shares of common stock through stock awards</w:t>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10,595 shares of stock options</w:t>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45,232 shares of common stock through employee purchase plan</w:t>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56,808 shares of treasury stock</w:t>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(5,946)</w:t>
            </w:r>
          </w:p>
        </w:tc>
        <w:tc>
          <w:tcPr>
            <w:tcW w:w="154"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76,198 </w:t>
            </w:r>
          </w:p>
        </w:tc>
        <w:tc>
          <w:tcPr>
            <w:tcW w:w="154"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Reallocation of capital</w:t>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Dividends ($1.25 per common share) and other distributions</w:t>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(127,460)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(127,674)</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Dividends ($15.95 per preferred share)</w:t>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2,084,102 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(855,892)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1,160,687 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bl>
    <w:tbl>
      <w:tblPr>
        <w:tblW w:w="11931" w:type="dxa"/>
        <w:jc w:val="center"/>
        <w:tblInd w:w="0" w:type="dxa"/>
        <w:tblCellMar>
          <w:top w:w="28" w:type="dxa"/>
          <w:left w:w="28" w:type="dxa"/>
          <w:bottom w:w="28" w:type="dxa"/>
          <w:right w:w="28" w:type="dxa"/>
        </w:tblCellMar>
      </w:tblPr>
      <w:tblGrid>
        <w:gridCol w:w="630"/>
        <w:gridCol w:w="225"/>
        <w:gridCol w:w="226"/>
        <w:gridCol w:w="196"/>
        <w:gridCol w:w="406"/>
        <w:gridCol w:w="109"/>
        <w:gridCol w:w="109"/>
        <w:gridCol w:w="109"/>
        <w:gridCol w:w="109"/>
        <w:gridCol w:w="196"/>
        <w:gridCol w:w="331"/>
        <w:gridCol w:w="109"/>
        <w:gridCol w:w="109"/>
        <w:gridCol w:w="109"/>
        <w:gridCol w:w="109"/>
        <w:gridCol w:w="196"/>
        <w:gridCol w:w="331"/>
        <w:gridCol w:w="109"/>
        <w:gridCol w:w="109"/>
        <w:gridCol w:w="109"/>
        <w:gridCol w:w="109"/>
        <w:gridCol w:w="196"/>
        <w:gridCol w:w="661"/>
        <w:gridCol w:w="109"/>
        <w:gridCol w:w="109"/>
        <w:gridCol w:w="109"/>
        <w:gridCol w:w="109"/>
        <w:gridCol w:w="196"/>
        <w:gridCol w:w="871"/>
        <w:gridCol w:w="109"/>
        <w:gridCol w:w="109"/>
        <w:gridCol w:w="109"/>
        <w:gridCol w:w="109"/>
        <w:gridCol w:w="208"/>
        <w:gridCol w:w="591"/>
        <w:gridCol w:w="117"/>
        <w:gridCol w:w="109"/>
        <w:gridCol w:w="109"/>
        <w:gridCol w:w="109"/>
        <w:gridCol w:w="196"/>
        <w:gridCol w:w="751"/>
        <w:gridCol w:w="109"/>
        <w:gridCol w:w="109"/>
        <w:gridCol w:w="109"/>
        <w:gridCol w:w="109"/>
        <w:gridCol w:w="252"/>
        <w:gridCol w:w="523"/>
        <w:gridCol w:w="141"/>
        <w:gridCol w:w="109"/>
        <w:gridCol w:w="109"/>
        <w:gridCol w:w="109"/>
        <w:gridCol w:w="196"/>
        <w:gridCol w:w="871"/>
        <w:gridCol w:w="154"/>
      </w:tblGrid>
      <w:tr>
        <w:trPr/>
        <w:tc>
          <w:tcPr>
            <w:tcW w:w="63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Series AA</w:t>
              <w:br/>
              <w:t>PREF</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w:t>
              <w:br/>
              <w:t>CMN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B</w:t>
              <w:br/>
              <w:t>CMN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Add’l</w:t>
              <w:br/>
              <w:t>Paid 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Comprehensive</w:t>
              <w:br/>
              <w:t>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2"/>
              </w:rPr>
            </w:pPr>
            <w:r>
              <w:rPr>
                <w:rFonts w:ascii="Times New Roman;sans-serif" w:hAnsi="Times New Roman;sans-serif"/>
                <w:b/>
                <w:color w:val="000000"/>
                <w:sz w:val="12"/>
              </w:rPr>
              <w:t>Total</w:t>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2,001,399 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w:t>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241,750 shares of common stock through stock awards</w:t>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26,190 shares of stock options</w:t>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36,347 shares of common stock through employee purchase plan</w:t>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95,091 shares of treasury stock</w:t>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(10,446)</w:t>
            </w:r>
          </w:p>
        </w:tc>
        <w:tc>
          <w:tcPr>
            <w:tcW w:w="154"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92,151 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Dividends/distributions to common shareholders ($1.10 per common share)</w:t>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(111,602)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Dividends ($15.95 per preferred share)</w:t>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54"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2022</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2,037,845 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(753,957)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1,223,861 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LAMAR ADVERTISING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6864" w:type="dxa"/>
        <w:jc w:val="center"/>
        <w:tblInd w:w="0" w:type="dxa"/>
        <w:tblCellMar>
          <w:top w:w="28" w:type="dxa"/>
          <w:left w:w="28" w:type="dxa"/>
          <w:bottom w:w="28" w:type="dxa"/>
          <w:right w:w="28" w:type="dxa"/>
        </w:tblCellMar>
      </w:tblPr>
      <w:tblGrid>
        <w:gridCol w:w="1723"/>
        <w:gridCol w:w="1512"/>
        <w:gridCol w:w="1520"/>
        <w:gridCol w:w="181"/>
        <w:gridCol w:w="541"/>
        <w:gridCol w:w="109"/>
        <w:gridCol w:w="109"/>
        <w:gridCol w:w="109"/>
        <w:gridCol w:w="109"/>
        <w:gridCol w:w="181"/>
        <w:gridCol w:w="616"/>
        <w:gridCol w:w="154"/>
      </w:tblGrid>
      <w:tr>
        <w:trPr/>
        <w:tc>
          <w:tcPr>
            <w:tcW w:w="1723" w:type="dxa"/>
            <w:tcBorders/>
            <w:shd w:fill="auto" w:val="clear"/>
            <w:vAlign w:val="center"/>
          </w:tcPr>
          <w:p>
            <w:pPr>
              <w:pStyle w:val="TableContents"/>
              <w:spacing w:before="0" w:after="283"/>
              <w:rPr>
                <w:sz w:val="4"/>
                <w:szCs w:val="4"/>
              </w:rPr>
            </w:pPr>
            <w:r>
              <w:rPr>
                <w:sz w:val="4"/>
                <w:szCs w:val="4"/>
              </w:rPr>
            </w:r>
          </w:p>
        </w:tc>
        <w:tc>
          <w:tcPr>
            <w:tcW w:w="1512" w:type="dxa"/>
            <w:tcBorders/>
            <w:shd w:fill="auto" w:val="clear"/>
            <w:vAlign w:val="center"/>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w:t>
              <w:br/>
              <w:t>March 31,</w:t>
            </w:r>
          </w:p>
        </w:tc>
      </w:tr>
      <w:tr>
        <w:trPr/>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operating activities: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92,151 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income to net cash provided by operating activities</w:t>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68,627 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included in interest expense</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Gain on disposition of assets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in earnings of investee</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tax benefit</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Provision for doubtful accounts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operating assets and liabilities</w:t>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Decrease (increase) in:</w:t>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Receivables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expenses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(8,265)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(Decrease) increase in:</w:t>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 accounts payable</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expenses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liabilities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(40,801)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(30,786)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liabilities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(6,111)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operating activities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102,038 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investing activities:</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Acquisitions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(55,293)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 expenditures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(42,285)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(28,759)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disposition of assets and investments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investing activities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(52,664)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(83,342)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financing activities: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used for purchase of treasury stock</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(10,446)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proceeds from issuance of common stock</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Principal payments on long-term debt</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Principal payments on financing leases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on revolving credit facility</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received from revolving credit facility</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received from accounts receivable securitization program</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on accounts receivable securitization program</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Debt issuance costs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Dividends/distributions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(127,551)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(111,693)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financing activities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Effect of exchange rate changes in cash and cash equivalents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(decrease) increase in cash and cash equivalents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at beginning of period</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52,619 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99,788 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at end of period</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Supplemental disclosures of cash flow information:</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interest</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39,430 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foreign, state and federal income taxes</w:t>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3,182 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3,716 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360" w:after="283"/>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LAMAR ADVERTISING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spacing w:before="42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val="false"/>
          <w:color w:val="000000"/>
          <w:sz w:val="20"/>
        </w:rPr>
        <w:t xml:space="preserve">1. </w:t>
      </w:r>
      <w:r>
        <w:rPr>
          <w:rFonts w:ascii="Times New Roman;sans-serif" w:hAnsi="Times New Roman;sans-serif"/>
          <w:b w:val="false"/>
          <w:color w:val="000000"/>
          <w:sz w:val="20"/>
          <w:u w:val="single"/>
        </w:rPr>
        <w:t>Significant Accounting Policies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included in the foregoing interim condensed consolidated financial statements is unaudited. In the opinion of management, all adjustments, consisting of normal recurring adjustments, necessary for a fair presentation of the Company’s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the Company’s consolidated financial statements and the notes thereto included in the 2022 Combined Form 10-K. Subsequent events, if any, are evaluated through the date on which the financial statements are issued.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pPr>
      <w:r>
        <w:rPr>
          <w:rFonts w:ascii="Times New Roman;sans-serif" w:hAnsi="Times New Roman;sans-serif"/>
          <w:b w:val="false"/>
          <w:color w:val="000000"/>
          <w:sz w:val="20"/>
        </w:rPr>
        <w:t>2. </w:t>
      </w:r>
      <w:r>
        <w:rPr>
          <w:rFonts w:ascii="Times New Roman;sans-serif" w:hAnsi="Times New Roman;sans-serif"/>
          <w:b w:val="false"/>
          <w:color w:val="000000"/>
          <w:sz w:val="20"/>
          <w:u w:val="single"/>
        </w:rPr>
        <w:t>Revenues</w:t>
      </w:r>
    </w:p>
    <w:p>
      <w:pPr>
        <w:pStyle w:val="TextBody"/>
        <w:spacing w:lineRule="auto" w:line="288" w:before="120" w:after="283"/>
        <w:jc w:val="both"/>
        <w:rPr/>
      </w:pPr>
      <w:r>
        <w:rPr>
          <w:rFonts w:ascii="Times New Roman;sans-serif" w:hAnsi="Times New Roman;sans-serif"/>
          <w:b w:val="false"/>
          <w:i/>
          <w:color w:val="000000"/>
          <w:sz w:val="20"/>
        </w:rPr>
        <w:t>Advertising revenues</w:t>
      </w:r>
      <w:r>
        <w:rPr>
          <w:rFonts w:ascii="Times New Roman;sans-serif" w:hAnsi="Times New Roman;sans-serif"/>
          <w:b w:val="false"/>
          <w:color w:val="000000"/>
          <w:sz w:val="20"/>
        </w:rPr>
        <w:t xml:space="preserve">: The majority of our revenues are derived from contracts for advertising space on billboard, logo and transit displays. Contracts which do not meet the criteria of a lease under ASC 842,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 xml:space="preserve">are accounted for under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The majority of our advertising space contracts do not meet the definition of a 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Condensed Consolidated Statements of Income and Comprehensive Income.</w:t>
      </w:r>
    </w:p>
    <w:p>
      <w:pPr>
        <w:pStyle w:val="TextBody"/>
        <w:spacing w:lineRule="auto" w:line="288" w:before="240" w:after="283"/>
        <w:jc w:val="both"/>
        <w:rPr/>
      </w:pPr>
      <w:r>
        <w:rPr>
          <w:rFonts w:ascii="Times New Roman;sans-serif" w:hAnsi="Times New Roman;sans-serif"/>
          <w:b w:val="false"/>
          <w:i/>
          <w:color w:val="000000"/>
          <w:sz w:val="20"/>
        </w:rPr>
        <w:t>Other revenues: </w:t>
      </w:r>
      <w:r>
        <w:rPr>
          <w:rFonts w:ascii="Times New Roman;sans-serif" w:hAnsi="Times New Roman;sans-serif"/>
          <w:b w:val="false"/>
          <w:color w:val="000000"/>
          <w:sz w:val="20"/>
        </w:rPr>
        <w:t>Our other component of revenue primarily consists of production services which includes creating and printing the advertising copy. Revenue for production contracts is recognized under ASC 606. Contract revenues for production services are recognized upon satisfaction of the contract which is typically less than one week.</w:t>
      </w:r>
    </w:p>
    <w:p>
      <w:pPr>
        <w:pStyle w:val="TextBody"/>
        <w:spacing w:lineRule="auto" w:line="288" w:before="240" w:after="283"/>
        <w:jc w:val="both"/>
        <w:rPr/>
      </w:pPr>
      <w:r>
        <w:rPr>
          <w:rFonts w:ascii="Times New Roman;sans-serif" w:hAnsi="Times New Roman;sans-serif"/>
          <w:b w:val="false"/>
          <w:i/>
          <w:color w:val="000000"/>
          <w:sz w:val="20"/>
        </w:rPr>
        <w:t>Arrangements with multiple performance obligations: </w:t>
      </w:r>
      <w:r>
        <w:rPr>
          <w:rFonts w:ascii="Times New Roman;sans-serif" w:hAnsi="Times New Roman;sans-serif"/>
          <w:b w:val="false"/>
          <w:color w:val="000000"/>
          <w:sz w:val="20"/>
        </w:rPr>
        <w:t>Our contracts with customers may include multiple performance obligations. For such arrangements, we allocate revenue to each performance obligation based on the relative standalone selling price. We determine standalone selling prices based on the prices charged to customers using expected cost plus margin.</w:t>
      </w:r>
    </w:p>
    <w:p>
      <w:pPr>
        <w:pStyle w:val="TextBody"/>
        <w:spacing w:lineRule="auto" w:line="288" w:before="240" w:after="283"/>
        <w:jc w:val="both"/>
        <w:rPr/>
      </w:pPr>
      <w:r>
        <w:rPr>
          <w:rFonts w:ascii="Times New Roman;sans-serif" w:hAnsi="Times New Roman;sans-serif"/>
          <w:b w:val="false"/>
          <w:i/>
          <w:color w:val="000000"/>
          <w:sz w:val="20"/>
        </w:rPr>
        <w:t>Deferred revenues: </w:t>
      </w:r>
      <w:r>
        <w:rPr>
          <w:rFonts w:ascii="Times New Roman;sans-serif" w:hAnsi="Times New Roman;sans-serif"/>
          <w:b w:val="false"/>
          <w:color w:val="000000"/>
          <w:sz w:val="20"/>
        </w:rPr>
        <w:t>We record deferred revenues when cash payments are received or due in advance of our performance obligation. The term between 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pStyle w:val="TextBody"/>
        <w:spacing w:lineRule="auto" w:line="288" w:before="240" w:after="283"/>
        <w:jc w:val="both"/>
        <w:rPr/>
      </w:pPr>
      <w:r>
        <w:rPr>
          <w:rFonts w:ascii="Times New Roman;sans-serif" w:hAnsi="Times New Roman;sans-serif"/>
          <w:b w:val="false"/>
          <w:i/>
          <w:color w:val="000000"/>
          <w:sz w:val="20"/>
        </w:rPr>
        <w:t>Practical expedients and exemptions: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Company is utilizing the following practical expedients and exemptions from ASC 606. We generally expense sales commissions when incurred because the amortization period is one year or less. These costs are recorded within direct advertising expenses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disaggregated revenue by source for the three months ended March 31, 2023 and 2022.</w:t>
      </w:r>
    </w:p>
    <w:tbl>
      <w:tblPr>
        <w:tblW w:w="5199" w:type="dxa"/>
        <w:jc w:val="left"/>
        <w:tblInd w:w="0" w:type="dxa"/>
        <w:tblCellMar>
          <w:top w:w="28" w:type="dxa"/>
          <w:left w:w="28" w:type="dxa"/>
          <w:bottom w:w="28" w:type="dxa"/>
          <w:right w:w="28" w:type="dxa"/>
        </w:tblCellMar>
      </w:tblPr>
      <w:tblGrid>
        <w:gridCol w:w="673"/>
        <w:gridCol w:w="592"/>
        <w:gridCol w:w="594"/>
        <w:gridCol w:w="109"/>
        <w:gridCol w:w="109"/>
        <w:gridCol w:w="128"/>
        <w:gridCol w:w="128"/>
        <w:gridCol w:w="248"/>
        <w:gridCol w:w="972"/>
        <w:gridCol w:w="128"/>
        <w:gridCol w:w="109"/>
        <w:gridCol w:w="109"/>
        <w:gridCol w:w="109"/>
        <w:gridCol w:w="211"/>
        <w:gridCol w:w="826"/>
        <w:gridCol w:w="154"/>
      </w:tblGrid>
      <w:tr>
        <w:trPr/>
        <w:tc>
          <w:tcPr>
            <w:tcW w:w="673"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59" w:type="dxa"/>
            <w:gridSpan w:val="3"/>
            <w:tcBorders/>
            <w:shd w:fill="CFF0FC"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Billboard advertising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417,175 </w:t>
            </w:r>
          </w:p>
        </w:tc>
        <w:tc>
          <w:tcPr>
            <w:tcW w:w="128"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401,739 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Logo advertising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20,310 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 advertising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33,847 </w:t>
            </w:r>
          </w:p>
        </w:tc>
        <w:tc>
          <w:tcPr>
            <w:tcW w:w="12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29,904 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471,332 </w:t>
            </w:r>
          </w:p>
        </w:tc>
        <w:tc>
          <w:tcPr>
            <w:tcW w:w="1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451,388 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360" w:after="283"/>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LAMAR ADVERTISING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spacing w:lineRule="auto" w:line="288" w:before="360" w:after="283"/>
        <w:jc w:val="both"/>
        <w:rPr/>
      </w:pPr>
      <w:r>
        <w:rPr>
          <w:rFonts w:ascii="Times New Roman;sans-serif" w:hAnsi="Times New Roman;sans-serif"/>
          <w:b w:val="false"/>
          <w:color w:val="000000"/>
          <w:sz w:val="20"/>
        </w:rPr>
        <w:t xml:space="preserve">3. </w:t>
      </w:r>
      <w:r>
        <w:rPr>
          <w:rFonts w:ascii="Times New Roman;sans-serif" w:hAnsi="Times New Roman;sans-serif"/>
          <w:b w:val="false"/>
          <w:color w:val="000000"/>
          <w:sz w:val="20"/>
          <w:u w:val="single"/>
        </w:rPr>
        <w:t>Leases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we had operating lease costs of $79,446 and $75,820, respectively, and variable lease costs of $12,374 and $12,204, respectively. These operating lease costs are recorded in direct advertising expenses (exclusive of depreciation and amortization). For the three months ended March 31, 2023 and 2022, we recorded a loss (gain) of $145 and $(40), respectively, in gain on disposition of assets related to the amendment and termination of lease agreements. Cash payments of $117,332 and $106,014 were made reducing our operating lease liabilities for the three months ended March 31, 2023 and 2022, respectively, and are included in cash flows provided by operating activities in the Condensed Consolidated Statements of Cash Flows.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elected the short-term lease exemption which applies to certain of our vehicle agreements. This election allows the Company to not recognize lease right of use assets ("ROU assets") or lease liabilities for agreements with a term of twelve months or less. We recorded $2,411 and $1,738 in direct advertising expenses (exclusive of depreciation and amortization) for these agreements during the three months ended March 31, 2023 and 2022,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leases have a weighted-average remaining lease term of 12.5 years. The weighted-average discount rate of our operating leases is 4.8%. Also, during the periods ended March 31, 2023 and 2022, we obtained $4,942 and $8,246, respectively, of leased assets in exchange for new operating lease liabilities, which includes liabilities obtained through acquisitions.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maturities of our operating lease liabilities as of March 31, 2023:</w:t>
      </w:r>
    </w:p>
    <w:tbl>
      <w:tblPr>
        <w:tblW w:w="5150" w:type="dxa"/>
        <w:jc w:val="left"/>
        <w:tblInd w:w="0" w:type="dxa"/>
        <w:tblCellMar>
          <w:top w:w="28" w:type="dxa"/>
          <w:left w:w="28" w:type="dxa"/>
          <w:bottom w:w="28" w:type="dxa"/>
          <w:right w:w="28" w:type="dxa"/>
        </w:tblCellMar>
      </w:tblPr>
      <w:tblGrid>
        <w:gridCol w:w="1377"/>
        <w:gridCol w:w="1207"/>
        <w:gridCol w:w="1225"/>
        <w:gridCol w:w="211"/>
        <w:gridCol w:w="976"/>
        <w:gridCol w:w="154"/>
      </w:tblGrid>
      <w:tr>
        <w:trPr/>
        <w:tc>
          <w:tcPr>
            <w:tcW w:w="1377"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198,772 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144,328 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869,057 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operating lease payments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1,660,862 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(452,073)</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1,208,789 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$713 of amortization expense for each period and $130 and $140 of interest expense relating to our financing lease liabilities were recorded in depreciation and amortization and interest expense, respectively, in the Condensed Consolidated Statements of Income and Comprehensive Income. Cash payments of $333 were made reducing our financing lease liabilities for each of the three months ended March 31, 2023 and 2022 and are included in cash flows used in financing activities in the Condensed Consolidated Statements of Cash Flows. Our financing leases have a weighted-average remaining lease term of 4.7 years and a weighted-average discount rate of 3.1%.</w:t>
      </w:r>
    </w:p>
    <w:p>
      <w:pPr>
        <w:pStyle w:val="TextBody"/>
        <w:spacing w:lineRule="auto" w:line="288" w:before="240" w:after="283"/>
        <w:jc w:val="both"/>
        <w:rPr/>
      </w:pPr>
      <w:r>
        <w:rPr>
          <w:rFonts w:ascii="Times New Roman;sans-serif" w:hAnsi="Times New Roman;sans-serif"/>
          <w:b w:val="false"/>
          <w:color w:val="000000"/>
          <w:sz w:val="20"/>
        </w:rPr>
        <w:t xml:space="preserve">Due to our election not to reassess conclusions about lease identification as part of the adoption of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our transit agreements were accounted for as leases on January 1, 2019. As we enter into new or renew current transit agreements, those agreements do not meet the criteria of a lease under ASC 842, therefore they are no longer accounted for as a lease. For the three months ended March 31, 2023 and 2022, non-lease variable transit payments were $20,318 and $17,278, respectively. These transit expenses are recorded in direct advertising expenses (exclusive of depreciation and amortization) on the Condensed Consolidated Statements of Income and Comprehensive Income.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pPr>
      <w:r>
        <w:rPr>
          <w:rFonts w:ascii="Times New Roman;sans-serif" w:hAnsi="Times New Roman;sans-serif"/>
          <w:b w:val="false"/>
          <w:color w:val="000000"/>
          <w:sz w:val="20"/>
        </w:rPr>
        <w:t xml:space="preserve">4. </w:t>
      </w:r>
      <w:r>
        <w:rPr>
          <w:rFonts w:ascii="Times New Roman;sans-serif" w:hAnsi="Times New Roman;sans-serif"/>
          <w:b w:val="false"/>
          <w:color w:val="000000"/>
          <w:sz w:val="20"/>
          <w:u w:val="single"/>
        </w:rPr>
        <w:t>Stock-Based Compensation</w:t>
      </w:r>
    </w:p>
    <w:p>
      <w:pPr>
        <w:pStyle w:val="TextBody"/>
        <w:spacing w:lineRule="auto" w:line="288" w:before="120" w:after="283"/>
        <w:jc w:val="both"/>
        <w:rPr/>
      </w:pPr>
      <w:r>
        <w:rPr>
          <w:rFonts w:ascii="Times New Roman;sans-serif" w:hAnsi="Times New Roman;sans-serif"/>
          <w:b w:val="false"/>
          <w:i/>
          <w:color w:val="000000"/>
          <w:sz w:val="20"/>
        </w:rPr>
        <w:t xml:space="preserve">Equity Incentive Plan. </w:t>
      </w:r>
      <w:r>
        <w:rPr>
          <w:rFonts w:ascii="Times New Roman;sans-serif" w:hAnsi="Times New Roman;sans-serif"/>
          <w:b w:val="false"/>
          <w:color w:val="000000"/>
          <w:sz w:val="20"/>
        </w:rPr>
        <w:t xml:space="preserve">Lamar Advertising’s 1996 Equity Incentive Plan, as amended, (the “Incentive Plan”) has reserved 17.5 million shares of Class A common stock for issuance to directors and employees, including shares underlying granted options and common stock reserved for issuance under its performance-based incentive program. Options granted under the plan expire ten years from the grant date with vesting terms ranging from three to five years and include 1) options that vest in one-fifth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360" w:after="283"/>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LAMAR ADVERTISING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a Black-Scholes-Merton option pricing model to estimate the fair value of share-based awards. The Black-Scholes-Merton option pricing model incorporates various and highly subjective assumptions, including expected term and expected volatility. The Company granted options for an aggregate of 9,000 shares of its Class A common stock during the three months ended March 31, 2023. At March 31, 2023 a total of 1,739,671 shares were available for future grant.</w:t>
      </w:r>
    </w:p>
    <w:p>
      <w:pPr>
        <w:pStyle w:val="TextBody"/>
        <w:spacing w:lineRule="auto" w:line="288" w:before="240" w:after="283"/>
        <w:jc w:val="both"/>
        <w:rPr/>
      </w:pPr>
      <w:r>
        <w:rPr>
          <w:rFonts w:ascii="Times New Roman;sans-serif" w:hAnsi="Times New Roman;sans-serif"/>
          <w:b w:val="false"/>
          <w:i/>
          <w:color w:val="000000"/>
          <w:sz w:val="20"/>
        </w:rPr>
        <w:t xml:space="preserve">Stock Purchase Plan. </w:t>
      </w:r>
      <w:r>
        <w:rPr>
          <w:rFonts w:ascii="Times New Roman;sans-serif" w:hAnsi="Times New Roman;sans-serif"/>
          <w:b w:val="false"/>
          <w:color w:val="000000"/>
          <w:sz w:val="20"/>
        </w:rPr>
        <w:t>On May 30, 2019, our shareholders approved Lamar Advertising’s 2019 Employee Stock Purchase Plan (the “2019 ESPP”). The number of shares of Class A common stock available under the 2019 ESPP was automatically increased by 87,327 shares on January 1, 2023 pursuant to the automatic increase provisions of the 2019 ESPP.</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2019 ESPP share activity for the three months ended March 31, 2023:</w:t>
      </w:r>
    </w:p>
    <w:tbl>
      <w:tblPr>
        <w:tblW w:w="5018" w:type="dxa"/>
        <w:jc w:val="left"/>
        <w:tblInd w:w="0" w:type="dxa"/>
        <w:tblCellMar>
          <w:top w:w="28" w:type="dxa"/>
          <w:left w:w="28" w:type="dxa"/>
          <w:bottom w:w="28" w:type="dxa"/>
          <w:right w:w="28" w:type="dxa"/>
        </w:tblCellMar>
      </w:tblPr>
      <w:tblGrid>
        <w:gridCol w:w="1423"/>
        <w:gridCol w:w="1251"/>
        <w:gridCol w:w="1255"/>
        <w:gridCol w:w="413"/>
        <w:gridCol w:w="413"/>
        <w:gridCol w:w="263"/>
      </w:tblGrid>
      <w:tr>
        <w:trPr/>
        <w:tc>
          <w:tcPr>
            <w:tcW w:w="1423"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3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r>
      <w:tr>
        <w:trPr/>
        <w:tc>
          <w:tcPr>
            <w:tcW w:w="392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for future purchases, January 1, 2023</w:t>
            </w:r>
          </w:p>
        </w:tc>
        <w:tc>
          <w:tcPr>
            <w:tcW w:w="826"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301,971 </w:t>
            </w:r>
          </w:p>
        </w:tc>
        <w:tc>
          <w:tcPr>
            <w:tcW w:w="263"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shares reserved under 2019 ESPP</w:t>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87,327 </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82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(45,232)</w:t>
            </w:r>
          </w:p>
        </w:tc>
        <w:tc>
          <w:tcPr>
            <w:tcW w:w="26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for future purchases, March 31, 2023</w:t>
            </w:r>
          </w:p>
        </w:tc>
        <w:tc>
          <w:tcPr>
            <w:tcW w:w="82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344,066 </w:t>
            </w:r>
          </w:p>
        </w:tc>
        <w:tc>
          <w:tcPr>
            <w:tcW w:w="26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pPr>
      <w:r>
        <w:rPr>
          <w:rFonts w:ascii="Times New Roman;sans-serif" w:hAnsi="Times New Roman;sans-serif"/>
          <w:b w:val="false"/>
          <w:i/>
          <w:color w:val="000000"/>
          <w:sz w:val="20"/>
        </w:rPr>
        <w:t xml:space="preserve">Performance-based stock compensation. </w:t>
      </w:r>
      <w:r>
        <w:rPr>
          <w:rFonts w:ascii="Times New Roman;sans-serif" w:hAnsi="Times New Roman;sans-serif"/>
          <w:b w:val="false"/>
          <w:color w:val="000000"/>
          <w:sz w:val="20"/>
        </w:rPr>
        <w:t xml:space="preserve">Unrestricted shares of our Class A common stock may be awarded to key officers, employees and directors under the Incentive Plan. The number of shares to be issued, if any, will be dependent on the level of achievement of performance measures for key officers and employees, as determined by the Company’s Compensation Committee based on our 2023 results. Any shares issued based on the achievement of performance goals will be issued in the first quarter of 2024. The shares subject to these awards can range from a minimum of 0% to a maximum of 100% of the target number of shares depending on the level at which the goals are attained. For the three months ended March 31, 2023 and 2022, the Company recorded $4,590 and </w:t>
      </w:r>
      <w:r>
        <w:rPr>
          <w:rFonts w:ascii="Times New Roman;sans-serif" w:hAnsi="Times New Roman;sans-serif"/>
          <w:b w:val="false"/>
          <w:color w:val="000000"/>
          <w:sz w:val="20"/>
          <w:highlight w:val="white"/>
        </w:rPr>
        <w:t>$247</w:t>
      </w:r>
      <w:r>
        <w:rPr>
          <w:rFonts w:ascii="Times New Roman;sans-serif" w:hAnsi="Times New Roman;sans-serif"/>
          <w:b w:val="false"/>
          <w:color w:val="000000"/>
          <w:sz w:val="20"/>
        </w:rPr>
        <w:t xml:space="preserve">, respectively, as stock-based compensation expense related to performance-based awards. </w:t>
      </w:r>
    </w:p>
    <w:p>
      <w:pPr>
        <w:pStyle w:val="TextBody"/>
        <w:spacing w:lineRule="auto" w:line="288" w:before="240" w:after="283"/>
        <w:jc w:val="both"/>
        <w:rPr/>
      </w:pPr>
      <w:r>
        <w:rPr>
          <w:rFonts w:ascii="Times New Roman;sans-serif" w:hAnsi="Times New Roman;sans-serif"/>
          <w:b w:val="false"/>
          <w:i/>
          <w:color w:val="000000"/>
          <w:sz w:val="20"/>
        </w:rPr>
        <w:t>LTIP Units</w:t>
      </w:r>
      <w:r>
        <w:rPr>
          <w:rFonts w:ascii="Times New Roman;sans-serif" w:hAnsi="Times New Roman;sans-serif"/>
          <w:b w:val="false"/>
          <w:color w:val="000000"/>
          <w:sz w:val="20"/>
        </w:rPr>
        <w:t>. In addition to performance-based stock compensation, the Company may issue LTIP Units of Lamar Advertising Limited Partnership (the "OP"), a subsidiary of the Company, to certain officers, employees and directors under the Incentive Plan of the Company. Such LTIP Units are subject to vesting and forfeiture conditions based on performance criteria approved by the Compensation Committee, which mirrors the performance criteria applicable to the Company's performance-based stock compensation, as described above. LTIP Units are a class of units intended to qualify as “profits interests” of the OP. The LTIP Units convert into Common Units of the OP upon the occurrence of certain events. Common Units are redeemable by the holder for shares of the Company's Class A common stock after a holding period of twelve months, or may be paid out in cash at the option of the general partner of the OP. As of the March 31, 2023, the OP issued a total of 176,000 LTIP Units to the Company’s executive officers, of which 88,000 LTIP units have vested. For the three months ended March 31, 2023, the Company recorded $1,891 as stock-based compensation expense related to these LTIP Units.</w:t>
      </w:r>
    </w:p>
    <w:p>
      <w:pPr>
        <w:pStyle w:val="TextBody"/>
        <w:spacing w:lineRule="auto" w:line="288" w:before="240" w:after="283"/>
        <w:jc w:val="both"/>
        <w:rPr/>
      </w:pPr>
      <w:r>
        <w:rPr>
          <w:rFonts w:ascii="Times New Roman;sans-serif" w:hAnsi="Times New Roman;sans-serif"/>
          <w:b w:val="false"/>
          <w:i/>
          <w:color w:val="000000"/>
          <w:sz w:val="20"/>
        </w:rPr>
        <w:t xml:space="preserve">Restricted stock compensation. </w:t>
      </w:r>
      <w:r>
        <w:rPr>
          <w:rFonts w:ascii="Times New Roman;sans-serif" w:hAnsi="Times New Roman;sans-serif"/>
          <w:b w:val="false"/>
          <w:color w:val="000000"/>
          <w:sz w:val="20"/>
        </w:rPr>
        <w:t>Annually, each non-employee director automatically receives a restricted stock award of our Class A common stock upon election or re-election. The awards vest 50% on grant date and 50% on the last day of the directors' one year term. For the three months ended March 31, 2023 and 2022, the Company recorded $101 and $60, respectively, in stock-based compensation expense related to these awards.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360" w:after="283"/>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LAMAR ADVERTISING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spacing w:lineRule="auto" w:line="288" w:before="360" w:after="283"/>
        <w:jc w:val="both"/>
        <w:rPr/>
      </w:pPr>
      <w:r>
        <w:rPr>
          <w:rFonts w:ascii="Times New Roman;sans-serif" w:hAnsi="Times New Roman;sans-serif"/>
          <w:b w:val="false"/>
          <w:color w:val="000000"/>
          <w:sz w:val="20"/>
        </w:rPr>
        <w:t xml:space="preserve">5. </w:t>
      </w:r>
      <w:r>
        <w:rPr>
          <w:rFonts w:ascii="Times New Roman;sans-serif" w:hAnsi="Times New Roman;sans-serif"/>
          <w:b w:val="false"/>
          <w:color w:val="000000"/>
          <w:sz w:val="20"/>
          <w:u w:val="single"/>
        </w:rPr>
        <w:t>Depreciation and Amortization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includes all categories of depreciation and amortization on a separate line in its Condensed Consolidated Statements of Income and Comprehensive Income. The amounts of depreciation and amortization expense excluded from the following operating expenses in its Condensed Consolidated Statements of Income and Comprehensive Income are as follows:</w:t>
      </w:r>
    </w:p>
    <w:tbl>
      <w:tblPr>
        <w:tblW w:w="6325" w:type="dxa"/>
        <w:jc w:val="left"/>
        <w:tblInd w:w="0" w:type="dxa"/>
        <w:tblCellMar>
          <w:top w:w="28" w:type="dxa"/>
          <w:left w:w="28" w:type="dxa"/>
          <w:bottom w:w="28" w:type="dxa"/>
          <w:right w:w="28" w:type="dxa"/>
        </w:tblCellMar>
      </w:tblPr>
      <w:tblGrid>
        <w:gridCol w:w="1118"/>
        <w:gridCol w:w="984"/>
        <w:gridCol w:w="987"/>
        <w:gridCol w:w="109"/>
        <w:gridCol w:w="109"/>
        <w:gridCol w:w="139"/>
        <w:gridCol w:w="139"/>
        <w:gridCol w:w="269"/>
        <w:gridCol w:w="919"/>
        <w:gridCol w:w="139"/>
        <w:gridCol w:w="109"/>
        <w:gridCol w:w="109"/>
        <w:gridCol w:w="109"/>
        <w:gridCol w:w="211"/>
        <w:gridCol w:w="721"/>
        <w:gridCol w:w="154"/>
      </w:tblGrid>
      <w:tr>
        <w:trPr/>
        <w:tc>
          <w:tcPr>
            <w:tcW w:w="1118"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advertising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68,316 </w:t>
            </w:r>
          </w:p>
        </w:tc>
        <w:tc>
          <w:tcPr>
            <w:tcW w:w="13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64,237 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3,529 </w:t>
            </w:r>
          </w:p>
        </w:tc>
        <w:tc>
          <w:tcPr>
            <w:tcW w:w="13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73,125 </w:t>
            </w:r>
          </w:p>
        </w:tc>
        <w:tc>
          <w:tcPr>
            <w:tcW w:w="13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68,627 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pPr>
      <w:r>
        <w:rPr>
          <w:rFonts w:ascii="Times New Roman;sans-serif" w:hAnsi="Times New Roman;sans-serif"/>
          <w:b w:val="false"/>
          <w:color w:val="000000"/>
          <w:sz w:val="20"/>
        </w:rPr>
        <w:t xml:space="preserve">6. </w:t>
      </w:r>
      <w:r>
        <w:rPr>
          <w:rFonts w:ascii="Times New Roman;sans-serif" w:hAnsi="Times New Roman;sans-serif"/>
          <w:b w:val="false"/>
          <w:color w:val="000000"/>
          <w:sz w:val="20"/>
          <w:u w:val="single"/>
        </w:rPr>
        <w:t>Goodwill and Other Intangible Assets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intangible assets at March 31, 2023 and December 31, 2022:</w:t>
      </w:r>
    </w:p>
    <w:tbl>
      <w:tblPr>
        <w:tblW w:w="10138" w:type="dxa"/>
        <w:jc w:val="left"/>
        <w:tblInd w:w="0" w:type="dxa"/>
        <w:tblCellMar>
          <w:top w:w="28" w:type="dxa"/>
          <w:left w:w="28" w:type="dxa"/>
          <w:bottom w:w="28" w:type="dxa"/>
          <w:right w:w="28" w:type="dxa"/>
        </w:tblCellMar>
      </w:tblPr>
      <w:tblGrid>
        <w:gridCol w:w="1006"/>
        <w:gridCol w:w="882"/>
        <w:gridCol w:w="887"/>
        <w:gridCol w:w="275"/>
        <w:gridCol w:w="275"/>
        <w:gridCol w:w="276"/>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006"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Life</w:t>
              <w:b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7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r>
      <w:tr>
        <w:trPr/>
        <w:tc>
          <w:tcPr>
            <w:tcW w:w="277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Amortizable intangible assets:</w:t>
            </w:r>
          </w:p>
        </w:tc>
        <w:tc>
          <w:tcPr>
            <w:tcW w:w="826"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lists and contracts</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720,053 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621,381 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720,051 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614,840 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agreements</w:t>
            </w:r>
          </w:p>
        </w:tc>
        <w:tc>
          <w:tcPr>
            <w:tcW w:w="826" w:type="dxa"/>
            <w:gridSpan w:val="3"/>
            <w:tcBorders/>
            <w:shd w:fill="CFF0FC"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71,649 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65,849 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71,599 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65,647 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 locations</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2,873,946 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1,808,603 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2,864,854 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1,781,164 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6" w:type="dxa"/>
            <w:gridSpan w:val="3"/>
            <w:tcBorders/>
            <w:shd w:fill="CFF0FC"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52,237 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40,645 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40,392 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3,717,885 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2,536,478 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3,708,668 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2,502,043 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Unamortizable intangible assets:</w:t>
            </w:r>
          </w:p>
        </w:tc>
        <w:tc>
          <w:tcPr>
            <w:tcW w:w="826"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2,288,808 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253,536 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2,288,805 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253,536 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pPr>
      <w:r>
        <w:rPr>
          <w:rFonts w:ascii="Times New Roman;sans-serif" w:hAnsi="Times New Roman;sans-serif"/>
          <w:b w:val="false"/>
          <w:color w:val="000000"/>
          <w:sz w:val="20"/>
        </w:rPr>
        <w:t xml:space="preserve">7. </w:t>
      </w:r>
      <w:r>
        <w:rPr>
          <w:rFonts w:ascii="Times New Roman;sans-serif" w:hAnsi="Times New Roman;sans-serif"/>
          <w:b w:val="false"/>
          <w:color w:val="000000"/>
          <w:sz w:val="20"/>
          <w:u w:val="single"/>
        </w:rPr>
        <w:t>Asset Retirement Obligations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asset retirement obligations include the costs associated with the removal of its structures, resurfacing of the land and retirement cost, if applicable, related to the Company’s outdoor advertising portfolio. The following table reflects information related to our asset retirement obligations:</w:t>
      </w:r>
    </w:p>
    <w:tbl>
      <w:tblPr>
        <w:tblW w:w="4611" w:type="dxa"/>
        <w:jc w:val="left"/>
        <w:tblInd w:w="0" w:type="dxa"/>
        <w:tblCellMar>
          <w:top w:w="28" w:type="dxa"/>
          <w:left w:w="28" w:type="dxa"/>
          <w:bottom w:w="28" w:type="dxa"/>
          <w:right w:w="28" w:type="dxa"/>
        </w:tblCellMar>
      </w:tblPr>
      <w:tblGrid>
        <w:gridCol w:w="1238"/>
        <w:gridCol w:w="1088"/>
        <w:gridCol w:w="1094"/>
        <w:gridCol w:w="211"/>
        <w:gridCol w:w="826"/>
        <w:gridCol w:w="154"/>
      </w:tblGrid>
      <w:tr>
        <w:trPr/>
        <w:tc>
          <w:tcPr>
            <w:tcW w:w="1238"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390,442 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asset retirement obligations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settled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pPr>
      <w:r>
        <w:rPr>
          <w:rFonts w:ascii="Times New Roman;sans-serif" w:hAnsi="Times New Roman;sans-serif"/>
          <w:b w:val="false"/>
          <w:color w:val="000000"/>
          <w:sz w:val="20"/>
        </w:rPr>
        <w:t xml:space="preserve">8. </w:t>
      </w:r>
      <w:r>
        <w:rPr>
          <w:rFonts w:ascii="Times New Roman;sans-serif" w:hAnsi="Times New Roman;sans-serif"/>
          <w:b w:val="false"/>
          <w:color w:val="000000"/>
          <w:sz w:val="20"/>
          <w:u w:val="single"/>
        </w:rPr>
        <w:t>Distribution Restrictions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Lamar Media’s ability to make distributions to Lamar Advertising is restricted under both the terms of the indentures relating to Lamar Media’s outstanding notes and by the terms of its senior credit facility. As of March 31, 2023 and December 31, 2022, Lamar Media was permitted under the terms of its outstanding notes to make transfers to Lamar Advertising in the form of cash dividends, loans or advances in amounts up to $4,199,834 and $4,187,593, respectively.</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360" w:after="283"/>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LAMAR ADVERTISING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Lamar Media’s senior credit facility allows it to make transfers to Lamar Advertising in any taxable year up to the amount of Lamar Advertising’s taxable income (without any deduction for dividends paid). In addition, as of March 31, 2023,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March 31, 2023, the total debt ratio was less than 7.0 to 1 and Lamar Media’s secured debt ratio was less than 4.5 to 1, and the available cumulative credit was $2,950,314.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pPr>
      <w:r>
        <w:rPr>
          <w:rFonts w:ascii="Times New Roman;sans-serif" w:hAnsi="Times New Roman;sans-serif"/>
          <w:b w:val="false"/>
          <w:color w:val="000000"/>
          <w:sz w:val="20"/>
        </w:rPr>
        <w:t xml:space="preserve">9. </w:t>
      </w:r>
      <w:r>
        <w:rPr>
          <w:rFonts w:ascii="Times New Roman;sans-serif" w:hAnsi="Times New Roman;sans-serif"/>
          <w:b w:val="false"/>
          <w:color w:val="000000"/>
          <w:sz w:val="20"/>
          <w:u w:val="single"/>
        </w:rPr>
        <w:t>Earnings Per Share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 of basic earnings per share excludes any dilutive effect of stock options, while diluted earnings per share includes the dilutive effect of stock options. There were no dilutive shares excluded from this calculation resulting from their anti-dilutive effect for the three months ended March 31, 2023 or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pPr>
      <w:r>
        <w:rPr>
          <w:rFonts w:ascii="Times New Roman;sans-serif" w:hAnsi="Times New Roman;sans-serif"/>
          <w:b w:val="false"/>
          <w:color w:val="000000"/>
          <w:sz w:val="20"/>
        </w:rPr>
        <w:t xml:space="preserve">10. </w:t>
      </w:r>
      <w:r>
        <w:rPr>
          <w:rFonts w:ascii="Times New Roman;sans-serif" w:hAnsi="Times New Roman;sans-serif"/>
          <w:b w:val="false"/>
          <w:color w:val="000000"/>
          <w:sz w:val="20"/>
          <w:u w:val="single"/>
        </w:rPr>
        <w:t>Long-term Debt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debt consists of the following at March 31, 2023 and December 31, 2022: </w:t>
      </w:r>
    </w:p>
    <w:tbl>
      <w:tblPr>
        <w:tblW w:w="8226" w:type="dxa"/>
        <w:jc w:val="left"/>
        <w:tblInd w:w="0" w:type="dxa"/>
        <w:tblCellMar>
          <w:top w:w="28" w:type="dxa"/>
          <w:left w:w="28" w:type="dxa"/>
          <w:bottom w:w="28" w:type="dxa"/>
          <w:right w:w="28" w:type="dxa"/>
        </w:tblCellMar>
      </w:tblPr>
      <w:tblGrid>
        <w:gridCol w:w="1363"/>
        <w:gridCol w:w="1199"/>
        <w:gridCol w:w="1203"/>
        <w:gridCol w:w="211"/>
        <w:gridCol w:w="976"/>
        <w:gridCol w:w="109"/>
        <w:gridCol w:w="109"/>
        <w:gridCol w:w="109"/>
        <w:gridCol w:w="109"/>
        <w:gridCol w:w="237"/>
        <w:gridCol w:w="811"/>
        <w:gridCol w:w="122"/>
        <w:gridCol w:w="109"/>
        <w:gridCol w:w="109"/>
        <w:gridCol w:w="109"/>
        <w:gridCol w:w="211"/>
        <w:gridCol w:w="976"/>
        <w:gridCol w:w="154"/>
      </w:tblGrid>
      <w:tr>
        <w:trPr/>
        <w:tc>
          <w:tcPr>
            <w:tcW w:w="1363"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w:t>
              <w:br/>
              <w:t>financing 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net of</w:t>
              <w:br/>
              <w:t>deferred</w:t>
              <w:br/>
              <w:t>financing costs</w:t>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Credit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1,056,563 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Securitization Program</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3/4% Senior  Notes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594,265 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5/8% Senior Notes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Senior Notes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543,190 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7/8% Senior Notes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notes with various rates and terms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3,369,129 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(234,624)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excluding current maturities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3,165,027 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3,134,505 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tbl>
      <w:tblPr>
        <w:tblW w:w="8226" w:type="dxa"/>
        <w:jc w:val="left"/>
        <w:tblInd w:w="0" w:type="dxa"/>
        <w:tblCellMar>
          <w:top w:w="28" w:type="dxa"/>
          <w:left w:w="28" w:type="dxa"/>
          <w:bottom w:w="28" w:type="dxa"/>
          <w:right w:w="28" w:type="dxa"/>
        </w:tblCellMar>
      </w:tblPr>
      <w:tblGrid>
        <w:gridCol w:w="1363"/>
        <w:gridCol w:w="1199"/>
        <w:gridCol w:w="1203"/>
        <w:gridCol w:w="211"/>
        <w:gridCol w:w="976"/>
        <w:gridCol w:w="109"/>
        <w:gridCol w:w="109"/>
        <w:gridCol w:w="109"/>
        <w:gridCol w:w="109"/>
        <w:gridCol w:w="237"/>
        <w:gridCol w:w="811"/>
        <w:gridCol w:w="122"/>
        <w:gridCol w:w="109"/>
        <w:gridCol w:w="109"/>
        <w:gridCol w:w="109"/>
        <w:gridCol w:w="211"/>
        <w:gridCol w:w="976"/>
        <w:gridCol w:w="154"/>
      </w:tblGrid>
      <w:tr>
        <w:trPr/>
        <w:tc>
          <w:tcPr>
            <w:tcW w:w="1363"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w:t>
              <w:br/>
              <w:t>financing 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net of</w:t>
              <w:br/>
              <w:t>deferred</w:t>
              <w:br/>
              <w:t>financing costs</w:t>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Credit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985,799 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Securitization Program</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3/4% Senior Notes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5/8% Senior Notes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Senior Notes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7/8% Senior Notes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notes with various rates and terms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3,312,805 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(249,785)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excluding current maturities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3,095,042 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3,063,020 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360" w:after="283"/>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LAMAR ADVERTISING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spacing w:lineRule="auto" w:line="288" w:before="3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Senior Credit Facility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senior credit facility, as established by the Fourth Amended and Restated Credit Agreement (the “senior credit facility”), consists of (i) a $750,000 senior secured revolving credit facility which will mature on February 6, 2025 (the “revolving credit facility”), (ii) a $600,000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of 4.50 to 1.00, as well as certain other conditions including lender approval. Lamar Media borrowed all $600,000 in Term B loans on February 6, 2020. The entire amount of the Term B loans will be payable at maturity. The net proceeds from the Term B loans, together with borrowings under the revolving portion of the senior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 B loans mature on February 6, 2027 with no required amortization payments. The Term B loans bear interest at rates based on the Adjusted LIBO Rate (“Eurodollar term loans”) or the Adjusted Base Rate (“Base Rate term loans”), at Lamar Media’s option. Eurodollar term loans bear interest at a rate per annum equal to the Adjusted LIBO Rate plus 1.50%. Base Rate term loans bear interest at a rate per annum equal to the Adjusted Base Rate plus 0.50%.</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29, 2022, Lamar Media entered into Amendment No. 2 (the "Amendment No. 2") to the Fourth Amended and Restated Credit Agreement with certain of Lamar Media's subsidiaries as guarantors, JPMorgan Chase Bank, N.A. as administrative agent and the lenders party thereto. Amendment No. 2 established a new $350,000 Senior Secured Term Loan A loan (the "Term A loans") as a new class of incremental term loans. The Term A loans will mature on February 6, 2025 with no required amortization payments prior to maturity and bear interest at rates based on the Term Secured Overnight Financing Rate ("Term SOFR") plus 1.25% and a credit spread adjustment of 0.10%. The covenants, events of default and other terms of the senior credit facility apply to the Term A loans. Lamar Media borrowed all $350,000 in Term A loans on July 29, 2022. The entire amount of the Term A loans will be payable at maturity. Proceeds from the Term A loans were used to repay outstanding balances on the revolving credit facility and a portion of the outstanding balance on the Accounts Receivable Securitization Program.</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were $115,000 in borrowings outstanding under the revolving credit facility. Availability under the revolving credit facility is reduced by the amount of any letters of credit outstanding. Lamar Media had $9,052 in letters of credit outstanding as of March 31, 2023 resulting in $625,948 of availability under its revolving credit facility. Revolving credit loans may be requested under the revolving credit facility at any time prior to its maturity on February 6, 2025.</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Lamar Media’s senior credit facility and the indentures relating to Lamar Media’s outstanding notes restrict, among other things, the ability of Lamar Advertising and Lamar Media to:</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dispose of assets;</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incur or repay debt;</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360" w:after="283"/>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LAMAR ADVERTISING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create liens;</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make investments; and</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pay dividends.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Lamar Media’s ability to make distributions to Lamar Advertising is also restricted under the terms of these agreements. Under Lamar Media’s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Lamar Advertising and Lamar Media were in compliance with all of the terms of their indentures and the senior credit facility provisions during the periods presented.</w:t>
      </w:r>
    </w:p>
    <w:p>
      <w:pPr>
        <w:pStyle w:val="TextBody"/>
        <w:spacing w:lineRule="auto" w:line="288" w:before="36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Accounts Receivable Securitization Program</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18, 2018, Lamar Media entered into a $175,000 Receivable Financing Agreement (the “Receivable Financing Agreement”) with its wholly-owned special purpose entities, Lamar QRS Receivables, LLC and Lamar TRS Receivables, LLC (the “Special Purpose Subsidiaries”) (the "Accounts Receivable Securitization Program"). The Accounts Receivable Securitization Program is limited to the availability of eligible accounts receivable collateralizing the borrowings under the agreements governing the Accounts Receivable Securitization Program.</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24, 2022, Lamar Media and the Special Purpose Subsidiaries entered into the Sixth Amendment (the "Sixth Amendment") to the Receivables Financing Agreement. The Sixth Amendment increased the Accounts Receivable Securitization Program from $175,000 to $250,000 and extended the maturity date of the Accounts Receivable Securitization Program to July 21, 2025. Additionally, the Sixth Amendment provides for the replacement of LIBOR-based interest rate mechanics with Term SOFR based interest rate mechanics for the Accounts Receivable Securitization Program.</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$234,800 outstanding aggregate borrowings under the Accounts Receivable Securitization Program. Based on the availability of eligible accounts, Lamar Media had an additional $3,600 available for borrowing under the Accounts Receivable Securitization Program as of March 31, 2023. The commitment fees based on the amount of unused commitments under the Accounts Receivable Securitization Program were immaterial during the three months ended March 31, 2023.</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Accounts Receivable Securitization Program will mature on July 21, 2025. Lamar Media may amend the facility to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Condensed Consolidated Balance Sheets, (ii) our Condensed Consolidated Statements of Income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360" w:after="283"/>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LAMAR ADVERTISING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w:t>
      </w:r>
    </w:p>
    <w:p>
      <w:pPr>
        <w:pStyle w:val="TextBody"/>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4% Senior Notes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any time prior to February 15, 2025, Lamar Media may redeem some or all of the 4% Notes at a price equal to 100% of the aggregate principal amount, plus accrued and unpaid interest thereon and a make-whole premium. 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pStyle w:val="TextBody"/>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3 3/4% Senior Notes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pStyle w:val="TextBody"/>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4 7/8% Senior Notes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Lamar Media may redeem up to 40% of the aggregate principal amount of the 4 7/8% Notes, at any time and from time to time, at a price equal to 104.875% of the aggregate principal amount redeemed, plus accrued and unpaid interest thereon, with the net cash proceeds of certain public equity offerings completed before May 15, 2023, provided that following the redemption, at least 60% of the 4 7/8% Notes that were originally issued remain outstanding and any such redemption occurs within 120 days following the closing of any such public equity offering. At any time prior to January 15, 2024, Lamar Media may redeem some or all of the 4 7/8% Notes at a price equal to 100% of the aggregate principal amount, plus accrued and unpaid interest thereon and a make-whole premium. 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360" w:after="283"/>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LAMAR ADVERTISING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3 5/8% Senior Notes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Lamar Media may redeem up to 40% of the aggregate principal amount of the 3 5/8% Notes, at any time and from time to time, at a price equal to 103.625% of the aggregate principal amount so redeemed, plus accrued and unpaid interest thereon, with the net cash proceeds of certain public equity offerings completed before January 15, 2024 provided that following the redemption, at least 60% of the 3 5/8% Notes that were originally issued remain outstanding and any such redemption occurs within 120 days following the closing of any such public equity offering. At any time prior to January 15, 2026, Lamar Media may redeem some or all of the 3 5/8% Notes at a price equal to 100% of the aggregate principal amount, plus accrued and unpaid interest thereon and a make-whole premium. On or after January 15, 2026, Lamar Media may redeem the 3 5/8% Notes, in whole or in 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pStyle w:val="TextBody"/>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Debt Repurchase Program</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16, 2020, the Company’s Board of Directors authorized Lamar Media to repurchase up to $250,000 in outstanding senior or senior subordinated notes and other indebtedness outstanding from time to time under its Fourth Amended and Restated Credit Agreement. On February 23, 2023, the Board of Directors authorized the extension of the repurchase program through September 30, 2024. There were no repurchases under the program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pPr>
      <w:r>
        <w:rPr>
          <w:rFonts w:ascii="Times New Roman;sans-serif" w:hAnsi="Times New Roman;sans-serif"/>
          <w:b w:val="false"/>
          <w:color w:val="000000"/>
          <w:sz w:val="20"/>
        </w:rPr>
        <w:t xml:space="preserve">11. </w:t>
      </w:r>
      <w:r>
        <w:rPr>
          <w:rFonts w:ascii="Times New Roman;sans-serif" w:hAnsi="Times New Roman;sans-serif"/>
          <w:b w:val="false"/>
          <w:color w:val="000000"/>
          <w:sz w:val="20"/>
          <w:u w:val="single"/>
        </w:rPr>
        <w:t>Fair Value of Financial Instruments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 contracts are reported at fair values. The estimated fair value of the Company’s long-term debt (including current maturities) was $3,142,603 which does not exceed the carrying amount of $3,400,210 as of March 31, 2023. The majority of the fair value is determined using observed prices of publicly traded debt (level 1 in the fair value hierarchy) and the remaining is valued based on quoted prices for similar debt (level 2 in the fair value hierarchy).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pPr>
      <w:r>
        <w:rPr>
          <w:rFonts w:ascii="Times New Roman;sans-serif" w:hAnsi="Times New Roman;sans-serif"/>
          <w:b w:val="false"/>
          <w:color w:val="000000"/>
          <w:sz w:val="20"/>
        </w:rPr>
        <w:t xml:space="preserve">12. </w:t>
      </w:r>
      <w:r>
        <w:rPr>
          <w:rFonts w:ascii="Times New Roman;sans-serif" w:hAnsi="Times New Roman;sans-serif"/>
          <w:b w:val="false"/>
          <w:color w:val="000000"/>
          <w:sz w:val="20"/>
          <w:u w:val="single"/>
        </w:rPr>
        <w:t>New Accounting Pronouncements</w:t>
      </w:r>
    </w:p>
    <w:p>
      <w:pPr>
        <w:pStyle w:val="TextBody"/>
        <w:spacing w:lineRule="auto" w:line="288" w:before="120" w:after="283"/>
        <w:jc w:val="both"/>
        <w:rPr/>
      </w:pPr>
      <w:r>
        <w:rPr>
          <w:rFonts w:ascii="Times New Roman;sans-serif" w:hAnsi="Times New Roman;sans-serif"/>
          <w:b w:val="false"/>
          <w:color w:val="000000"/>
          <w:sz w:val="20"/>
        </w:rPr>
        <w:t xml:space="preserve">In October 2021, the FASB issued ASU 2021-08 </w:t>
      </w:r>
      <w:r>
        <w:rPr>
          <w:rFonts w:ascii="Times New Roman;sans-serif" w:hAnsi="Times New Roman;sans-serif"/>
          <w:b w:val="false"/>
          <w:i/>
          <w:color w:val="000000"/>
          <w:sz w:val="20"/>
        </w:rPr>
        <w:t xml:space="preserve">Business Combinations (Topic 805): Accounting for Contract Assets and Contract Liabilities from Contracts with Customers, </w:t>
      </w:r>
      <w:r>
        <w:rPr>
          <w:rFonts w:ascii="Times New Roman;sans-serif" w:hAnsi="Times New Roman;sans-serif"/>
          <w:b w:val="false"/>
          <w:color w:val="000000"/>
          <w:sz w:val="20"/>
        </w:rPr>
        <w:t>which provides guidance on the recognition and measurement of contract assets and contract liabilities acquired in a business combination. At the acquisition date, the acquirer should account for the related revenue contracts as if the acquirer had originated the contracts. The guidance also provides certain practical expedients for acquirers when recognizing and measuring acquired contract assets and contract liabilities from revenue contracts in a business combination. This guidance is effective for public entities as of December 15, 2022. The adoption of this guidance did not have a material impact on the Company's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pPr>
      <w:r>
        <w:rPr>
          <w:rFonts w:ascii="Times New Roman;sans-serif" w:hAnsi="Times New Roman;sans-serif"/>
          <w:b w:val="false"/>
          <w:color w:val="000000"/>
          <w:sz w:val="20"/>
        </w:rPr>
        <w:t xml:space="preserve">13. </w:t>
      </w:r>
      <w:r>
        <w:rPr>
          <w:rFonts w:ascii="Times New Roman;sans-serif" w:hAnsi="Times New Roman;sans-serif"/>
          <w:b w:val="false"/>
          <w:color w:val="000000"/>
          <w:sz w:val="20"/>
          <w:u w:val="single"/>
        </w:rPr>
        <w:t>Dividends/Distributions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and 2022, the Company declared and paid cash distributions in an aggregate amount of $127,460 or $1.25 per share and $111,602 or $1.10 per share, respectively.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360" w:after="283"/>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LAMAR ADVERTISING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offset, in whole or in part, the Company’s distribution requirements, limitations on its ability to fund distributions using cash generated through its taxable REIT subsidiaries (TRSs), the impact of general economic conditions on the Company’s operations and other factors that the Board of Directors may deem relevant. During the three months ended March 31, 2023 and 2022, the Company paid cash dividend distributions to holders of its Series AA Preferred Stock in an aggregate amount of $91 or $15.95 per share for each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pPr>
      <w:r>
        <w:rPr>
          <w:rFonts w:ascii="Times New Roman;sans-serif" w:hAnsi="Times New Roman;sans-serif"/>
          <w:b w:val="false"/>
          <w:color w:val="000000"/>
          <w:sz w:val="20"/>
        </w:rPr>
        <w:t xml:space="preserve">14. </w:t>
      </w:r>
      <w:r>
        <w:rPr>
          <w:rFonts w:ascii="Times New Roman;sans-serif" w:hAnsi="Times New Roman;sans-serif"/>
          <w:b w:val="false"/>
          <w:color w:val="000000"/>
          <w:sz w:val="20"/>
          <w:u w:val="single"/>
        </w:rPr>
        <w:t>Information about Geographic Areas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external customers attributable to foreign countries totaled $6,076 and $6,197 for the three months ended March 31, 2023 and 2022, respectively. Net carrying value of long-lived assets located in foreign countries totaled $12,575 and $11,763 as of March 31, 2023 and December 31, 2022, respectively. All other revenues from external customers and long-lived assets relate to domestic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pPr>
      <w:r>
        <w:rPr>
          <w:rFonts w:ascii="Times New Roman;sans-serif" w:hAnsi="Times New Roman;sans-serif"/>
          <w:b w:val="false"/>
          <w:color w:val="000000"/>
          <w:sz w:val="20"/>
        </w:rPr>
        <w:t>15. </w:t>
      </w:r>
      <w:r>
        <w:rPr>
          <w:rFonts w:ascii="Times New Roman;sans-serif" w:hAnsi="Times New Roman;sans-serif"/>
          <w:b w:val="false"/>
          <w:color w:val="000000"/>
          <w:sz w:val="20"/>
          <w:u w:val="single"/>
        </w:rPr>
        <w:t>Stockholders’ Equity</w:t>
      </w:r>
    </w:p>
    <w:p>
      <w:pPr>
        <w:pStyle w:val="TextBody"/>
        <w:spacing w:lineRule="auto" w:line="288" w:before="120" w:after="283"/>
        <w:jc w:val="both"/>
        <w:rPr/>
      </w:pPr>
      <w:r>
        <w:rPr>
          <w:rFonts w:ascii="Times New Roman;sans-serif" w:hAnsi="Times New Roman;sans-serif"/>
          <w:b w:val="false"/>
          <w:i/>
          <w:color w:val="000000"/>
          <w:sz w:val="20"/>
        </w:rPr>
        <w:t xml:space="preserve">Sales Agreement. </w:t>
      </w:r>
      <w:r>
        <w:rPr>
          <w:rFonts w:ascii="Times New Roman;sans-serif" w:hAnsi="Times New Roman;sans-serif"/>
          <w:b w:val="false"/>
          <w:color w:val="000000"/>
          <w:sz w:val="20"/>
        </w:rPr>
        <w:t>On May 1, 2018, the Company entered into an equity distribution agreement (the “Sales Agreement”) with J.P. Morgan Securities LLC, Wells Fargo Securities LLC, and SunTrust Robinson Humphrey, Inc. as its sales agents. Under the terms of the Sales Agreement, the Company could have, from time to time, issued and sold shares of its Class A common stock, having an aggregate offering price of up to $400,000, through the sales agents party thereto as either agents or principals. The Sales Agreement expired by its terms on May 1, 2021 and as of that date, 842,412 shares of our Class A common stock were sold under the Sales Agreement.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21, 2021, the Company entered into a new equity distribution agreement (the "2021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$400,000, through the Sales Agents as either agents or principals.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directly through a market maker other than on an exchange. The Company has no obligation to sell any of the Class A Common stock under the 2021 Sales Agreement and may at any time suspend solicitations and offers under the 2021 Sales Agreement.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no shares of our Class A common stock have been sold under the 2021 Sales Agreement and accordingly $400,000 remained available to be sold under the 2021 Sales Agreement as of March 31, 2023.</w:t>
      </w:r>
    </w:p>
    <w:p>
      <w:pPr>
        <w:pStyle w:val="TextBody"/>
        <w:spacing w:lineRule="auto" w:line="288" w:before="120" w:after="283"/>
        <w:jc w:val="both"/>
        <w:rPr/>
      </w:pPr>
      <w:r>
        <w:rPr>
          <w:rFonts w:ascii="Times New Roman;sans-serif" w:hAnsi="Times New Roman;sans-serif"/>
          <w:b w:val="false"/>
          <w:i/>
          <w:color w:val="000000"/>
          <w:sz w:val="20"/>
        </w:rPr>
        <w:t xml:space="preserve">Shelf Registration. </w:t>
      </w:r>
      <w:r>
        <w:rPr>
          <w:rFonts w:ascii="Times New Roman;sans-serif" w:hAnsi="Times New Roman;sans-serif"/>
          <w:b w:val="false"/>
          <w:color w:val="000000"/>
          <w:sz w:val="20"/>
        </w:rPr>
        <w:t>On June 21, 2021, the Company filed an automatically effective shelf registration statement that allows Lamar Advertising to offer and sell an indeterminate amount of additional shares of its Class A common stock. During the three months ended March 31, 2023 and the year ended December 31, 2022, the Company did not issue any shares under this shelf registration.</w:t>
      </w:r>
    </w:p>
    <w:p>
      <w:pPr>
        <w:pStyle w:val="TextBody"/>
        <w:spacing w:lineRule="auto" w:line="288" w:before="240" w:after="283"/>
        <w:jc w:val="both"/>
        <w:rPr/>
      </w:pPr>
      <w:r>
        <w:rPr>
          <w:rFonts w:ascii="Times New Roman;sans-serif" w:hAnsi="Times New Roman;sans-serif"/>
          <w:b w:val="false"/>
          <w:i/>
          <w:color w:val="000000"/>
          <w:sz w:val="20"/>
        </w:rPr>
        <w:t xml:space="preserve">Stock Repurchase Program. </w:t>
      </w:r>
      <w:r>
        <w:rPr>
          <w:rFonts w:ascii="Times New Roman;sans-serif" w:hAnsi="Times New Roman;sans-serif"/>
          <w:b w:val="false"/>
          <w:color w:val="000000"/>
          <w:sz w:val="20"/>
        </w:rPr>
        <w:t>On March 16, 2020, the Company’s Board of Directors authorized the repurchase of up to $250,000 of the Company’s Class A common stock. On February 23, 2023, the Board of Directors authorized the extension of the repurchase program through September 30, 2024. There were no repurchases under the program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LAMAR MEDIA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center"/>
        <w:tblInd w:w="0" w:type="dxa"/>
        <w:tblCellMar>
          <w:top w:w="28" w:type="dxa"/>
          <w:left w:w="28" w:type="dxa"/>
          <w:bottom w:w="28" w:type="dxa"/>
          <w:right w:w="28" w:type="dxa"/>
        </w:tblCellMar>
      </w:tblPr>
      <w:tblGrid>
        <w:gridCol w:w="2791"/>
        <w:gridCol w:w="2341"/>
        <w:gridCol w:w="2348"/>
        <w:gridCol w:w="196"/>
        <w:gridCol w:w="871"/>
        <w:gridCol w:w="109"/>
        <w:gridCol w:w="109"/>
        <w:gridCol w:w="109"/>
        <w:gridCol w:w="109"/>
        <w:gridCol w:w="196"/>
        <w:gridCol w:w="871"/>
        <w:gridCol w:w="155"/>
      </w:tblGrid>
      <w:tr>
        <w:trPr/>
        <w:tc>
          <w:tcPr>
            <w:tcW w:w="2791" w:type="dxa"/>
            <w:tcBorders/>
            <w:shd w:fill="auto" w:val="clear"/>
            <w:vAlign w:val="center"/>
          </w:tcPr>
          <w:p>
            <w:pPr>
              <w:pStyle w:val="TableContents"/>
              <w:spacing w:before="0" w:after="283"/>
              <w:rPr>
                <w:sz w:val="4"/>
                <w:szCs w:val="4"/>
              </w:rPr>
            </w:pPr>
            <w:r>
              <w:rPr>
                <w:sz w:val="4"/>
                <w:szCs w:val="4"/>
              </w:rPr>
            </w:r>
          </w:p>
        </w:tc>
        <w:tc>
          <w:tcPr>
            <w:tcW w:w="2341" w:type="dxa"/>
            <w:tcBorders/>
            <w:shd w:fill="auto" w:val="clear"/>
            <w:vAlign w:val="center"/>
          </w:tcPr>
          <w:p>
            <w:pPr>
              <w:pStyle w:val="TableContents"/>
              <w:spacing w:before="0" w:after="283"/>
              <w:rPr>
                <w:sz w:val="4"/>
                <w:szCs w:val="4"/>
              </w:rPr>
            </w:pPr>
            <w:r>
              <w:rPr>
                <w:sz w:val="4"/>
                <w:szCs w:val="4"/>
              </w:rPr>
            </w:r>
          </w:p>
        </w:tc>
        <w:tc>
          <w:tcPr>
            <w:tcW w:w="234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7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52,119 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net of allowance for doubtful accounts of $10,661 and $11,418 in 2023 and 2022, respectively</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285,039 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364,052 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4,109,146 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(2,634,370)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(2,609,447)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property, plant and equipment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1,499,699 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 of use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1,271,631 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lease right of use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2,025,117 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1,180,939 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1,206,158 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77,778 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6,425,044 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6,458,472 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payable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Current maturities of long-term debt, net of deferred financing costs of $559 and $593 in 2023 and 2022, respectively</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234,624 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249,785 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205,838 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financing lease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108,724 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131,847 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717,168 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deferred financing costs of $30,522 and $32,022 in 2023 and 2022, respectively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3,134,505 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3,063,020 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1,030,959 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1,035,655 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lease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390,442 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39,090 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5,272,003 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5,270,971 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3,000 shares authorized, 100 shares issued and outstanding at 2023 and 2022</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paid-in-capital</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3,154,609 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3,132,178 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comprehensive loss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(2,001,247)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(1,944,018)</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1,187,501 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6,425,044 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6,458,472 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LAMAR MEDIA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and Comprehensive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075" w:type="dxa"/>
        <w:jc w:val="left"/>
        <w:tblInd w:w="0" w:type="dxa"/>
        <w:tblCellMar>
          <w:top w:w="28" w:type="dxa"/>
          <w:left w:w="28" w:type="dxa"/>
          <w:bottom w:w="28" w:type="dxa"/>
          <w:right w:w="28" w:type="dxa"/>
        </w:tblCellMar>
      </w:tblPr>
      <w:tblGrid>
        <w:gridCol w:w="2439"/>
        <w:gridCol w:w="2145"/>
        <w:gridCol w:w="2151"/>
        <w:gridCol w:w="109"/>
        <w:gridCol w:w="109"/>
        <w:gridCol w:w="128"/>
        <w:gridCol w:w="128"/>
        <w:gridCol w:w="248"/>
        <w:gridCol w:w="972"/>
        <w:gridCol w:w="128"/>
        <w:gridCol w:w="109"/>
        <w:gridCol w:w="109"/>
        <w:gridCol w:w="109"/>
        <w:gridCol w:w="211"/>
        <w:gridCol w:w="826"/>
        <w:gridCol w:w="154"/>
      </w:tblGrid>
      <w:tr>
        <w:trPr/>
        <w:tc>
          <w:tcPr>
            <w:tcW w:w="2439" w:type="dxa"/>
            <w:tcBorders/>
            <w:shd w:fill="auto" w:val="clear"/>
            <w:vAlign w:val="center"/>
          </w:tcPr>
          <w:p>
            <w:pPr>
              <w:pStyle w:val="TableContents"/>
              <w:spacing w:before="0" w:after="283"/>
              <w:rPr>
                <w:sz w:val="4"/>
                <w:szCs w:val="4"/>
              </w:rPr>
            </w:pPr>
            <w:r>
              <w:rPr>
                <w:sz w:val="4"/>
                <w:szCs w:val="4"/>
              </w:rPr>
            </w:r>
          </w:p>
        </w:tc>
        <w:tc>
          <w:tcPr>
            <w:tcW w:w="2145" w:type="dxa"/>
            <w:tcBorders/>
            <w:shd w:fill="auto" w:val="clear"/>
            <w:vAlign w:val="center"/>
          </w:tcPr>
          <w:p>
            <w:pPr>
              <w:pStyle w:val="TableContents"/>
              <w:spacing w:before="0" w:after="283"/>
              <w:rPr>
                <w:sz w:val="4"/>
                <w:szCs w:val="4"/>
              </w:rPr>
            </w:pPr>
            <w:r>
              <w:rPr>
                <w:sz w:val="4"/>
                <w:szCs w:val="4"/>
              </w:rPr>
            </w:r>
          </w:p>
        </w:tc>
        <w:tc>
          <w:tcPr>
            <w:tcW w:w="2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6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3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Statements of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471,332 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Direct advertising expenses (exclusive of 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168,432 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CFF0FC"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(exclusive of 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85,135 </w:t>
            </w:r>
          </w:p>
        </w:tc>
        <w:tc>
          <w:tcPr>
            <w:tcW w:w="12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83,084 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 (exclusive of 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28,391 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73,125 </w:t>
            </w:r>
          </w:p>
        </w:tc>
        <w:tc>
          <w:tcPr>
            <w:tcW w:w="12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68,627 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 of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352,395 </w:t>
            </w:r>
          </w:p>
        </w:tc>
        <w:tc>
          <w:tcPr>
            <w:tcW w:w="128"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330,796 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118,937 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41,444 </w:t>
            </w:r>
          </w:p>
        </w:tc>
        <w:tc>
          <w:tcPr>
            <w:tcW w:w="12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26,786 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investee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78,132 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attributable to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76,177 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Statements of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76,334 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attributable to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76,175 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LAMAR MEDIA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left"/>
        <w:tblInd w:w="0" w:type="dxa"/>
        <w:tblCellMar>
          <w:top w:w="28" w:type="dxa"/>
          <w:left w:w="28" w:type="dxa"/>
          <w:bottom w:w="28" w:type="dxa"/>
          <w:right w:w="28" w:type="dxa"/>
        </w:tblCellMar>
      </w:tblPr>
      <w:tblGrid>
        <w:gridCol w:w="683"/>
        <w:gridCol w:w="315"/>
        <w:gridCol w:w="316"/>
        <w:gridCol w:w="222"/>
        <w:gridCol w:w="428"/>
        <w:gridCol w:w="116"/>
        <w:gridCol w:w="109"/>
        <w:gridCol w:w="109"/>
        <w:gridCol w:w="109"/>
        <w:gridCol w:w="211"/>
        <w:gridCol w:w="976"/>
        <w:gridCol w:w="109"/>
        <w:gridCol w:w="109"/>
        <w:gridCol w:w="109"/>
        <w:gridCol w:w="109"/>
        <w:gridCol w:w="320"/>
        <w:gridCol w:w="730"/>
        <w:gridCol w:w="166"/>
        <w:gridCol w:w="109"/>
        <w:gridCol w:w="109"/>
        <w:gridCol w:w="109"/>
        <w:gridCol w:w="211"/>
        <w:gridCol w:w="996"/>
        <w:gridCol w:w="109"/>
        <w:gridCol w:w="109"/>
        <w:gridCol w:w="109"/>
        <w:gridCol w:w="109"/>
        <w:gridCol w:w="382"/>
        <w:gridCol w:w="737"/>
        <w:gridCol w:w="198"/>
        <w:gridCol w:w="109"/>
        <w:gridCol w:w="109"/>
        <w:gridCol w:w="109"/>
        <w:gridCol w:w="211"/>
        <w:gridCol w:w="976"/>
        <w:gridCol w:w="158"/>
      </w:tblGrid>
      <w:tr>
        <w:trPr/>
        <w:tc>
          <w:tcPr>
            <w:tcW w:w="683"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222"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3,132,178 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6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(1,944,018)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1,187,501 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from parent</w:t>
            </w:r>
          </w:p>
        </w:tc>
        <w:tc>
          <w:tcPr>
            <w:tcW w:w="6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23,447 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Reallocation of capital</w:t>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translations</w:t>
            </w:r>
          </w:p>
        </w:tc>
        <w:tc>
          <w:tcPr>
            <w:tcW w:w="6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to parent</w:t>
            </w:r>
          </w:p>
        </w:tc>
        <w:tc>
          <w:tcPr>
            <w:tcW w:w="6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(133,406)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(133,620)</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3,154,609 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(2,001,247)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1,153,041 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314"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314"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314"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314"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314"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314"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314"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314"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314"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314"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00" w:after="283"/>
        <w:rPr/>
      </w:pPr>
      <w:r>
        <w:rPr/>
      </w:r>
    </w:p>
    <w:tbl>
      <w:tblPr>
        <w:tblW w:w="10205" w:type="dxa"/>
        <w:jc w:val="left"/>
        <w:tblInd w:w="0" w:type="dxa"/>
        <w:tblCellMar>
          <w:top w:w="28" w:type="dxa"/>
          <w:left w:w="28" w:type="dxa"/>
          <w:bottom w:w="28" w:type="dxa"/>
          <w:right w:w="28" w:type="dxa"/>
        </w:tblCellMar>
      </w:tblPr>
      <w:tblGrid>
        <w:gridCol w:w="683"/>
        <w:gridCol w:w="315"/>
        <w:gridCol w:w="316"/>
        <w:gridCol w:w="222"/>
        <w:gridCol w:w="428"/>
        <w:gridCol w:w="116"/>
        <w:gridCol w:w="109"/>
        <w:gridCol w:w="109"/>
        <w:gridCol w:w="109"/>
        <w:gridCol w:w="211"/>
        <w:gridCol w:w="976"/>
        <w:gridCol w:w="109"/>
        <w:gridCol w:w="109"/>
        <w:gridCol w:w="109"/>
        <w:gridCol w:w="109"/>
        <w:gridCol w:w="326"/>
        <w:gridCol w:w="720"/>
        <w:gridCol w:w="170"/>
        <w:gridCol w:w="109"/>
        <w:gridCol w:w="109"/>
        <w:gridCol w:w="109"/>
        <w:gridCol w:w="211"/>
        <w:gridCol w:w="996"/>
        <w:gridCol w:w="109"/>
        <w:gridCol w:w="109"/>
        <w:gridCol w:w="109"/>
        <w:gridCol w:w="109"/>
        <w:gridCol w:w="382"/>
        <w:gridCol w:w="737"/>
        <w:gridCol w:w="198"/>
        <w:gridCol w:w="109"/>
        <w:gridCol w:w="109"/>
        <w:gridCol w:w="109"/>
        <w:gridCol w:w="211"/>
        <w:gridCol w:w="976"/>
        <w:gridCol w:w="158"/>
      </w:tblGrid>
      <w:tr>
        <w:trPr/>
        <w:tc>
          <w:tcPr>
            <w:tcW w:w="683"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Comprehensive</w:t>
              <w:br/>
              <w:t>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222"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3,071,905 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70"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(1,864,414)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1,208,346 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from parent</w:t>
            </w:r>
          </w:p>
        </w:tc>
        <w:tc>
          <w:tcPr>
            <w:tcW w:w="6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36,447 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translations</w:t>
            </w:r>
          </w:p>
        </w:tc>
        <w:tc>
          <w:tcPr>
            <w:tcW w:w="65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7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92,287 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to parent</w:t>
            </w:r>
          </w:p>
        </w:tc>
        <w:tc>
          <w:tcPr>
            <w:tcW w:w="65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(122,047)</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(122,047)</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2022</w:t>
            </w:r>
          </w:p>
        </w:tc>
        <w:tc>
          <w:tcPr>
            <w:tcW w:w="22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3,108,352 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(1,894,174)</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1,215,347 </w:t>
            </w:r>
          </w:p>
        </w:tc>
        <w:tc>
          <w:tcPr>
            <w:tcW w:w="15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314"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314"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314"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314"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314"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314"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314"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314"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314"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314"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LAMAR MEDIA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6908" w:type="dxa"/>
        <w:jc w:val="center"/>
        <w:tblInd w:w="0" w:type="dxa"/>
        <w:tblCellMar>
          <w:top w:w="28" w:type="dxa"/>
          <w:left w:w="28" w:type="dxa"/>
          <w:bottom w:w="28" w:type="dxa"/>
          <w:right w:w="28" w:type="dxa"/>
        </w:tblCellMar>
      </w:tblPr>
      <w:tblGrid>
        <w:gridCol w:w="1739"/>
        <w:gridCol w:w="1526"/>
        <w:gridCol w:w="1534"/>
        <w:gridCol w:w="181"/>
        <w:gridCol w:w="541"/>
        <w:gridCol w:w="109"/>
        <w:gridCol w:w="109"/>
        <w:gridCol w:w="109"/>
        <w:gridCol w:w="109"/>
        <w:gridCol w:w="181"/>
        <w:gridCol w:w="616"/>
        <w:gridCol w:w="154"/>
      </w:tblGrid>
      <w:tr>
        <w:trPr/>
        <w:tc>
          <w:tcPr>
            <w:tcW w:w="1739" w:type="dxa"/>
            <w:tcBorders/>
            <w:shd w:fill="auto" w:val="clear"/>
            <w:vAlign w:val="center"/>
          </w:tcPr>
          <w:p>
            <w:pPr>
              <w:pStyle w:val="TableContents"/>
              <w:spacing w:before="0" w:after="283"/>
              <w:rPr>
                <w:sz w:val="4"/>
                <w:szCs w:val="4"/>
              </w:rPr>
            </w:pPr>
            <w:r>
              <w:rPr>
                <w:sz w:val="4"/>
                <w:szCs w:val="4"/>
              </w:rPr>
            </w:r>
          </w:p>
        </w:tc>
        <w:tc>
          <w:tcPr>
            <w:tcW w:w="1526"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operating activities: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76,334 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92,287 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income to net cash provided by operating activities:</w:t>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68,627 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compensation</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included in interest expense</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Gain on disposition of assets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in earnings of investee</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tax expense</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Provision for doubtful accounts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operating assets and liabilities:</w:t>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(Increase) decrease in:</w:t>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Receivables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expenses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(8,265)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(Decrease) increase in:</w:t>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 accounts payable</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expenses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liabilities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(40,801)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(30,786)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liabilities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(37,889)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operating activities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70,396 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investing activities:</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Acquisitions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(55,293)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 expenditures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(42,285)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(28,759)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disposition of assets and investments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investing activities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(52,664)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(83,342)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financing activities: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Principal payments on long-term debt</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Principal payments on financing leases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on revolving credit facility</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received from revolving credit facility</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received from accounts receivable securitization program</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on accounts receivable securitization program</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Debt issuance costs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parent</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23,447 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36,447 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 to parent</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(133,406)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(122,047)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provided by financing activities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(55,824)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28,929 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Effect of exchange rate changes in cash and cash equivalents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(decrease) increase in cash and cash equivalents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at beginning of period</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52,119 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99,288 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at end of period</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115,378 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Supplemental disclosures of cash flow information:</w:t>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interest</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39,430 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foreign, state and federal income taxes</w:t>
            </w:r>
          </w:p>
        </w:tc>
        <w:tc>
          <w:tcPr>
            <w:tcW w:w="1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3,182 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3,716 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LAMAR MEDIA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pPr>
      <w:r>
        <w:rPr>
          <w:rFonts w:ascii="Times New Roman;sans-serif" w:hAnsi="Times New Roman;sans-serif"/>
          <w:b w:val="false"/>
          <w:color w:val="000000"/>
          <w:sz w:val="20"/>
        </w:rPr>
        <w:t xml:space="preserve">1. </w:t>
      </w:r>
      <w:r>
        <w:rPr>
          <w:rFonts w:ascii="Times New Roman;sans-serif" w:hAnsi="Times New Roman;sans-serif"/>
          <w:b w:val="false"/>
          <w:color w:val="000000"/>
          <w:sz w:val="20"/>
          <w:u w:val="single"/>
        </w:rPr>
        <w:t>Significant Accounting Policies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included in the foregoing interim condensed consolidated financial statements is unaudited. In the opinion of management all adjustments, consisting of normal recurring adjustments, necessary for a fair presentation of Lamar Media’s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Lamar Media’s consolidated financial statements and the notes thereto included in the 2022 Combined Form 10-K.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notes are not provided for the accompanying condensed consolidated financial statements as the information in notes 1, 2, 3, 4, 5, 6, 7, 8, 10, 11, 12, 14, and 15 to the condensed consolidated financial statements of Lamar Advertising included elsewhere in this report is substantially equivalent to that required for the condensed consolidated financial statements of Lamar Media. Earnings per share data is not provided for Lamar Media, as it is a wholly owned subsidiary of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pPr>
      <w:r>
        <w:rPr>
          <w:rFonts w:ascii="Times New Roman;sans-serif" w:hAnsi="Times New Roman;sans-serif"/>
          <w:b w:val="false"/>
          <w:color w:val="000000"/>
          <w:sz w:val="20"/>
        </w:rPr>
        <w:t xml:space="preserve">2. </w:t>
      </w:r>
      <w:r>
        <w:rPr>
          <w:rFonts w:ascii="Times New Roman;sans-serif" w:hAnsi="Times New Roman;sans-serif"/>
          <w:b w:val="false"/>
          <w:color w:val="000000"/>
          <w:sz w:val="20"/>
          <w:u w:val="single"/>
        </w:rPr>
        <w:t>Summarized Financial Information of Subsidiaries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Separate condensed consolidating financial information for Lamar Media, subsidiary guarantors and non-guarantor subsidiaries is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condensed consolidating financial information. The following condensed consolidating financial information should be read in conjunction with the accompanying consolidated financial statements and notes. The condensed consolidating financial information is provided as an alternative to providing separate financial statements for guarantor subsidiaries. Separate financial statements of Lamar Media’s subsidiary guarantors are not included because the guarantees are full and unconditional and the subsidiary guarantors are 100% owned and jointly and severally liable for Lamar Media’s outstanding publicly issued notes. The accounts for all companies reflected herein are presented using the equity method of accounting for investments in subsidiaries.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LAMAR MEDIA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Consolidating Balance Sheet as of March 31, 2023</w:t>
      </w:r>
    </w:p>
    <w:tbl>
      <w:tblPr>
        <w:tblW w:w="10205" w:type="dxa"/>
        <w:jc w:val="left"/>
        <w:tblInd w:w="0" w:type="dxa"/>
        <w:tblCellMar>
          <w:top w:w="28" w:type="dxa"/>
          <w:left w:w="28" w:type="dxa"/>
          <w:bottom w:w="28" w:type="dxa"/>
          <w:right w:w="28" w:type="dxa"/>
        </w:tblCellMar>
      </w:tblPr>
      <w:tblGrid>
        <w:gridCol w:w="1191"/>
        <w:gridCol w:w="725"/>
        <w:gridCol w:w="573"/>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1007"/>
        <w:gridCol w:w="109"/>
        <w:gridCol w:w="109"/>
        <w:gridCol w:w="109"/>
        <w:gridCol w:w="109"/>
        <w:gridCol w:w="211"/>
        <w:gridCol w:w="976"/>
        <w:gridCol w:w="156"/>
      </w:tblGrid>
      <w:tr>
        <w:trPr/>
        <w:tc>
          <w:tcPr>
            <w:tcW w:w="1191"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Lamar</w:t>
              <w:br/>
              <w:t>Media Corp.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Guarantor</w:t>
              <w:b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w:t>
              <w:br/>
              <w:t>Guarantor</w:t>
              <w:b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Lamar Media</w:t>
              <w:br/>
              <w:t>Consolidated</w:t>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6"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50,340 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263,156 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337,940 </w:t>
            </w:r>
          </w:p>
        </w:tc>
        <w:tc>
          <w:tcPr>
            <w:tcW w:w="15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plant and equipment</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1,493,130 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1,509,919 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w:t>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1,262,254 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17,348 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1,279,602 </w:t>
            </w:r>
          </w:p>
        </w:tc>
        <w:tc>
          <w:tcPr>
            <w:tcW w:w="15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and goodwill, net</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3,189,081 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3,206,060 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4,565,312 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305,407 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234,279 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(5,013,475)</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91,523 </w:t>
            </w:r>
          </w:p>
        </w:tc>
        <w:tc>
          <w:tcPr>
            <w:tcW w:w="15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4,589,756 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6,300,212 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548,551 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(5,013,475)</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6,425,044 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doub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doub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234,241 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234,624 </w:t>
            </w:r>
          </w:p>
        </w:tc>
        <w:tc>
          <w:tcPr>
            <w:tcW w:w="15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170,371 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177,830 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35,923 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190,398 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238,431 </w:t>
            </w:r>
          </w:p>
        </w:tc>
        <w:tc>
          <w:tcPr>
            <w:tcW w:w="15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253,810 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650,885 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3,132,967 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3,134,505 </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1,022,280 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1,030,959 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268,165 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417,137 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286,349 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(515,997)</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455,654 </w:t>
            </w:r>
          </w:p>
        </w:tc>
        <w:tc>
          <w:tcPr>
            <w:tcW w:w="15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3,437,055 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1,802,107 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548,838 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(515,997)</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5,272,003 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1,152,701 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4,498,105 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(4,497,478)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1,153,041 </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4,589,756 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6,300,212 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548,551 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(5,013,475)</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6,425,044 </w:t>
            </w:r>
          </w:p>
        </w:tc>
        <w:tc>
          <w:tcPr>
            <w:tcW w:w="1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LAMAR MEDIA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Consolidating Balance Sheet as of December 31, 2022</w:t>
      </w:r>
    </w:p>
    <w:tbl>
      <w:tblPr>
        <w:tblW w:w="10205" w:type="dxa"/>
        <w:jc w:val="left"/>
        <w:tblInd w:w="0" w:type="dxa"/>
        <w:tblCellMar>
          <w:top w:w="28" w:type="dxa"/>
          <w:left w:w="28" w:type="dxa"/>
          <w:bottom w:w="28" w:type="dxa"/>
          <w:right w:w="28" w:type="dxa"/>
        </w:tblCellMar>
      </w:tblPr>
      <w:tblGrid>
        <w:gridCol w:w="1191"/>
        <w:gridCol w:w="725"/>
        <w:gridCol w:w="573"/>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1007"/>
        <w:gridCol w:w="109"/>
        <w:gridCol w:w="109"/>
        <w:gridCol w:w="109"/>
        <w:gridCol w:w="109"/>
        <w:gridCol w:w="211"/>
        <w:gridCol w:w="976"/>
        <w:gridCol w:w="156"/>
      </w:tblGrid>
      <w:tr>
        <w:trPr/>
        <w:tc>
          <w:tcPr>
            <w:tcW w:w="1191"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Lamar Media</w:t>
              <w:br/>
              <w:t>Corp.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Guarantor</w:t>
              <w:b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w:t>
              <w:br/>
              <w:t>Guarantor</w:t>
              <w:b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Lamar Media</w:t>
              <w:br/>
              <w:t>Consolidated</w:t>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39,829 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36,667 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287,556 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364,052 </w:t>
            </w:r>
          </w:p>
        </w:tc>
        <w:tc>
          <w:tcPr>
            <w:tcW w:w="15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plant and equipment</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1,483,395 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1,499,699 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w:t>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1,252,414 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19,217 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1,271,631 </w:t>
            </w:r>
          </w:p>
        </w:tc>
        <w:tc>
          <w:tcPr>
            <w:tcW w:w="15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and goodwill, net</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3,214,284 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3,231,275 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4,514,221 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325,052 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250,056 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(4,997,514)</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91,815 </w:t>
            </w:r>
          </w:p>
        </w:tc>
        <w:tc>
          <w:tcPr>
            <w:tcW w:w="15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4,554,050 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6,311,812 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590,124 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(4,997,514)</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6,458,472 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doub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doub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249,407 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249,785 </w:t>
            </w:r>
          </w:p>
        </w:tc>
        <w:tc>
          <w:tcPr>
            <w:tcW w:w="15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205,838 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23,360 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222,871 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261,545 </w:t>
            </w:r>
          </w:p>
        </w:tc>
        <w:tc>
          <w:tcPr>
            <w:tcW w:w="15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421,569 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272,239 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717,168 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3,061,385 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3,063,020 </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1,025,385 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1,035,655 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281,804 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418,163 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301,957 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(546,796)</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455,128 </w:t>
            </w:r>
          </w:p>
        </w:tc>
        <w:tc>
          <w:tcPr>
            <w:tcW w:w="15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3,366,549 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1,866,752 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584,466 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(546,796)</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5,270,971 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1,187,501 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4,445,060 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(4,450,718)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1,187,501 </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4,554,050 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6,311,812 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590,124 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(4,997,514)</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6,458,472 </w:t>
            </w:r>
          </w:p>
        </w:tc>
        <w:tc>
          <w:tcPr>
            <w:tcW w:w="1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LAMAR MEDIA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Consolidating Statements of Income and Comprehensive Income </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2023</w:t>
      </w:r>
    </w:p>
    <w:tbl>
      <w:tblPr>
        <w:tblW w:w="10205" w:type="dxa"/>
        <w:jc w:val="left"/>
        <w:tblInd w:w="0" w:type="dxa"/>
        <w:tblCellMar>
          <w:top w:w="28" w:type="dxa"/>
          <w:left w:w="28" w:type="dxa"/>
          <w:bottom w:w="28" w:type="dxa"/>
          <w:right w:w="28" w:type="dxa"/>
        </w:tblCellMar>
      </w:tblPr>
      <w:tblGrid>
        <w:gridCol w:w="1336"/>
        <w:gridCol w:w="983"/>
        <w:gridCol w:w="986"/>
        <w:gridCol w:w="217"/>
        <w:gridCol w:w="741"/>
        <w:gridCol w:w="111"/>
        <w:gridCol w:w="109"/>
        <w:gridCol w:w="109"/>
        <w:gridCol w:w="109"/>
        <w:gridCol w:w="211"/>
        <w:gridCol w:w="826"/>
        <w:gridCol w:w="109"/>
        <w:gridCol w:w="109"/>
        <w:gridCol w:w="109"/>
        <w:gridCol w:w="109"/>
        <w:gridCol w:w="211"/>
        <w:gridCol w:w="668"/>
        <w:gridCol w:w="109"/>
        <w:gridCol w:w="109"/>
        <w:gridCol w:w="109"/>
        <w:gridCol w:w="109"/>
        <w:gridCol w:w="211"/>
        <w:gridCol w:w="873"/>
        <w:gridCol w:w="109"/>
        <w:gridCol w:w="109"/>
        <w:gridCol w:w="109"/>
        <w:gridCol w:w="109"/>
        <w:gridCol w:w="211"/>
        <w:gridCol w:w="826"/>
        <w:gridCol w:w="159"/>
      </w:tblGrid>
      <w:tr>
        <w:trPr/>
        <w:tc>
          <w:tcPr>
            <w:tcW w:w="1336"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Lamar Media</w:t>
              <w:br/>
              <w:t>Corp.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Guarantor</w:t>
              <w:b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w:t>
              <w:br/>
              <w:t>Guarantor</w:t>
              <w:b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Lamar Media</w:t>
              <w:br/>
              <w:t>Consolidated</w:t>
            </w:r>
          </w:p>
        </w:tc>
      </w:tr>
      <w:tr>
        <w:trPr/>
        <w:tc>
          <w:tcPr>
            <w:tcW w:w="3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Statement of Income</w:t>
            </w:r>
          </w:p>
        </w:tc>
        <w:tc>
          <w:tcPr>
            <w:tcW w:w="6900"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330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7"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462,493 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471,332 </w:t>
            </w:r>
          </w:p>
        </w:tc>
        <w:tc>
          <w:tcPr>
            <w:tcW w:w="15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(income)</w:t>
            </w:r>
          </w:p>
        </w:tc>
        <w:tc>
          <w:tcPr>
            <w:tcW w:w="10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05"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Direct advertising expenses</w:t>
            </w:r>
            <w:r>
              <w:rPr>
                <w:rFonts w:ascii="Times New Roman;sans-serif" w:hAnsi="Times New Roman;sans-serif"/>
                <w:b w:val="false"/>
                <w:color w:val="000000"/>
                <w:sz w:val="16"/>
              </w:rPr>
              <w:t>(1)</w:t>
            </w:r>
          </w:p>
        </w:tc>
        <w:tc>
          <w:tcPr>
            <w:tcW w:w="95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161,503 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7,485 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168,432 </w:t>
            </w:r>
          </w:p>
        </w:tc>
        <w:tc>
          <w:tcPr>
            <w:tcW w:w="15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General and administrative expenses</w:t>
            </w:r>
            <w:r>
              <w:rPr>
                <w:rFonts w:ascii="Times New Roman;sans-serif" w:hAnsi="Times New Roman;sans-serif"/>
                <w:b w:val="false"/>
                <w:color w:val="000000"/>
                <w:sz w:val="16"/>
              </w:rPr>
              <w:t>(1)</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5"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Corporate expenses</w:t>
            </w:r>
            <w:r>
              <w:rPr>
                <w:rFonts w:ascii="Times New Roman;sans-serif" w:hAnsi="Times New Roman;sans-serif"/>
                <w:b w:val="false"/>
                <w:color w:val="000000"/>
                <w:sz w:val="16"/>
              </w:rPr>
              <w:t>(1)</w:t>
            </w:r>
          </w:p>
        </w:tc>
        <w:tc>
          <w:tcPr>
            <w:tcW w:w="95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27,992 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28,391 </w:t>
            </w:r>
          </w:p>
        </w:tc>
        <w:tc>
          <w:tcPr>
            <w:tcW w:w="15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73,125 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 of assets</w:t>
            </w:r>
          </w:p>
        </w:tc>
        <w:tc>
          <w:tcPr>
            <w:tcW w:w="95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w:t>
            </w:r>
          </w:p>
        </w:tc>
        <w:tc>
          <w:tcPr>
            <w:tcW w:w="15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352,395 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958"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120,685 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118,937 </w:t>
            </w:r>
          </w:p>
        </w:tc>
        <w:tc>
          <w:tcPr>
            <w:tcW w:w="15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loss of subsidiaries</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(114,235)</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5"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40,983 </w:t>
            </w:r>
          </w:p>
        </w:tc>
        <w:tc>
          <w:tcPr>
            <w:tcW w:w="15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investee</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5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 expense (benefit)</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78,132 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Income tax expense</w:t>
            </w:r>
            <w:r>
              <w:rPr>
                <w:rFonts w:ascii="Times New Roman;sans-serif" w:hAnsi="Times New Roman;sans-serif"/>
                <w:b w:val="false"/>
                <w:color w:val="000000"/>
                <w:sz w:val="16"/>
              </w:rPr>
              <w:t>(2)</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attributable to non-controlling interest</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controlling interest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Statement of Comprehensive Income</w:t>
            </w:r>
          </w:p>
        </w:tc>
        <w:tc>
          <w:tcPr>
            <w:tcW w:w="106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76,177 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 net of tax</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attributable to non-controlling interest</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controlling interest</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(1)Caption is exclusive of depreciation and amortization.</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(2)The income tax expense reflected in each column does not include any tax effect of the equity in earnings from subsidiaries.</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LAMAR MEDIA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Consolidating Statements of Income and Comprehensive Income </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2022</w:t>
      </w:r>
    </w:p>
    <w:tbl>
      <w:tblPr>
        <w:tblW w:w="10205" w:type="dxa"/>
        <w:jc w:val="left"/>
        <w:tblInd w:w="0" w:type="dxa"/>
        <w:tblCellMar>
          <w:top w:w="28" w:type="dxa"/>
          <w:left w:w="28" w:type="dxa"/>
          <w:bottom w:w="28" w:type="dxa"/>
          <w:right w:w="28" w:type="dxa"/>
        </w:tblCellMar>
      </w:tblPr>
      <w:tblGrid>
        <w:gridCol w:w="1252"/>
        <w:gridCol w:w="1006"/>
        <w:gridCol w:w="1011"/>
        <w:gridCol w:w="219"/>
        <w:gridCol w:w="750"/>
        <w:gridCol w:w="112"/>
        <w:gridCol w:w="109"/>
        <w:gridCol w:w="109"/>
        <w:gridCol w:w="109"/>
        <w:gridCol w:w="211"/>
        <w:gridCol w:w="826"/>
        <w:gridCol w:w="109"/>
        <w:gridCol w:w="109"/>
        <w:gridCol w:w="109"/>
        <w:gridCol w:w="109"/>
        <w:gridCol w:w="211"/>
        <w:gridCol w:w="679"/>
        <w:gridCol w:w="109"/>
        <w:gridCol w:w="109"/>
        <w:gridCol w:w="109"/>
        <w:gridCol w:w="109"/>
        <w:gridCol w:w="211"/>
        <w:gridCol w:w="887"/>
        <w:gridCol w:w="109"/>
        <w:gridCol w:w="109"/>
        <w:gridCol w:w="109"/>
        <w:gridCol w:w="109"/>
        <w:gridCol w:w="211"/>
        <w:gridCol w:w="826"/>
        <w:gridCol w:w="158"/>
      </w:tblGrid>
      <w:tr>
        <w:trPr/>
        <w:tc>
          <w:tcPr>
            <w:tcW w:w="1252"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Lamar Media</w:t>
              <w:br/>
              <w:t>Corp.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Guarantor</w:t>
              <w:b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w:t>
              <w:br/>
              <w:t>Guarantor</w:t>
              <w:b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Lamar Media</w:t>
              <w:br/>
              <w:t>Consolidated</w:t>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Statement of Income</w:t>
            </w:r>
          </w:p>
        </w:tc>
        <w:tc>
          <w:tcPr>
            <w:tcW w:w="6936"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451,388 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(income)</w:t>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Direct advertising expenses</w:t>
            </w:r>
            <w:r>
              <w:rPr>
                <w:rFonts w:ascii="Times New Roman;sans-serif" w:hAnsi="Times New Roman;sans-serif"/>
                <w:b w:val="false"/>
                <w:color w:val="000000"/>
                <w:sz w:val="16"/>
              </w:rPr>
              <w:t>(1)</w:t>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157,772 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General and administrative expenses</w:t>
            </w:r>
            <w:r>
              <w:rPr>
                <w:rFonts w:ascii="Times New Roman;sans-serif" w:hAnsi="Times New Roman;sans-serif"/>
                <w:b w:val="false"/>
                <w:color w:val="000000"/>
                <w:sz w:val="16"/>
              </w:rPr>
              <w:t>(1)</w:t>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83,084 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Corporate expenses</w:t>
            </w:r>
            <w:r>
              <w:rPr>
                <w:rFonts w:ascii="Times New Roman;sans-serif" w:hAnsi="Times New Roman;sans-serif"/>
                <w:b w:val="false"/>
                <w:color w:val="000000"/>
                <w:sz w:val="16"/>
              </w:rPr>
              <w:t>(1)</w:t>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 of assets</w:t>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330,796 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120,592 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loss of subsidiaries</w:t>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(118,524)</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26,571 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investee</w:t>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 expense</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94,767 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Income tax expense (benefit)</w:t>
            </w:r>
            <w:r>
              <w:rPr>
                <w:rFonts w:ascii="Times New Roman;sans-serif" w:hAnsi="Times New Roman;sans-serif"/>
                <w:b w:val="false"/>
                <w:color w:val="000000"/>
                <w:sz w:val="16"/>
              </w:rPr>
              <w:t>(2)</w:t>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Statement of Comprehensive Income</w:t>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net of tax</w:t>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92,601 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(1)Caption is exclusive of depreciation and amortization.</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(2)The income tax expense (benefit) reflected in each column does not include any tax effect of the equity in earnings from subsidiaries.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LAMAR MEDIA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Consolidating Statement of Cash Flows for the Three Months Ended March 31, 2023</w:t>
      </w:r>
    </w:p>
    <w:tbl>
      <w:tblPr>
        <w:tblW w:w="10205" w:type="dxa"/>
        <w:jc w:val="left"/>
        <w:tblInd w:w="0" w:type="dxa"/>
        <w:tblCellMar>
          <w:top w:w="28" w:type="dxa"/>
          <w:left w:w="28" w:type="dxa"/>
          <w:bottom w:w="28" w:type="dxa"/>
          <w:right w:w="28" w:type="dxa"/>
        </w:tblCellMar>
      </w:tblPr>
      <w:tblGrid>
        <w:gridCol w:w="1402"/>
        <w:gridCol w:w="1005"/>
        <w:gridCol w:w="1008"/>
        <w:gridCol w:w="216"/>
        <w:gridCol w:w="739"/>
        <w:gridCol w:w="111"/>
        <w:gridCol w:w="109"/>
        <w:gridCol w:w="109"/>
        <w:gridCol w:w="109"/>
        <w:gridCol w:w="211"/>
        <w:gridCol w:w="826"/>
        <w:gridCol w:w="109"/>
        <w:gridCol w:w="109"/>
        <w:gridCol w:w="109"/>
        <w:gridCol w:w="109"/>
        <w:gridCol w:w="211"/>
        <w:gridCol w:w="721"/>
        <w:gridCol w:w="109"/>
        <w:gridCol w:w="109"/>
        <w:gridCol w:w="109"/>
        <w:gridCol w:w="109"/>
        <w:gridCol w:w="211"/>
        <w:gridCol w:w="765"/>
        <w:gridCol w:w="109"/>
        <w:gridCol w:w="109"/>
        <w:gridCol w:w="109"/>
        <w:gridCol w:w="109"/>
        <w:gridCol w:w="221"/>
        <w:gridCol w:w="757"/>
        <w:gridCol w:w="166"/>
      </w:tblGrid>
      <w:tr>
        <w:trPr/>
        <w:tc>
          <w:tcPr>
            <w:tcW w:w="1402"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Lamar Media</w:t>
              <w:br/>
              <w:t>Corp.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Guarantor</w:t>
              <w:b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w:t>
              <w:br/>
              <w:t>Guarantor</w:t>
              <w:b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Lamar Media</w:t>
              <w:br/>
              <w:t>Consolidated</w:t>
            </w:r>
          </w:p>
        </w:tc>
      </w:tr>
      <w:tr>
        <w:trPr/>
        <w:tc>
          <w:tcPr>
            <w:tcW w:w="3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0"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3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56,096 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89,381 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(42,285)</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disposition of assets and investments</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subsidiaries</w:t>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intercompany notes receivable</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(17,895)</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received from revolving credit facility</w:t>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on revolving credit facility</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long-term debt</w:t>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financing leases</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3415"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3415"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3415"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on accounts receivable securitization program</w:t>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received from accounts receivable securitization program</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loan (payments) proceeds</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(to) from parent</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(133,406)</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(133,406)</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(to) parent</w:t>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23,447 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23,447 </w:t>
            </w:r>
          </w:p>
        </w:tc>
        <w:tc>
          <w:tcPr>
            <w:tcW w:w="16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(55,824)</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in cash and cash equivalents</w:t>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(19,097)</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39,729 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LAMAR MEDIA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Consolidating Statement of Cash Flows for the Three Months Ended March 31, 2022 </w:t>
      </w:r>
    </w:p>
    <w:tbl>
      <w:tblPr>
        <w:tblW w:w="10205" w:type="dxa"/>
        <w:jc w:val="left"/>
        <w:tblInd w:w="0" w:type="dxa"/>
        <w:tblCellMar>
          <w:top w:w="28" w:type="dxa"/>
          <w:left w:w="28" w:type="dxa"/>
          <w:bottom w:w="28" w:type="dxa"/>
          <w:right w:w="28" w:type="dxa"/>
        </w:tblCellMar>
      </w:tblPr>
      <w:tblGrid>
        <w:gridCol w:w="1387"/>
        <w:gridCol w:w="1024"/>
        <w:gridCol w:w="1027"/>
        <w:gridCol w:w="211"/>
        <w:gridCol w:w="826"/>
        <w:gridCol w:w="109"/>
        <w:gridCol w:w="109"/>
        <w:gridCol w:w="109"/>
        <w:gridCol w:w="109"/>
        <w:gridCol w:w="211"/>
        <w:gridCol w:w="721"/>
        <w:gridCol w:w="109"/>
        <w:gridCol w:w="109"/>
        <w:gridCol w:w="109"/>
        <w:gridCol w:w="109"/>
        <w:gridCol w:w="211"/>
        <w:gridCol w:w="668"/>
        <w:gridCol w:w="109"/>
        <w:gridCol w:w="109"/>
        <w:gridCol w:w="109"/>
        <w:gridCol w:w="109"/>
        <w:gridCol w:w="211"/>
        <w:gridCol w:w="769"/>
        <w:gridCol w:w="109"/>
        <w:gridCol w:w="109"/>
        <w:gridCol w:w="109"/>
        <w:gridCol w:w="109"/>
        <w:gridCol w:w="211"/>
        <w:gridCol w:w="826"/>
        <w:gridCol w:w="158"/>
      </w:tblGrid>
      <w:tr>
        <w:trPr/>
        <w:tc>
          <w:tcPr>
            <w:tcW w:w="1387"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Lamar Media</w:t>
              <w:br/>
              <w:t>Corp.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Guarantor</w:t>
              <w:b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w:t>
              <w:br/>
              <w:t>Guarantor</w:t>
              <w:b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Lamar Media</w:t>
              <w:br/>
              <w:t>Consolidated</w:t>
            </w:r>
          </w:p>
        </w:tc>
      </w:tr>
      <w:tr>
        <w:trPr/>
        <w:tc>
          <w:tcPr>
            <w:tcW w:w="3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7"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3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70,396 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(55,293)</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(28,759)</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disposition of assets and investments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subsidiaries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intercompany notes receivable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(83,342)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received from revolving credit facility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165,000 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on revolving credit facility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long-term debt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financing leases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3438"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3438"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3438"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3438"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3438"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3438"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loan (payments) proceeds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(to) from parent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(122,047)</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(to) parent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36,447 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99,288 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115,378 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117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report contains forward-looking statements. Actual results could differ materially from those anticipated by the forward-looking statements due to risks and uncertainties described in the section of this combined report on Form 10-Q entitled “Note Regarding Forward-Looking Statements” and in Item 1A to the 2022 Combined Form 10-K filed on February 24, 2023, and as such risk factors as further updated or supplemented, from time to time, in our combined Quarterly Reports on Form 10-Q and Current Reports on Form 8-K. You should carefully consider each of these risks and uncertainties in evaluating the Company’s and Lamar Media’s financial conditions and results of operations. Investors are cautioned not to place undue reliance on the forward-looking statements contained in this document. These statements speak only as of the date of this document, and the Company undertakes no obligation to update or revise the statements, except as may be required by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LAMAR ADVERTISING COMPANY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discussion of the consolidated financial condition and results of operations of the Company for the three months ended March 31, 2023 and 2022. This discussion should be read in conjunction with the condensed consolidated financial statements of the Company and the related notes thereto.</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net revenues are derived primarily from the rental of advertising space on outdoor advertising displays owned and operated by the Company.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that the Company is able to charge for advertising on its displays and its ability to maximize advertising sales or occupancy on its displays.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Acquisitions and capital expenditures</w:t>
      </w:r>
    </w:p>
    <w:p>
      <w:pPr>
        <w:pStyle w:val="TextBody"/>
        <w:spacing w:lineRule="auto" w:line="288" w:before="120" w:after="283"/>
        <w:jc w:val="both"/>
        <w:rPr/>
      </w:pPr>
      <w:r>
        <w:rPr>
          <w:rFonts w:ascii="Times New Roman;sans-serif" w:hAnsi="Times New Roman;sans-serif"/>
          <w:b w:val="false"/>
          <w:color w:val="000000"/>
          <w:sz w:val="20"/>
        </w:rPr>
        <w:t xml:space="preserve">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its senior credit facility or the issuance of debt or equity securities. See “Liquidity and Capital Resources- </w:t>
      </w:r>
      <w:r>
        <w:rPr>
          <w:rFonts w:ascii="Times New Roman;sans-serif" w:hAnsi="Times New Roman;sans-serif"/>
          <w:b w:val="false"/>
          <w:i/>
          <w:color w:val="000000"/>
          <w:sz w:val="20"/>
        </w:rPr>
        <w:t>Sources of Cash</w:t>
      </w:r>
      <w:r>
        <w:rPr>
          <w:color w:val="000000"/>
        </w:rPr>
        <w:t xml:space="preserve">” </w:t>
      </w:r>
      <w:r>
        <w:rPr>
          <w:rFonts w:ascii="Times New Roman;sans-serif" w:hAnsi="Times New Roman;sans-serif"/>
          <w:b w:val="false"/>
          <w:color w:val="000000"/>
          <w:sz w:val="20"/>
        </w:rPr>
        <w:t xml:space="preserve">for more information. </w:t>
      </w:r>
    </w:p>
    <w:p>
      <w:pPr>
        <w:pStyle w:val="TextBody"/>
        <w:spacing w:lineRule="auto" w:line="288" w:before="120" w:after="283"/>
        <w:jc w:val="both"/>
        <w:rPr/>
      </w:pPr>
      <w:r>
        <w:rPr>
          <w:rFonts w:ascii="Times New Roman;sans-serif" w:hAnsi="Times New Roman;sans-serif"/>
          <w:b w:val="false"/>
          <w:color w:val="000000"/>
          <w:sz w:val="20"/>
        </w:rPr>
        <w:t xml:space="preserve">During the three months ended March 31, 2023, the Company completed multiple acquisitions for a total cash purchase price of approximately $13.6 million. See </w:t>
      </w:r>
      <w:r>
        <w:rPr>
          <w:rFonts w:ascii="Times New Roman;sans-serif" w:hAnsi="Times New Roman;sans-serif"/>
          <w:b w:val="false"/>
          <w:i/>
          <w:color w:val="000000"/>
          <w:sz w:val="20"/>
        </w:rPr>
        <w:t>Uses of Cash – Acquisitions</w:t>
      </w:r>
      <w:r>
        <w:rPr>
          <w:color w:val="000000"/>
        </w:rPr>
        <w:t xml:space="preserve"> </w:t>
      </w:r>
      <w:r>
        <w:rPr>
          <w:rFonts w:ascii="Times New Roman;sans-serif" w:hAnsi="Times New Roman;sans-serif"/>
          <w:b w:val="false"/>
          <w:color w:val="000000"/>
          <w:sz w:val="20"/>
        </w:rPr>
        <w:t>for more information. 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three months ended March 31, 2023 and 2022:</w:t>
      </w:r>
    </w:p>
    <w:tbl>
      <w:tblPr>
        <w:tblW w:w="5546" w:type="dxa"/>
        <w:jc w:val="left"/>
        <w:tblInd w:w="0" w:type="dxa"/>
        <w:tblCellMar>
          <w:top w:w="28" w:type="dxa"/>
          <w:left w:w="28" w:type="dxa"/>
          <w:bottom w:w="28" w:type="dxa"/>
          <w:right w:w="28" w:type="dxa"/>
        </w:tblCellMar>
      </w:tblPr>
      <w:tblGrid>
        <w:gridCol w:w="836"/>
        <w:gridCol w:w="736"/>
        <w:gridCol w:w="738"/>
        <w:gridCol w:w="109"/>
        <w:gridCol w:w="109"/>
        <w:gridCol w:w="139"/>
        <w:gridCol w:w="139"/>
        <w:gridCol w:w="269"/>
        <w:gridCol w:w="919"/>
        <w:gridCol w:w="139"/>
        <w:gridCol w:w="109"/>
        <w:gridCol w:w="109"/>
        <w:gridCol w:w="109"/>
        <w:gridCol w:w="211"/>
        <w:gridCol w:w="721"/>
        <w:gridCol w:w="154"/>
      </w:tblGrid>
      <w:tr>
        <w:trPr/>
        <w:tc>
          <w:tcPr>
            <w:tcW w:w="83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1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Billboard — traditional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13,538 </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Billboard — digital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17,432 </w:t>
            </w:r>
          </w:p>
        </w:tc>
        <w:tc>
          <w:tcPr>
            <w:tcW w:w="13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13,336 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Logos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3,140 </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3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buildings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4,174 </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equipment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3,282 </w:t>
            </w:r>
          </w:p>
        </w:tc>
        <w:tc>
          <w:tcPr>
            <w:tcW w:w="13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42,285 </w:t>
            </w:r>
          </w:p>
        </w:tc>
        <w:tc>
          <w:tcPr>
            <w:tcW w:w="13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28,759 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60" w:after="283"/>
        <w:jc w:val="both"/>
        <w:rPr/>
      </w:pPr>
      <w:r>
        <w:rPr/>
      </w:r>
    </w:p>
    <w:p>
      <w:pPr>
        <w:pStyle w:val="TextBody"/>
        <w:spacing w:before="240" w:after="283"/>
        <w:jc w:val="both"/>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Umbrella Partnership Real Estate Investment Trust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announced, on July 1, 2022, the Company completed a tax reorganization to a specific type of REIT known as an Umbrella Partnership Real Estate Investment Trust ("UPREIT"). The UPREIT structure allows property owners of appreciated properties to contribute property to the operating partnership of the REIT, on a tax-deferred basis, in exchange for a partnership interest in the form of operating partnership units. This reorganization is not expected to have any material impact on the Company's combined financial statements or business operations.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as net income before income tax expense (benefit), interest expense (income), equity in earnings (loss) of investees, loss (gain) on extinguishment of debt and investments, stock-based compensation, depreciation and amortization, loss (gain) on disposition of assets and investments, transaction expenses and capitalized contract fulfillment costs, net.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FFO is defined as net income before gains or losses from the sale or disposal of real estate assets and investments and real estate related depreciation and amortization and including adjustments to eliminate unconsolidated affiliates and non-controlling interest.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define AFFO as FFO before (i) straight-line income and expense; (ii) capitalized contract fulfillment costs, net (iii) stock-based compensation expense; (iv) non-cash portion of tax expense (benefit); (v) non-real estate related depreciation and amortization; (vi) amortization of deferred financing costs; (vii) loss on extinguishment of debt; (viii) transaction expenses; (ix) non-recurring infrequent or unusual losses (gains); (x) less maintenance capital expenditures; and (xi) an adjustment for unconsolidated affiliates and non-controlling interest.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decision-making and for evaluating our core operating results; (2) adjusted EBITDA is widely used in the industry to measure operating performance as depreciation and amortization may vary significantly among companies depending upon accounting methods and useful lives, particularly where acquisitions and non-operating factors are involved; (3) acquisition-adjusted net revenue is a supplement to net revenue to enable investors to compare period-over-period results on a more consistent basis without the effects of acquisitions and divestitures, which reflects our core performance and organic growth (if any) during the period in which the assets were owned and managed by us; (4) adjusted EBITDA, FFO and AFFO each provide investors with a meaningful measure for evaluating our period-to-period operating performance by eliminating items that are not operational in nature; and (5) each provides investors with a measure for comparing our results of operations to those of other companies.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Three months ended March 31, 2023 compared to three months ended March 31, 2022</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revenues increased $19.9 million or 4.4% to $471.3 million for the three months ended March 31, 2023 from $451.4 million for the same period in 2022. This increase was primarily attributable to an increase in billboard net revenues of $15.4 million and an increase in transit net revenues of $3.9 million over the same period in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there was a $7.0 million increase in net revenues as compared to acquisition-adjusted net revenue for the three months ended March 31, 2022, which represents an increase of 1.5%. See "Reconciliations" below. The $7.0 million increase in revenue is primarily due to an increase of $3.4 million in billboard net revenues as well as an increase in transit net revenues of $3.1 million over the same period in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operating expenses, exclusive of depreciation and amortization and gain on disposition of assets, increased $19.2 million, or 7.3%, to $282.1 million for the three months ended March 31, 2023 from $262.9 million for the same period in 2022. The $19.2 million increase over the prior year is comprised of a $13.0 million increase in total direct, general and administrative and corporate expenses (excluding stock-based compensation and transaction expenses) primarily related to the operations of our outdoor advertising assets, and a $6.3 million increase in stock-based compensation.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increased $4.5 million to $73.1 million for the three months ended March 31, 2023 as compared to $68.6 million for the same period in 2022, primarily related to acquisitions and capital expenditures completed during 2022.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Company recognized a gain on disposition of assets of $2.7 million primarily resulting from transactions related to the sale of billboard locations and displays.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the above factors, operating income decreased by $1.7 million to $118.8 million for the three months ended March 31, 2023 as compared to $120.5 million for the same period in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$14.7 million for the three months ended March 31, 2023 to $41.4 million as compared to $26.8 million for the three months ended March 31, 2022 primarily due to the increase in interest rates on the Accounts Receivable Securitization Program and senior credit facility.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Equity in earnings of investee was $0.2 million and $0.7 million for the three months ended March 31, 2023 and 2022,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operating income, as well as the increase in interest expense, resulted in a $16.6 million decrease in net income before income taxes. The effective tax rate for the three months ended March 31, 2023 was 2.3%, which differs from the federal statutory rate primarily due to our qualification for taxation as a REIT and adjustments for foreign items.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above factors, the Company recognized net income for the three months ended March 31, 2023 of $76.2 million, as compared to net income of $92.2 million for the same period in 2022.</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Reconciliations: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acquisitions occurring after December 31, 2021 have contributed to our net revenue results for the periods presented, we provide 2022 acquisition-adjusted net revenue, which adjusts our 2022 net revenue for the three months ended March 31, 2022 by adding to or subtracting from it the net revenue generated by the acquired or divested assets prior to our acquisition or divestiture of these assets for the same time frame that those assets were owned in the three months ended March 31, 2023.</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Reconciliations of 2022 reported net revenue to 2022 acquisition-adjusted net revenue for the three months ended March 31, as well as a comparison of 2022 acquisition-adjusted net revenue to 2023 reported net revenue for the three months ended March 31, are provided below:</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Reconciliation and Comparison of Reported Net Revenue to Acquisition-Adjusted Net Revenue</w:t>
      </w:r>
    </w:p>
    <w:tbl>
      <w:tblPr>
        <w:tblW w:w="4734" w:type="dxa"/>
        <w:jc w:val="left"/>
        <w:tblInd w:w="0" w:type="dxa"/>
        <w:tblCellMar>
          <w:top w:w="28" w:type="dxa"/>
          <w:left w:w="28" w:type="dxa"/>
          <w:bottom w:w="28" w:type="dxa"/>
          <w:right w:w="28" w:type="dxa"/>
        </w:tblCellMar>
      </w:tblPr>
      <w:tblGrid>
        <w:gridCol w:w="749"/>
        <w:gridCol w:w="658"/>
        <w:gridCol w:w="663"/>
        <w:gridCol w:w="211"/>
        <w:gridCol w:w="826"/>
        <w:gridCol w:w="109"/>
        <w:gridCol w:w="109"/>
        <w:gridCol w:w="109"/>
        <w:gridCol w:w="109"/>
        <w:gridCol w:w="211"/>
        <w:gridCol w:w="826"/>
        <w:gridCol w:w="154"/>
      </w:tblGrid>
      <w:tr>
        <w:trPr/>
        <w:tc>
          <w:tcPr>
            <w:tcW w:w="749"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net 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net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Performance Indicators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Income/Adjusted EBITDA</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10205" w:type="dxa"/>
        <w:jc w:val="left"/>
        <w:tblInd w:w="0" w:type="dxa"/>
        <w:tblCellMar>
          <w:top w:w="28" w:type="dxa"/>
          <w:left w:w="28" w:type="dxa"/>
          <w:bottom w:w="28" w:type="dxa"/>
          <w:right w:w="28" w:type="dxa"/>
        </w:tblCellMar>
      </w:tblPr>
      <w:tblGrid>
        <w:gridCol w:w="1157"/>
        <w:gridCol w:w="906"/>
        <w:gridCol w:w="913"/>
        <w:gridCol w:w="211"/>
        <w:gridCol w:w="826"/>
        <w:gridCol w:w="109"/>
        <w:gridCol w:w="109"/>
        <w:gridCol w:w="109"/>
        <w:gridCol w:w="109"/>
        <w:gridCol w:w="211"/>
        <w:gridCol w:w="826"/>
        <w:gridCol w:w="109"/>
        <w:gridCol w:w="109"/>
        <w:gridCol w:w="109"/>
        <w:gridCol w:w="109"/>
        <w:gridCol w:w="389"/>
        <w:gridCol w:w="1458"/>
        <w:gridCol w:w="201"/>
        <w:gridCol w:w="109"/>
        <w:gridCol w:w="109"/>
        <w:gridCol w:w="109"/>
        <w:gridCol w:w="419"/>
        <w:gridCol w:w="379"/>
        <w:gridCol w:w="1110"/>
      </w:tblGrid>
      <w:tr>
        <w:trPr/>
        <w:tc>
          <w:tcPr>
            <w:tcW w:w="1157"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Increase (Decrease)</w:t>
            </w:r>
          </w:p>
        </w:tc>
      </w:tr>
      <w:tr>
        <w:trPr/>
        <w:tc>
          <w:tcPr>
            <w:tcW w:w="2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(15,953)</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08" w:type="dxa"/>
            <w:gridSpan w:val="3"/>
            <w:tcBorders/>
            <w:shd w:fill="auto" w:val="clear"/>
            <w:vAlign w:val="center"/>
          </w:tcPr>
          <w:p>
            <w:pPr>
              <w:pStyle w:val="TableContents"/>
              <w:spacing w:before="0" w:after="283"/>
              <w:rPr>
                <w:sz w:val="4"/>
                <w:szCs w:val="4"/>
              </w:rPr>
            </w:pPr>
            <w:r>
              <w:rPr>
                <w:sz w:val="4"/>
                <w:szCs w:val="4"/>
              </w:rPr>
            </w:r>
          </w:p>
        </w:tc>
      </w:tr>
      <w:tr>
        <w:trPr/>
        <w:tc>
          <w:tcPr>
            <w:tcW w:w="2976"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08" w:type="dxa"/>
            <w:gridSpan w:val="3"/>
            <w:tcBorders/>
            <w:shd w:fill="auto" w:val="clear"/>
            <w:vAlign w:val="center"/>
          </w:tcPr>
          <w:p>
            <w:pPr>
              <w:pStyle w:val="TableContents"/>
              <w:spacing w:before="0" w:after="283"/>
              <w:rPr>
                <w:sz w:val="4"/>
                <w:szCs w:val="4"/>
              </w:rPr>
            </w:pPr>
            <w:r>
              <w:rPr>
                <w:sz w:val="4"/>
                <w:szCs w:val="4"/>
              </w:rPr>
            </w:r>
          </w:p>
        </w:tc>
      </w:tr>
      <w:tr>
        <w:trPr/>
        <w:tc>
          <w:tcPr>
            <w:tcW w:w="2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14,412 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investee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 of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contract fulfillment costs,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for the three months ended March 31, 2023 increased 3.5% to $198.0 million. The increase in adjusted EBITDA was primarily attributable to an increase in our gross margin (net revenue less direct advertising expense, exclusive of depreciation and amortization and capitalized contract fulfillment costs, net) of $9.0 million, offset by an increase in total general and administrative and corporate expenses of $2.3 million, excluding the impact of stock-based compensation expense and transaction expenses.</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Net Income/FFO/AFFO</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10205" w:type="dxa"/>
        <w:jc w:val="left"/>
        <w:tblInd w:w="0" w:type="dxa"/>
        <w:tblCellMar>
          <w:top w:w="28" w:type="dxa"/>
          <w:left w:w="28" w:type="dxa"/>
          <w:bottom w:w="28" w:type="dxa"/>
          <w:right w:w="28" w:type="dxa"/>
        </w:tblCellMar>
      </w:tblPr>
      <w:tblGrid>
        <w:gridCol w:w="1385"/>
        <w:gridCol w:w="1110"/>
        <w:gridCol w:w="1128"/>
        <w:gridCol w:w="211"/>
        <w:gridCol w:w="826"/>
        <w:gridCol w:w="109"/>
        <w:gridCol w:w="109"/>
        <w:gridCol w:w="109"/>
        <w:gridCol w:w="109"/>
        <w:gridCol w:w="211"/>
        <w:gridCol w:w="826"/>
        <w:gridCol w:w="109"/>
        <w:gridCol w:w="109"/>
        <w:gridCol w:w="109"/>
        <w:gridCol w:w="109"/>
        <w:gridCol w:w="327"/>
        <w:gridCol w:w="1207"/>
        <w:gridCol w:w="169"/>
        <w:gridCol w:w="109"/>
        <w:gridCol w:w="109"/>
        <w:gridCol w:w="109"/>
        <w:gridCol w:w="395"/>
        <w:gridCol w:w="307"/>
        <w:gridCol w:w="904"/>
      </w:tblGrid>
      <w:tr>
        <w:trPr/>
        <w:tc>
          <w:tcPr>
            <w:tcW w:w="1385"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r>
      <w:tr>
        <w:trPr/>
        <w:tc>
          <w:tcPr>
            <w:tcW w:w="3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Increase (Decrease)</w:t>
            </w:r>
          </w:p>
        </w:tc>
      </w:tr>
      <w:tr>
        <w:trPr/>
        <w:tc>
          <w:tcPr>
            <w:tcW w:w="3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(15,953)</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related to real estate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sale or disposal of real estate, net of tax</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unconsolidated affiliates and non-controlling interest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FFO</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(12,835)</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9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contract fulfillment costs,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portion of tax provision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Non-real estate related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6" w:type="dxa"/>
            <w:gridSpan w:val="3"/>
            <w:tcBorders/>
            <w:shd w:fill="auto" w:val="clear"/>
            <w:vAlign w:val="center"/>
          </w:tcPr>
          <w:p>
            <w:pPr>
              <w:pStyle w:val="TableContents"/>
              <w:spacing w:before="0" w:after="283"/>
              <w:rPr>
                <w:sz w:val="4"/>
                <w:szCs w:val="4"/>
              </w:rPr>
            </w:pPr>
            <w:r>
              <w:rPr>
                <w:sz w:val="4"/>
                <w:szCs w:val="4"/>
              </w:rPr>
            </w:r>
          </w:p>
        </w:tc>
      </w:tr>
      <w:tr>
        <w:trPr/>
        <w:tc>
          <w:tcPr>
            <w:tcW w:w="3623"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6" w:type="dxa"/>
            <w:gridSpan w:val="3"/>
            <w:tcBorders/>
            <w:shd w:fill="auto" w:val="clear"/>
            <w:vAlign w:val="center"/>
          </w:tcPr>
          <w:p>
            <w:pPr>
              <w:pStyle w:val="TableContents"/>
              <w:spacing w:before="0" w:after="283"/>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maintenance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unconsolidated affiliates and non-controlling interest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AFFO</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(7,837)</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9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FFO for the three months ended March 31, 2023 decreased from $156.3 million in 2022 to $143.5 million for the same period in 2023, a decrease of 8.2%. AFFO for the three months ended March 31, 2023 decreased 5.2% to $144.1 million as compared to $151.9 million for the same period in 2022. The decrease in AFFO was primarily attributable to an increase in our interest expense of $14.7 million and an increase in total general and administrative and corporate expenses (excluding the effect of stock-based compensation expense and transaction expenses) offset by an increase in our gross margin (net revenue less direct advertising expense, exclusive of depreciation and amortization and capitalized contract fulfillment costs, net).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historically satisfied its working capital requirements with cash from operations and borrowings under the senior credit facility. The Company’s wholly owned subsidiary, Lamar Media Corp., is the borrower under the senior credit facility and maintains all corporate operating cash balances. Any cash requirements of the Company, therefore, must be funded by distributions from Lamar Media.</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Sources of Cash</w:t>
      </w:r>
    </w:p>
    <w:p>
      <w:pPr>
        <w:pStyle w:val="TextBody"/>
        <w:spacing w:lineRule="auto" w:line="288" w:before="120" w:after="283"/>
        <w:jc w:val="both"/>
        <w:rPr/>
      </w:pPr>
      <w:r>
        <w:rPr>
          <w:rFonts w:ascii="Times New Roman;sans-serif" w:hAnsi="Times New Roman;sans-serif"/>
          <w:b w:val="false"/>
          <w:i/>
          <w:color w:val="000000"/>
          <w:sz w:val="20"/>
        </w:rPr>
        <w:t>Total Liquidity. </w:t>
      </w:r>
      <w:r>
        <w:rPr>
          <w:rFonts w:ascii="Times New Roman;sans-serif" w:hAnsi="Times New Roman;sans-serif"/>
          <w:b w:val="false"/>
          <w:color w:val="000000"/>
          <w:sz w:val="20"/>
        </w:rPr>
        <w:t>As of March 31, 2023 we had $663.0 million of total liquidity, which is comprised of $33.5 million in cash and cash equivalents, $625.9 million of availability under the revolving portion of Lamar Media’s senior credit facility and $3.6 million of availability under the Accounts Receivable Securitization Program. We expect our total liquidity to be adequate for the Company to meet its operational requirements for the next twelve months. We are currently in compliance with the maintenance covenant included in the senior credit facility and we would remain in compliance after giving effect to borrowing the full amount available to us under the revolving portion of the senior credit facility.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had a working capital deficit of $321.5 million and $361.5 million, respectively. The decrease in working capital deficit of $39.9 million is primarily due to increases in other current assets and decreases in payroll related accrued expenses, offset by decreases in receivables as of March 31, 2023.</w:t>
      </w:r>
    </w:p>
    <w:p>
      <w:pPr>
        <w:pStyle w:val="TextBody"/>
        <w:spacing w:lineRule="auto" w:line="288" w:before="240" w:after="283"/>
        <w:jc w:val="both"/>
        <w:rPr/>
      </w:pPr>
      <w:r>
        <w:rPr>
          <w:rFonts w:ascii="Times New Roman;sans-serif" w:hAnsi="Times New Roman;sans-serif"/>
          <w:b w:val="false"/>
          <w:i/>
          <w:color w:val="000000"/>
          <w:sz w:val="20"/>
        </w:rPr>
        <w:t>Cash Generated by Operations</w:t>
      </w:r>
      <w:r>
        <w:rPr>
          <w:rFonts w:ascii="Times New Roman;sans-serif" w:hAnsi="Times New Roman;sans-serif"/>
          <w:b w:val="false"/>
          <w:color w:val="000000"/>
          <w:sz w:val="20"/>
        </w:rPr>
        <w:t xml:space="preserve">. For the three months ended March 31, 2023 and 2022, our cash provided by operating activities was $108.7 million and $102.0 million, respectively. The increase in cash provided by operating activities for the three months ended March 31, 2023 over the same period in 2022 primarily relates to an increase in revenues of $19.9 million offset by an increase in operating expenses (excluding stock-based compensation, gain on disposition of assets, and depreciation and amortization) of $13.0 million. We expect to generate cash flows from operations during 2023 in excess of our cash needs for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operations, capital expenditures and dividends, as described herein. We believe we have sufficient liquidity available under our revolving credit facility to meet our operating cash needs for the next twelve months.</w:t>
      </w:r>
    </w:p>
    <w:p>
      <w:pPr>
        <w:pStyle w:val="TextBody"/>
        <w:spacing w:lineRule="auto" w:line="288" w:before="240" w:after="283"/>
        <w:jc w:val="both"/>
        <w:rPr/>
      </w:pPr>
      <w:r>
        <w:rPr>
          <w:rFonts w:ascii="Times New Roman;sans-serif" w:hAnsi="Times New Roman;sans-serif"/>
          <w:b w:val="false"/>
          <w:i/>
          <w:color w:val="000000"/>
          <w:sz w:val="20"/>
        </w:rPr>
        <w:t>Accounts Receivable Securitization Program.  </w:t>
      </w:r>
      <w:r>
        <w:rPr>
          <w:rFonts w:ascii="Times New Roman;sans-serif" w:hAnsi="Times New Roman;sans-serif"/>
          <w:b w:val="false"/>
          <w:color w:val="000000"/>
          <w:sz w:val="20"/>
        </w:rPr>
        <w:t xml:space="preserve">On June 24, 2022, Lamar Media and the Special Purpose Subsidiaries entered into the Sixth Amendment (the "Sixth Amendment") to the Receivables Financing Agreement. The Sixth Amendment increased the Accounts Receivable Securitization Program from $175.0 million to $250.0 million and extended the maturity date of the Accounts Receivable Securitization Program to July 21, 2025. Additionally, the Sixth Amendment provides for the replacement of LIBOR-based interest rate mechanics with Term Secured Overnight Financing Rate ("Term SOFR") based interest rate mechanics for the Accounts Receivable Securitization Program.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taxable REIT subsidiaries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guaranty its performance in its capacity as servicer and originator, as well as the performance of the Subsidiary Originators, of their obligations under the agreements governing the Account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there was $234.8 million in outstanding aggregate borrowings under the Accounts Receivable Securitization Program. Based on the availability of eligible accounts, Lamar Media had $3.6 million of unused availability under the Accounts Receivable Securitization Program as of March 31, 2023. The Accounts Receivable Securitization Program will mature on July 21, 2025. </w:t>
      </w:r>
    </w:p>
    <w:p>
      <w:pPr>
        <w:pStyle w:val="TextBody"/>
        <w:spacing w:lineRule="auto" w:line="288" w:before="240" w:after="283"/>
        <w:jc w:val="both"/>
        <w:rPr/>
      </w:pPr>
      <w:r>
        <w:rPr>
          <w:color w:val="000000"/>
        </w:rPr>
        <w:t>“</w:t>
      </w:r>
      <w:r>
        <w:rPr>
          <w:rFonts w:ascii="Times New Roman;sans-serif" w:hAnsi="Times New Roman;sans-serif"/>
          <w:b w:val="false"/>
          <w:i/>
          <w:color w:val="000000"/>
          <w:sz w:val="20"/>
        </w:rPr>
        <w:t xml:space="preserve">At-the-Market” Offering Program. </w:t>
      </w:r>
      <w:r>
        <w:rPr>
          <w:rFonts w:ascii="Times New Roman;sans-serif" w:hAnsi="Times New Roman;sans-serif"/>
          <w:b w:val="false"/>
          <w:color w:val="000000"/>
          <w:sz w:val="20"/>
        </w:rPr>
        <w:t>On May 1, 2018, the Company entered into an equity distribution agreement (the “Sales Agreement”) with J.P. Morgan Securities LLC, Wells Fargo Securities LLC and SunTrust Robinson Humphrey, Inc. as our sales agents. Under the terms of the Sales Agreement, the Company could have, from time to time, issued and sold shares of its Class A common stock, having an aggregate offering price of up to $400.0 million through the sales agents as either agents or principals. The Sales Agreement expired by its terms on May 1, 2021. The Company did not issue any shares under this program in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21, 2021, the Company entered into a new equity distribution agreement (the "2021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 million through the Sales Agents as either agents or principals. 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2021 Sales Agreement and may at any time suspend solicitations and offers under the 2021 Sales Agreement. The Company intends to use the net proceeds, if any, from the sale of the Class A common stock pursuant to the 2021 Sales Agreement for general corporate purposes, which may include the repayment, refinancing, redemption or repurchase of existing indebtedness, working capital, capital expenditures, acquisition of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outdoor advertising assets and businesses and other related investments. The Company did not issue any shares under this program from its inception through March 31, 2023. </w:t>
      </w:r>
    </w:p>
    <w:p>
      <w:pPr>
        <w:pStyle w:val="TextBody"/>
        <w:spacing w:lineRule="auto" w:line="288" w:before="240" w:after="283"/>
        <w:jc w:val="both"/>
        <w:rPr/>
      </w:pPr>
      <w:r>
        <w:rPr>
          <w:rFonts w:ascii="Times New Roman;sans-serif" w:hAnsi="Times New Roman;sans-serif"/>
          <w:b w:val="false"/>
          <w:i/>
          <w:color w:val="000000"/>
          <w:sz w:val="20"/>
        </w:rPr>
        <w:t>Shelf Registration Statement</w:t>
      </w:r>
      <w:r>
        <w:rPr>
          <w:rFonts w:ascii="Times New Roman;sans-serif" w:hAnsi="Times New Roman;sans-serif"/>
          <w:b/>
          <w:color w:val="222222"/>
          <w:sz w:val="20"/>
        </w:rPr>
        <w:t>.</w:t>
      </w:r>
      <w:r>
        <w:rPr>
          <w:color w:val="000000"/>
        </w:rPr>
        <w:t xml:space="preserve"> </w:t>
      </w:r>
      <w:r>
        <w:rPr>
          <w:rFonts w:ascii="Times New Roman;sans-serif" w:hAnsi="Times New Roman;sans-serif"/>
          <w:b w:val="false"/>
          <w:color w:val="000000"/>
          <w:sz w:val="20"/>
        </w:rPr>
        <w:t>On June 21, 2021, the Company filed a new automatically effective shelf registration statement that allows Lamar Advertising to offer and sell an indeterminate amount of additional shares of its Class A common stock. During the three months ended March 31, 2023 and the year ended December 31, 2022, the Company did not issue any shares under either shelf registration.</w:t>
      </w:r>
      <w:r>
        <w:rPr>
          <w:color w:val="222222"/>
        </w:rPr>
        <w:t> </w:t>
      </w:r>
    </w:p>
    <w:p>
      <w:pPr>
        <w:pStyle w:val="TextBody"/>
        <w:spacing w:lineRule="auto" w:line="288" w:before="240" w:after="283"/>
        <w:jc w:val="both"/>
        <w:rPr/>
      </w:pPr>
      <w:r>
        <w:rPr>
          <w:rFonts w:ascii="Times New Roman;sans-serif" w:hAnsi="Times New Roman;sans-serif"/>
          <w:b w:val="false"/>
          <w:i/>
          <w:color w:val="000000"/>
          <w:sz w:val="20"/>
        </w:rPr>
        <w:t>Credit Facilities</w:t>
      </w:r>
      <w:r>
        <w:rPr>
          <w:rFonts w:ascii="Times New Roman;sans-serif" w:hAnsi="Times New Roman;sans-serif"/>
          <w:b w:val="false"/>
          <w:color w:val="000000"/>
          <w:sz w:val="20"/>
        </w:rPr>
        <w:t>. 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Fourth Amended and Restated Credit Agreement</w:t>
      </w:r>
      <w:r>
        <w:rPr>
          <w:color w:val="000000"/>
        </w:rPr>
        <w:t xml:space="preserve"> </w:t>
      </w:r>
      <w:r>
        <w:rPr>
          <w:rFonts w:ascii="Times New Roman;sans-serif" w:hAnsi="Times New Roman;sans-serif"/>
          <w:b w:val="false"/>
          <w:color w:val="000000"/>
          <w:sz w:val="20"/>
        </w:rPr>
        <w:t xml:space="preserve">amended and restated the Third Amended and Restated Credit Agreement dated as of May 15, 2017, as amended (the “Third Amended and Restated Credit Agreement”).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 2021, Lamar Media entered into Amendment No. 1 (the "Amendment"), to the Fourth Amended and Restated Credit Agreement. The Amendment amends the definition of "Subsidiary" to exclude each of Lamar Partnering Sponsor LLC and Lamar Partnering Corporation and any of their subsidiaries (collectively, the “Lamar Partnering Entities”) such that, after the giving effect to the Amendment, none of the Lamar Partnering Entities are subject to the Fourth Amended and Restated Credit Agreement covenants and reporting requirements, but any investment by Lamar Media in any of the Lamar Partnering Entities would be subject to the Fourth Amended and Restated Credit Agreement covenants. The Amendment also amends the definition of “EBITDA” to replace the existing calculation with a net income-based calculation, which excludes the income of non-Subsidiary entities such as the Lamar Partnering Entities, except to the extent that income of such entities is received by Lamar Media in the form of dividends or distributions.</w:t>
      </w:r>
    </w:p>
    <w:p>
      <w:pPr>
        <w:pStyle w:val="TextBody"/>
        <w:spacing w:lineRule="auto" w:line="288" w:before="240" w:after="283"/>
        <w:jc w:val="both"/>
        <w:rPr/>
      </w:pPr>
      <w:r>
        <w:rPr>
          <w:rFonts w:ascii="Times New Roman;sans-serif" w:hAnsi="Times New Roman;sans-serif"/>
          <w:b w:val="false"/>
          <w:color w:val="000000"/>
          <w:sz w:val="20"/>
        </w:rPr>
        <w:t xml:space="preserve">The senior credit facility, as established by the Fourth Amended and Restated Credit Agreement (the “senior credit facility”), consists of (i) a $750.0 million senior secured revolving credit facility which will mature on February 6, 2025 (the “revolving credit facility”), (ii) a $600.0 million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calculated as described under </w:t>
      </w:r>
      <w:r>
        <w:rPr>
          <w:color w:val="000000"/>
        </w:rPr>
        <w:t>“</w:t>
      </w:r>
      <w:r>
        <w:rPr>
          <w:rFonts w:ascii="Times New Roman;sans-serif" w:hAnsi="Times New Roman;sans-serif"/>
          <w:b w:val="false"/>
          <w:i/>
          <w:color w:val="000000"/>
          <w:sz w:val="20"/>
        </w:rPr>
        <w:t>Restrictions under Senior Credit Facility”</w:t>
      </w:r>
      <w:r>
        <w:rPr>
          <w:color w:val="000000"/>
        </w:rPr>
        <w:t xml:space="preserve"> </w:t>
      </w:r>
      <w:r>
        <w:rPr>
          <w:rFonts w:ascii="Times New Roman;sans-serif" w:hAnsi="Times New Roman;sans-serif"/>
          <w:b w:val="false"/>
          <w:color w:val="000000"/>
          <w:sz w:val="20"/>
        </w:rPr>
        <w:t>of 4.50 to 1.00, as well as certain other conditions including lender approval. Lamar Media borrowed all $600.0 million in Term B loans on February 6, 2020. The entire amount of the Term B loans will be payable at maturity.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 B loans bear interest at rates based on the Adjusted LIBO Rate (“Eurodollar term loans”) or the Adjusted Base Rate (“Base Rate term loans”), at Lamar Media’s option. Eurodollar term loans bear interest at a rate per annum equal to the Adjusted LIBO Rate plus 1.50%. Base Rate term loans bear interest at a rate per annum equal to the Adjusted Base Rate plus 0.50%. 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establishes a new $350.0 million Senior Secured Term Loan A loan (the “Term A loans”) as a new class of incremental term loans. The Term A loans will mature on February 6, 2025 and bear interest at Term SOFR plus 1.25% and a credit spread adjustment of 0.10%. The covenants, events of default and other terms of the senior credit facility apply to the Term A loans. Lamar Media borrowed all $350.0 million in Term A loans on July 29, 2022. Proceeds from the Term A loans were used to repay outstanding balances on the revolving credit facility and a portion of the outstanding balance on our Accounts Receivable Securitization Program.</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26, 2023, Lamar Media entered into Amendment No. 3 ("Amendment No. 3") to the Fourth Amended and Restated Credit Agreement with certain of Lamar Media's subsidiaries as guarantors, JPMorgan Chase Bank N.A. as administrative agent and the lenders party thereto. Amendment No. 3 replaces the London Interbank Offered Rates as administered by the ICE Benchmark Administration with Term SOFR (as defined in the Fourth Amended and Restated Credit Agreement) as the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successor rate, as set in the Fourth Amended and Restated Credit Agreement. All other material terms and conditions of the Fourth Amended and Restated Credit Agreement remain unchanged by Amendment No. 3.</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aggregate balance outstanding under the senior credit facility was $1.07 billion, consisting of $600.0 million in Term B loans aggregate principal balance, $350.0 million in Term A loans aggregate principal balance and $115.0 million outstanding borrowings under our revolving credit facility. Lamar Media had approximately $625.9 million of unused capacity under the revolving credit facility.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Factors Affecting Sources of Liquidity</w:t>
      </w:r>
    </w:p>
    <w:p>
      <w:pPr>
        <w:pStyle w:val="TextBody"/>
        <w:spacing w:lineRule="auto" w:line="288" w:before="120" w:after="283"/>
        <w:jc w:val="both"/>
        <w:rPr/>
      </w:pPr>
      <w:r>
        <w:rPr>
          <w:rFonts w:ascii="Times New Roman;sans-serif" w:hAnsi="Times New Roman;sans-serif"/>
          <w:b w:val="false"/>
          <w:i/>
          <w:color w:val="000000"/>
          <w:sz w:val="20"/>
        </w:rPr>
        <w:t xml:space="preserve">Internally Generated Funds. </w:t>
      </w:r>
      <w:r>
        <w:rPr>
          <w:rFonts w:ascii="Times New Roman;sans-serif" w:hAnsi="Times New Roman;sans-serif"/>
          <w:b w:val="false"/>
          <w:color w:val="000000"/>
          <w:sz w:val="20"/>
        </w:rPr>
        <w:t>The key factors affecting internally generated cash flow are general economic conditions, specific economic conditions in the markets where the Company conducts its business and overall spending on advertising by advertisers. We expect to generate cash flows from operations during 2023 in excess of our cash needs for operations, capital expenditures and dividends, as described herein, and we believe we have sufficient liquidity with cash on hand and availability under our revolving credit facility to meet our operating cash needs for the next twelve months.</w:t>
      </w:r>
    </w:p>
    <w:p>
      <w:pPr>
        <w:pStyle w:val="TextBody"/>
        <w:spacing w:lineRule="auto" w:line="288" w:before="240" w:after="283"/>
        <w:jc w:val="both"/>
        <w:rPr/>
      </w:pPr>
      <w:r>
        <w:rPr>
          <w:rFonts w:ascii="Times New Roman;sans-serif" w:hAnsi="Times New Roman;sans-serif"/>
          <w:b w:val="false"/>
          <w:i/>
          <w:color w:val="000000"/>
          <w:sz w:val="20"/>
        </w:rPr>
        <w:t xml:space="preserve">Credit Facilities and Other Debt Securities. </w:t>
      </w:r>
      <w:r>
        <w:rPr>
          <w:rFonts w:ascii="Times New Roman;sans-serif" w:hAnsi="Times New Roman;sans-serif"/>
          <w:b w:val="false"/>
          <w:color w:val="000000"/>
          <w:sz w:val="20"/>
        </w:rPr>
        <w:t>The Company and Lamar Media</w:t>
      </w:r>
      <w:r>
        <w:rPr>
          <w:color w:val="000000"/>
        </w:rPr>
        <w:t xml:space="preserve"> </w:t>
      </w:r>
      <w:r>
        <w:rPr>
          <w:rFonts w:ascii="Times New Roman;sans-serif" w:hAnsi="Times New Roman;sans-serif"/>
          <w:b w:val="false"/>
          <w:color w:val="000000"/>
          <w:sz w:val="20"/>
        </w:rPr>
        <w:t>must comply with certain covenants and restrictions related to the senior credit facility, its outstanding debt securities and its Accounts Receivable Securitization Program.</w:t>
      </w:r>
    </w:p>
    <w:p>
      <w:pPr>
        <w:pStyle w:val="TextBody"/>
        <w:spacing w:lineRule="auto" w:line="288" w:before="240" w:after="283"/>
        <w:jc w:val="both"/>
        <w:rPr/>
      </w:pPr>
      <w:r>
        <w:rPr>
          <w:rFonts w:ascii="Times New Roman;sans-serif" w:hAnsi="Times New Roman;sans-serif"/>
          <w:b w:val="false"/>
          <w:i/>
          <w:color w:val="000000"/>
          <w:sz w:val="20"/>
        </w:rPr>
        <w:t xml:space="preserve">Restrictions Under Debt Securities. </w:t>
      </w:r>
      <w:r>
        <w:rPr>
          <w:rFonts w:ascii="Times New Roman;sans-serif" w:hAnsi="Times New Roman;sans-serif"/>
          <w:b w:val="false"/>
          <w:color w:val="000000"/>
          <w:sz w:val="20"/>
        </w:rPr>
        <w:t>The Company and Lamar Media must comply with certain covenants and restrictions related to its outstanding debt securities. Currently, Lamar Media has outstanding the $600.0 million 3 3/4% Senior Notes issued February 2020, the $550.0 million 4% Senior Notes issued February 2020 and August 2020, the $400.0 million 4 7/8% Senior Notes issued in May 2020 and the $550.0 million 3 5/8% Senior Notes issued in January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debt incurred under the provisions described in the preceding paragraph, the indentures relating to Lamar Media’s outstanding notes permit Lamar Media to incur indebtedness pursuant to the following baskets:</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up to $2.0 billion of indebtedness under the senior credit facility;</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indebtedness outstanding on the date of the indentures or debt incurred to refinance outstanding debt;</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inter-company debt between Lamar Media and its restricted subsidiaries or between restricted subsidiaries;</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certain purchase money indebtedness and capitalized lease obligations to acquire or lease property in the ordinary course of business that cannot exceed the greater of $50.0 million or 5% of Lamar Media’s net tangible assets;</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additional debt not to exceed $75.0 million; and</w:t>
      </w:r>
    </w:p>
    <w:p>
      <w:pPr>
        <w:pStyle w:val="TextBody"/>
        <w:spacing w:lineRule="auto" w:line="288" w:before="120" w:after="283"/>
        <w:ind w:left="0" w:right="0" w:hanging="720"/>
        <w:jc w:val="both"/>
        <w:rPr/>
      </w:pPr>
      <w:r>
        <w:rPr>
          <w:color w:val="000000"/>
        </w:rPr>
        <w:t>•</w:t>
      </w:r>
      <w:r>
        <w:rPr>
          <w:rFonts w:ascii="Times New Roman;sans-serif" w:hAnsi="Times New Roman;sans-serif"/>
          <w:b w:val="false"/>
          <w:color w:val="000000"/>
          <w:sz w:val="20"/>
        </w:rPr>
        <w:t>up to $500.0 million of permitted securitization financings.</w:t>
      </w:r>
    </w:p>
    <w:p>
      <w:pPr>
        <w:pStyle w:val="TextBody"/>
        <w:spacing w:lineRule="auto" w:line="288" w:before="240" w:after="283"/>
        <w:jc w:val="both"/>
        <w:rPr/>
      </w:pPr>
      <w:r>
        <w:rPr>
          <w:rFonts w:ascii="Times New Roman;sans-serif" w:hAnsi="Times New Roman;sans-serif"/>
          <w:b w:val="false"/>
          <w:i/>
          <w:color w:val="000000"/>
          <w:sz w:val="20"/>
        </w:rPr>
        <w:t xml:space="preserve">Restrictions Under Senior Credit Facility. </w:t>
      </w:r>
      <w:r>
        <w:rPr>
          <w:rFonts w:ascii="Times New Roman;sans-serif" w:hAnsi="Times New Roman;sans-serif"/>
          <w:b w:val="false"/>
          <w:color w:val="000000"/>
          <w:sz w:val="20"/>
        </w:rPr>
        <w:t>Lamar Media is required to comply with certain covenants and restrictions under the senior credit facility. If the Company or Lamar Media fails to comply with these tests, the lenders under the senior credit facility will be entitled to exercise certain remedies, including the termination of the lending commitments and the acceleration of the debt payments under the senior credit facility. At March 31, 2023 we were, and currently, we are, in compliance with all such tests under the senior credit facility.</w:t>
      </w:r>
    </w:p>
    <w:p>
      <w:pPr>
        <w:pStyle w:val="TextBody"/>
        <w:spacing w:lineRule="auto" w:line="288" w:before="240" w:after="283"/>
        <w:jc w:val="both"/>
        <w:rPr/>
      </w:pPr>
      <w:r>
        <w:rPr>
          <w:rFonts w:ascii="Times New Roman;sans-serif" w:hAnsi="Times New Roman;sans-serif"/>
          <w:b w:val="false"/>
          <w:color w:val="000000"/>
          <w:sz w:val="20"/>
        </w:rPr>
        <w:t xml:space="preserve">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w:t>
      </w:r>
      <w:r>
        <w:rPr>
          <w:rFonts w:ascii="Times New Roman;sans-serif" w:hAnsi="Times New Roman;sans-serif"/>
          <w:b w:val="false"/>
          <w:i/>
          <w:color w:val="000000"/>
          <w:sz w:val="20"/>
        </w:rPr>
        <w:t>Sources of Cash – Accounts Receivable Securitization Program</w:t>
      </w:r>
      <w:r>
        <w:rPr>
          <w:rFonts w:ascii="Times New Roman;sans-serif" w:hAnsi="Times New Roman;sans-serif"/>
          <w:b w:val="false"/>
          <w:color w:val="000000"/>
          <w:sz w:val="20"/>
        </w:rPr>
        <w:t>)) to EBITDA, as defined below, for the period of four consecutive fiscal quarters then ended, of less than or equal to 4.5 to 1.0.</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Lamar Media is restricted from incurring additional indebtedness subject to exceptions, one of which is that it may incur additional indebtedness not exceeding the greater of $250.0 million or 6% of its total assets.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Lamar Media is also restricted from incurring additional unsecured senior indebtedness under certain circumstances unless, after giving effect to the incurrence of such indebtedness, Lamar Media would have a total debt ratio, defined as (a)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(b) EBITDA, as defined below, for the most recent four fiscal quarters then ended, is less than 7.0 to 1.0.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senior credit facility, as amended, “EBITDA” means, for any period, net income, plus (a) to the extent deducted in determining net income for such period, the sum determined without duplication and in accordance with GAAP, of (i) taxes, (ii) interest expense, (iii) depreciation, (iv) amortization, (v) 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plus (b)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provided, (a) the aggregate amount for all such cost savings, operating expense reductions and other operating improvements or synergies will not exceed an amount equal to 15% of EBITDA for the applicable four quarter period and (b) any such adjustment to EBITDA pursuant to this clause (b)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minus (c) to the extent included in net income for such period (determined without duplication and in accordance with GAAP) (i) any extraordinary and unusual gains or losses during such period, and (ii) the proceeds of any casualty events and dispositions. For purposes of this EBITDA definition, the effect thereon of any adjustments required under Statement of Financial Accounting Standards No. 141R will be excluded. If during any period for which EBITDA is being determined, we have consummated any acquisition or disposition, EBITDA will be determined on a pro forma basis as if such acquisition or disposition had been made or consummated on the first day of such period.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senior credit facility, “net income” means for any period, the consolidated net income (or loss) of Lamar Advertising, us, and our restricted subsidiaries, determined on a consolidated basis in accordance with GAAP; provided that the following is excluded from net income: (a) the income (or deficit) of any person accrued prior to the date it becomes a restricted subsidiary or is merged into or consolidated with Lamar Advertising, us or any of our restricted subsidiaries, and (b) the income (or deficit) of any person (other than any of our restricted subsidiaries) in which Lamar Advertising, we or any of our subsidiaries has an ownership interest, except to the extent that any such income is received by Lamar Advertising, us or any of our restricted subsidiaries in the form of dividends or similar distributions.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its current level of cash on hand, availability under the senior credit facility and future cash flows from operations are sufficient to meet its operating needs for the next twelve months. All debt obligations are reflected on the Company’s balance sheet. </w:t>
      </w:r>
    </w:p>
    <w:p>
      <w:pPr>
        <w:pStyle w:val="TextBody"/>
        <w:spacing w:lineRule="auto" w:line="288" w:before="240" w:after="283"/>
        <w:jc w:val="both"/>
        <w:rPr/>
      </w:pPr>
      <w:r>
        <w:rPr>
          <w:rFonts w:ascii="Times New Roman;sans-serif" w:hAnsi="Times New Roman;sans-serif"/>
          <w:b w:val="false"/>
          <w:i/>
          <w:color w:val="000000"/>
          <w:sz w:val="20"/>
        </w:rPr>
        <w:t>Restrictions under Accounts Receivable Securitization Program.  </w:t>
      </w:r>
      <w:r>
        <w:rPr>
          <w:rFonts w:ascii="Times New Roman;sans-serif" w:hAnsi="Times New Roman;sans-serif"/>
          <w:b w:val="false"/>
          <w:color w:val="000000"/>
          <w:sz w:val="20"/>
        </w:rPr>
        <w:t xml:space="preserve">The agreements governing the Accounts Receivable Securitization Program contain 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material indebtedness, a change of control occurs, or if Lamar Media fails to maintain the maximum secured debt ratio of 4.5 to 1.0 required under Lamar Media’s senior credit facility.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Uses of Cash</w:t>
      </w:r>
    </w:p>
    <w:p>
      <w:pPr>
        <w:pStyle w:val="TextBody"/>
        <w:spacing w:lineRule="auto" w:line="288" w:before="120" w:after="283"/>
        <w:jc w:val="both"/>
        <w:rPr/>
      </w:pPr>
      <w:r>
        <w:rPr>
          <w:rFonts w:ascii="Times New Roman;sans-serif" w:hAnsi="Times New Roman;sans-serif"/>
          <w:b w:val="false"/>
          <w:i/>
          <w:color w:val="000000"/>
          <w:sz w:val="20"/>
        </w:rPr>
        <w:t>Capital Expenditures. </w:t>
      </w:r>
      <w:r>
        <w:rPr>
          <w:rFonts w:ascii="Times New Roman;sans-serif" w:hAnsi="Times New Roman;sans-serif"/>
          <w:b w:val="false"/>
          <w:color w:val="000000"/>
          <w:sz w:val="20"/>
        </w:rPr>
        <w:t>Capital expenditures, excluding acquisitions, were approximately $42.3 million for the three months ended March 31, 2023. We anticipate our 2023 total capital expenditures to be approximately $185.0 million.</w:t>
      </w:r>
    </w:p>
    <w:p>
      <w:pPr>
        <w:pStyle w:val="TextBody"/>
        <w:spacing w:lineRule="auto" w:line="288" w:before="240" w:after="283"/>
        <w:jc w:val="both"/>
        <w:rPr/>
      </w:pPr>
      <w:r>
        <w:rPr>
          <w:rFonts w:ascii="Times New Roman;sans-serif" w:hAnsi="Times New Roman;sans-serif"/>
          <w:b w:val="false"/>
          <w:i/>
          <w:color w:val="000000"/>
          <w:sz w:val="20"/>
        </w:rPr>
        <w:t xml:space="preserve">Acquisitions. </w:t>
      </w:r>
      <w:r>
        <w:rPr>
          <w:rFonts w:ascii="Times New Roman;sans-serif" w:hAnsi="Times New Roman;sans-serif"/>
          <w:b w:val="false"/>
          <w:color w:val="000000"/>
          <w:sz w:val="20"/>
        </w:rPr>
        <w:t xml:space="preserve">During the three months ended March 31, 2023, the Company completed acquisitions for an aggregate purchase price of approximately $13.6 million, which were financed using available cash on hand and borrowings on the Accounts Receivable Securitization Program and senior credit facility. </w:t>
      </w:r>
    </w:p>
    <w:p>
      <w:pPr>
        <w:pStyle w:val="TextBody"/>
        <w:spacing w:lineRule="auto" w:line="288" w:before="240" w:after="283"/>
        <w:jc w:val="both"/>
        <w:rPr/>
      </w:pPr>
      <w:r>
        <w:rPr>
          <w:rFonts w:ascii="Times New Roman;sans-serif" w:hAnsi="Times New Roman;sans-serif"/>
          <w:b w:val="false"/>
          <w:i/>
          <w:color w:val="000000"/>
          <w:sz w:val="20"/>
        </w:rPr>
        <w:t>Dividends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On February 23, 2023, the Company's Board of Directors declared a quarterly cash dividend of $1.25 per share, paid on March 31, 2023 to its stockholders of record of its Class A common stock and Class B common stock on March 17, 2023. Subject to approval of the Company's Board of Directors, the Company expects aggregate quarterly distributions to stockholders in 2023 will be $5.00 per share of common stock, including the dividend paid on March 31, 2023.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general economic conditions on the Company’s operations and other factors that the Board of Directors may deem relevant. The foregoing factors may also impact management’s recommendations to the Board of Directors as to the timing, amount and frequency of future distributions.</w:t>
      </w:r>
    </w:p>
    <w:p>
      <w:pPr>
        <w:pStyle w:val="TextBody"/>
        <w:spacing w:lineRule="auto" w:line="288" w:before="240" w:after="283"/>
        <w:jc w:val="both"/>
        <w:rPr/>
      </w:pPr>
      <w:r>
        <w:rPr>
          <w:rFonts w:ascii="Times New Roman;sans-serif" w:hAnsi="Times New Roman;sans-serif"/>
          <w:b w:val="false"/>
          <w:i/>
          <w:color w:val="000000"/>
          <w:sz w:val="20"/>
        </w:rPr>
        <w:t xml:space="preserve">Stock and Debt Repurchasing Program. </w:t>
      </w:r>
      <w:r>
        <w:rPr>
          <w:rFonts w:ascii="Times New Roman;sans-serif" w:hAnsi="Times New Roman;sans-serif"/>
          <w:b w:val="false"/>
          <w:color w:val="000000"/>
          <w:sz w:val="20"/>
        </w:rPr>
        <w:t>On March 16, 2020, the Company’s Board of Directors authorized the repurchase of up to $250.0 million of the Company’s Class A common stock. Additionally, the Board of Directors has authorized Lamar Media to repurchase up to $250.0 million in outstanding senior or senior subordinated notes and other indebtedness outstanding from time to time under its senior credit agreement. On February 23, 2023, the Board of Directors authorized the extension of the repurchase program through September 30, 2024. There were no repurchases under the program as of March 31, 2023.</w:t>
      </w:r>
      <w:r>
        <w:rPr>
          <w:color w:val="000000"/>
        </w:rPr>
        <w:t xml:space="preserve"> </w:t>
      </w:r>
      <w:r>
        <w:rPr>
          <w:rFonts w:ascii="Times New Roman;sans-serif" w:hAnsi="Times New Roman;sans-serif"/>
          <w:b w:val="false"/>
          <w:color w:val="000000"/>
          <w:sz w:val="20"/>
        </w:rPr>
        <w:t>The Company’s management may opt not to make any repurchases under the program, or may make aggregate purchases less than the total amount authorized.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Material Cash Requirements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expected material cash requirements for the twelve months following March 31, 2023 and thereafter are comprised of contractual obligations, required annual distributions and other opportunistic expenditures.</w:t>
      </w:r>
    </w:p>
    <w:p>
      <w:pPr>
        <w:pStyle w:val="TextBody"/>
        <w:spacing w:lineRule="auto" w:line="288" w:before="120" w:after="283"/>
        <w:jc w:val="both"/>
        <w:rPr/>
      </w:pPr>
      <w:r>
        <w:rPr>
          <w:rFonts w:ascii="Times New Roman;sans-serif" w:hAnsi="Times New Roman;sans-serif"/>
          <w:b w:val="false"/>
          <w:i/>
          <w:color w:val="000000"/>
          <w:sz w:val="20"/>
        </w:rPr>
        <w:t xml:space="preserve">Debt and Contractual Obligations. </w:t>
      </w:r>
      <w:r>
        <w:rPr>
          <w:rFonts w:ascii="Times New Roman;sans-serif" w:hAnsi="Times New Roman;sans-serif"/>
          <w:b w:val="false"/>
          <w:color w:val="000000"/>
          <w:sz w:val="20"/>
        </w:rPr>
        <w:t>The following table summarizes our future debt maturities, interest payment obligations, and contractual obligations including required payments under operating and financing leases as of March 31, 2023 (in millions):</w:t>
      </w:r>
    </w:p>
    <w:tbl>
      <w:tblPr>
        <w:tblW w:w="8208" w:type="dxa"/>
        <w:jc w:val="left"/>
        <w:tblInd w:w="0" w:type="dxa"/>
        <w:tblCellMar>
          <w:top w:w="28" w:type="dxa"/>
          <w:left w:w="28" w:type="dxa"/>
          <w:bottom w:w="28" w:type="dxa"/>
          <w:right w:w="28" w:type="dxa"/>
        </w:tblCellMar>
      </w:tblPr>
      <w:tblGrid>
        <w:gridCol w:w="1975"/>
        <w:gridCol w:w="1739"/>
        <w:gridCol w:w="1746"/>
        <w:gridCol w:w="291"/>
        <w:gridCol w:w="849"/>
        <w:gridCol w:w="150"/>
        <w:gridCol w:w="109"/>
        <w:gridCol w:w="109"/>
        <w:gridCol w:w="109"/>
        <w:gridCol w:w="211"/>
        <w:gridCol w:w="766"/>
        <w:gridCol w:w="154"/>
      </w:tblGrid>
      <w:tr>
        <w:trPr/>
        <w:tc>
          <w:tcPr>
            <w:tcW w:w="1975" w:type="dxa"/>
            <w:tcBorders/>
            <w:shd w:fill="auto" w:val="clear"/>
            <w:vAlign w:val="center"/>
          </w:tcPr>
          <w:p>
            <w:pPr>
              <w:pStyle w:val="TableContents"/>
              <w:spacing w:before="0" w:after="283"/>
              <w:rPr>
                <w:sz w:val="4"/>
                <w:szCs w:val="4"/>
              </w:rPr>
            </w:pPr>
            <w:r>
              <w:rPr>
                <w:sz w:val="4"/>
                <w:szCs w:val="4"/>
              </w:rPr>
            </w:r>
          </w:p>
        </w:tc>
        <w:tc>
          <w:tcPr>
            <w:tcW w:w="1739" w:type="dxa"/>
            <w:tcBorders/>
            <w:shd w:fill="auto" w:val="clear"/>
            <w:vAlign w:val="center"/>
          </w:tcPr>
          <w:p>
            <w:pPr>
              <w:pStyle w:val="TableContents"/>
              <w:spacing w:before="0" w:after="283"/>
              <w:rPr>
                <w:sz w:val="4"/>
                <w:szCs w:val="4"/>
              </w:rPr>
            </w:pPr>
            <w:r>
              <w:rPr>
                <w:sz w:val="4"/>
                <w:szCs w:val="4"/>
              </w:rPr>
            </w:r>
          </w:p>
        </w:tc>
        <w:tc>
          <w:tcPr>
            <w:tcW w:w="174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Debt maturities</w:t>
            </w:r>
            <w:r>
              <w:rPr>
                <w:rFonts w:ascii="Times New Roman;sans-serif" w:hAnsi="Times New Roman;sans-serif"/>
                <w:b w:val="false"/>
                <w:color w:val="000000"/>
                <w:sz w:val="16"/>
              </w:rPr>
              <w:t>(1)</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Interest obligations on long-term debt</w:t>
            </w:r>
            <w:r>
              <w:rPr>
                <w:rFonts w:ascii="Times New Roman;sans-serif" w:hAnsi="Times New Roman;sans-serif"/>
                <w:b w:val="false"/>
                <w:color w:val="000000"/>
                <w:sz w:val="16"/>
              </w:rPr>
              <w:t>(2)</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obligations, including operating and financing leases</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payments due</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    Debt maturities assume there is no refinancing prior to the existing maturity date.</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    Interest rates on our variable rate instruments assume rates at the March 2023 levels.</w:t>
      </w:r>
    </w:p>
    <w:p>
      <w:pPr>
        <w:pStyle w:val="TextBody"/>
        <w:spacing w:before="0" w:after="0"/>
        <w:ind w:left="0" w:right="0" w:hanging="360"/>
        <w:rPr/>
      </w:pPr>
      <w:r>
        <w:rPr/>
      </w:r>
    </w:p>
    <w:p>
      <w:pPr>
        <w:pStyle w:val="TextBody"/>
        <w:spacing w:lineRule="auto" w:line="288" w:before="0" w:after="0"/>
        <w:jc w:val="both"/>
        <w:rPr/>
      </w:pPr>
      <w:r>
        <w:rPr>
          <w:rFonts w:ascii="Times New Roman;sans-serif" w:hAnsi="Times New Roman;sans-serif"/>
          <w:b w:val="false"/>
          <w:i/>
          <w:color w:val="000000"/>
          <w:sz w:val="20"/>
        </w:rPr>
        <w:t>Required Annual Distributions</w:t>
      </w:r>
      <w:r>
        <w:rPr>
          <w:rFonts w:ascii="Times New Roman;sans-serif" w:hAnsi="Times New Roman;sans-serif"/>
          <w:b w:val="false"/>
          <w:color w:val="000000"/>
          <w:sz w:val="20"/>
        </w:rPr>
        <w:t xml:space="preserve">. As a REIT, the Company must annually distribute to its stockholders an amount equal to at least 90% of its REIT taxable income (determined before the deduction for distributed earnings and excluding any net capital gain). On February 23, 2023, the Company's Board of Directors declared a quarterly cash dividend of $1.25 per share, paid on March 31, 2023 to its stockholders of record of its Class A common stock and Class B common stock on March 17, 2023.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approval of the Company's Board of Directors, the Company expects aggregate quarterly distributions to stockholders in 2023 will be $5.00 per share of common stock, including the dividend paid on March 31, 2023. </w:t>
      </w:r>
    </w:p>
    <w:p>
      <w:pPr>
        <w:pStyle w:val="TextBody"/>
        <w:spacing w:before="0" w:after="0"/>
        <w:ind w:left="0" w:right="0" w:firstLine="720"/>
        <w:jc w:val="both"/>
        <w:rPr/>
      </w:pPr>
      <w:r>
        <w:rPr/>
      </w:r>
    </w:p>
    <w:p>
      <w:pPr>
        <w:pStyle w:val="TextBody"/>
        <w:spacing w:lineRule="auto" w:line="288" w:before="0" w:after="0"/>
        <w:jc w:val="both"/>
        <w:rPr/>
      </w:pPr>
      <w:r>
        <w:rPr>
          <w:rFonts w:ascii="Times New Roman;sans-serif" w:hAnsi="Times New Roman;sans-serif"/>
          <w:b w:val="false"/>
          <w:i/>
          <w:color w:val="000000"/>
          <w:sz w:val="20"/>
        </w:rPr>
        <w:t>Opportunistic Expenditures</w:t>
      </w:r>
      <w:r>
        <w:rPr>
          <w:rFonts w:ascii="Times New Roman;sans-serif" w:hAnsi="Times New Roman;sans-serif"/>
          <w:b w:val="false"/>
          <w:color w:val="000000"/>
          <w:sz w:val="20"/>
        </w:rPr>
        <w:t>. As part of our capital allocation strategy, we plan to continue to allocate our available capital among investment alternatives that meet our return on investment criteria. We will continue to reinvest in our existing assets and expand our outdoor advertising display portfolio through new construction. We will also continue to pursue strategic acquisitions of outdoor advertising businesses and assets. This includes acquisitions in our existing markets and in new markets where we can meet our return on investment criteria.</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flows provided by operating activities increased $6.7 million from $102.0 million for the three months ended March 31, 2022 to $108.7 million for the three months ended March 31, 2023, primarily resulting from an increase in revenues of $19.9 million offset by an increase in operating expenses (excluding stock-based compensation, gain on disposition of assets, and depreciation and amortization) of $13.0 million, as compared to the same period in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 decreased $30.7 million from $83.3 million for the three months ended March 31, 2022 to $52.7 million for the three months ended March 31, 2023 primarily due to a net decrease in the amount of assets acquired through acquisitions, investments and capital expenditures of $28.1 million, as compared to the same period in 2022.</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br/>
        <w:t>The Company's cash flows used in financing activities were $75.2 million for the three months ended March 31, 2023 as compared to $2.7 million for the three months ended March 31, 2022. The cash flows used in financing activities of $75.2 million for the three months ended March 31, 2023 is primarily due to cash paid for dividends and distributions offset by net borrowings on the senior credit facility.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Critical Accounting Estimates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results of operations and liquidity and capital resources are based on our condensed consolidated financial statements, which have been prepared in accordance with GAAP. The preparation of these financial statements requires us to make estimates and judgments that affect the reported amounts of assets, liabilities, revenues and expenses. There have been no material changes to the critical accounting policies and estimates as previously disclosed in Item 7 of our 2022 Combined Form 10-K.</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Accounting Standards and Regulatory Update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12, "New Accounting Pronouncements" to our condensed consolidated financial statements included in Part 1, Item 1 of this report for a discussion of our Accounting Standards and Regulatory Update.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LAMAR MEDIA CORP.</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discussion of the consolidated financial condition and results of operations of Lamar Media for the three months ended March 31, 2023 and 2022. This discussion should be read in conjunction with the consolidated financial statements of Lamar Media and the related notes thereto.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Three months ended March 31, 2023 compared to three months ended March 31, 2022</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revenues increased $19.9 million or 4.4% to $471.3 million for the three months ended March 31, 2023 from $451.4 million for the same period in 2022. This increase was primarily attributable to an increase in billboard net revenues of $15.4 million and an increase in transit net revenues of $3.9 million over the same period in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there was a $7.0 million increase in net revenues as compared to acquisition-adjusted net revenue for the three months ended March 31, 2022, which represents an increase of 1.5%. See "Reconciliations" below. The $7.0 million increase in revenue is primarily due to an increase of $3.4 million in billboard net revenues as well as an increase in transit net revenues of $3.1 million over the same period in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exclusive of depreciation and amortization and gain on disposition of assets, increased $19.2 million, or 7.3%, to $282.0 million for the three months ended March 31, 2023 from $262.7 million for the same period in 2022. The $19.2 million increase over the prior year is comprised of a $13.0 million increase in total direct, general and administrative and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corporate expenses (excluding stock-based compensation and transaction expenses) primarily related to the operations of our outdoor advertising assets, and a $6.3 million increase in stock-based compensation.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increased $4.5 million to $73.1 million for the three months ended March 31, 2023 as compared to $68.6 million for the same period in 2022, primarily related to acquisitions and capital expenditures completed during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Lamar Media recognized a gain on disposition of assets of $2.7 million, primarily resulting from transactions related to the sale of billboard locations and displays.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the above factors, operating income decreased by $1.7 million to $118.9 million for the three months ended March 31, 2023 as compared to $120.6 million for the same period in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increased $14.7 million for the three months ended March 31, 2023 to $41.4 million as compared to $26.8 million for the three months ended March 31, 2022 primarily due to the increase in interest rates on the Accounts Receivable Securitization Program and senior credit facility.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Equity in earnings of investee was $0.2 million and $0.7 million for the three months ended March 31, 2023 and 2022, respectively.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operating income, as well as the increase in interest expense, resulted in a $16.6 million decrease in net income before income taxes. The effective tax rate for the three months ended March 31, 2023 was 2.3%, which differs from the federal statutory rate primarily due to our qualification for taxation as a REIT and adjustments for foreign items.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above factors, Lamar Media recognized net income for the three months ended March 31, 2023 of $76.3 million, as compared to net income of $92.3 million for the same period in 2022.</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Reconciliations: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acquisitions occurring after December 31, 2021 have contributed to our net revenue results for the periods presented, we provide 2022 acquisition-adjusted net revenue, which adjusts our 2022 net revenue for the three months ended March 31, 2022 by adding to or subtracting from it the net revenue generated by the acquired or divested assets prior to our acquisition or divestiture of these assets for the same time frame that those assets were owned in the three months ended March 31, 2023.</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Reconciliations of 2022 reported net revenue to 2022 acquisition-adjusted net revenue for the three months ended March 31, as well as a comparison of 2022 acquisition-adjusted net revenue to 2023 reported net revenue for the three months ended March 31, are provided below:</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Reconciliation and Comparison of Reported Net Revenue to Acquisition-Adjusted Net Revenue</w:t>
      </w:r>
    </w:p>
    <w:tbl>
      <w:tblPr>
        <w:tblW w:w="4734" w:type="dxa"/>
        <w:jc w:val="left"/>
        <w:tblInd w:w="0" w:type="dxa"/>
        <w:tblCellMar>
          <w:top w:w="28" w:type="dxa"/>
          <w:left w:w="28" w:type="dxa"/>
          <w:bottom w:w="28" w:type="dxa"/>
          <w:right w:w="28" w:type="dxa"/>
        </w:tblCellMar>
      </w:tblPr>
      <w:tblGrid>
        <w:gridCol w:w="749"/>
        <w:gridCol w:w="658"/>
        <w:gridCol w:w="663"/>
        <w:gridCol w:w="211"/>
        <w:gridCol w:w="826"/>
        <w:gridCol w:w="109"/>
        <w:gridCol w:w="109"/>
        <w:gridCol w:w="109"/>
        <w:gridCol w:w="109"/>
        <w:gridCol w:w="211"/>
        <w:gridCol w:w="826"/>
        <w:gridCol w:w="154"/>
      </w:tblGrid>
      <w:tr>
        <w:trPr/>
        <w:tc>
          <w:tcPr>
            <w:tcW w:w="749"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net 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net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Performance Indicators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Income/Adjusted EBITDA</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10205" w:type="dxa"/>
        <w:jc w:val="left"/>
        <w:tblInd w:w="0" w:type="dxa"/>
        <w:tblCellMar>
          <w:top w:w="28" w:type="dxa"/>
          <w:left w:w="28" w:type="dxa"/>
          <w:bottom w:w="28" w:type="dxa"/>
          <w:right w:w="28" w:type="dxa"/>
        </w:tblCellMar>
      </w:tblPr>
      <w:tblGrid>
        <w:gridCol w:w="1157"/>
        <w:gridCol w:w="906"/>
        <w:gridCol w:w="913"/>
        <w:gridCol w:w="211"/>
        <w:gridCol w:w="826"/>
        <w:gridCol w:w="109"/>
        <w:gridCol w:w="109"/>
        <w:gridCol w:w="109"/>
        <w:gridCol w:w="109"/>
        <w:gridCol w:w="211"/>
        <w:gridCol w:w="826"/>
        <w:gridCol w:w="109"/>
        <w:gridCol w:w="109"/>
        <w:gridCol w:w="109"/>
        <w:gridCol w:w="109"/>
        <w:gridCol w:w="389"/>
        <w:gridCol w:w="1458"/>
        <w:gridCol w:w="201"/>
        <w:gridCol w:w="109"/>
        <w:gridCol w:w="109"/>
        <w:gridCol w:w="109"/>
        <w:gridCol w:w="419"/>
        <w:gridCol w:w="379"/>
        <w:gridCol w:w="1110"/>
      </w:tblGrid>
      <w:tr>
        <w:trPr/>
        <w:tc>
          <w:tcPr>
            <w:tcW w:w="1157"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Increase (Decrease)</w:t>
            </w:r>
          </w:p>
        </w:tc>
      </w:tr>
      <w:tr>
        <w:trPr/>
        <w:tc>
          <w:tcPr>
            <w:tcW w:w="2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(15,953)</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08" w:type="dxa"/>
            <w:gridSpan w:val="3"/>
            <w:tcBorders/>
            <w:shd w:fill="auto" w:val="clear"/>
            <w:vAlign w:val="center"/>
          </w:tcPr>
          <w:p>
            <w:pPr>
              <w:pStyle w:val="TableContents"/>
              <w:spacing w:before="0" w:after="283"/>
              <w:rPr>
                <w:sz w:val="4"/>
                <w:szCs w:val="4"/>
              </w:rPr>
            </w:pPr>
            <w:r>
              <w:rPr>
                <w:sz w:val="4"/>
                <w:szCs w:val="4"/>
              </w:rPr>
            </w:r>
          </w:p>
        </w:tc>
      </w:tr>
      <w:tr>
        <w:trPr/>
        <w:tc>
          <w:tcPr>
            <w:tcW w:w="2976"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08" w:type="dxa"/>
            <w:gridSpan w:val="3"/>
            <w:tcBorders/>
            <w:shd w:fill="auto" w:val="clear"/>
            <w:vAlign w:val="center"/>
          </w:tcPr>
          <w:p>
            <w:pPr>
              <w:pStyle w:val="TableContents"/>
              <w:spacing w:before="0" w:after="283"/>
              <w:rPr>
                <w:sz w:val="4"/>
                <w:szCs w:val="4"/>
              </w:rPr>
            </w:pPr>
            <w:r>
              <w:rPr>
                <w:sz w:val="4"/>
                <w:szCs w:val="4"/>
              </w:rPr>
            </w:r>
          </w:p>
        </w:tc>
      </w:tr>
      <w:tr>
        <w:trPr/>
        <w:tc>
          <w:tcPr>
            <w:tcW w:w="2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14,412 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investee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 of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contract fulfillment costs,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for the three months ended March 31, 2023 increased 3.5% to $198.1 million. The increase in adjusted EBITDA was primarily attributable to an increase in our gross margin (net revenue less direct advertising expense, exclusive of depreciation and amortization and capitalized contract fulfillment costs, net) of $9.0 million, offset by an increase in total general and administrative and corporate expenses of $2.3 million, excluding the impact of stock-based compensation expense and transaction expenses.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Net Income/FFO/AFFO</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10205" w:type="dxa"/>
        <w:jc w:val="left"/>
        <w:tblInd w:w="0" w:type="dxa"/>
        <w:tblCellMar>
          <w:top w:w="28" w:type="dxa"/>
          <w:left w:w="28" w:type="dxa"/>
          <w:bottom w:w="28" w:type="dxa"/>
          <w:right w:w="28" w:type="dxa"/>
        </w:tblCellMar>
      </w:tblPr>
      <w:tblGrid>
        <w:gridCol w:w="1385"/>
        <w:gridCol w:w="1110"/>
        <w:gridCol w:w="1128"/>
        <w:gridCol w:w="211"/>
        <w:gridCol w:w="826"/>
        <w:gridCol w:w="109"/>
        <w:gridCol w:w="109"/>
        <w:gridCol w:w="109"/>
        <w:gridCol w:w="109"/>
        <w:gridCol w:w="211"/>
        <w:gridCol w:w="826"/>
        <w:gridCol w:w="109"/>
        <w:gridCol w:w="109"/>
        <w:gridCol w:w="109"/>
        <w:gridCol w:w="109"/>
        <w:gridCol w:w="327"/>
        <w:gridCol w:w="1207"/>
        <w:gridCol w:w="169"/>
        <w:gridCol w:w="109"/>
        <w:gridCol w:w="109"/>
        <w:gridCol w:w="109"/>
        <w:gridCol w:w="395"/>
        <w:gridCol w:w="307"/>
        <w:gridCol w:w="904"/>
      </w:tblGrid>
      <w:tr>
        <w:trPr/>
        <w:tc>
          <w:tcPr>
            <w:tcW w:w="1385"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r>
      <w:tr>
        <w:trPr/>
        <w:tc>
          <w:tcPr>
            <w:tcW w:w="3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Increase (Decrease)</w:t>
            </w:r>
          </w:p>
        </w:tc>
      </w:tr>
      <w:tr>
        <w:trPr/>
        <w:tc>
          <w:tcPr>
            <w:tcW w:w="3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(15,953)</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related to real estate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sale or disposal of real estate, net of tax</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unconsolidated affiliates and non-controlling interest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FFO</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(12,835)</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9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contract fulfillment costs,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portion of tax provision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Non-real estate related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6" w:type="dxa"/>
            <w:gridSpan w:val="3"/>
            <w:tcBorders/>
            <w:shd w:fill="auto" w:val="clear"/>
            <w:vAlign w:val="center"/>
          </w:tcPr>
          <w:p>
            <w:pPr>
              <w:pStyle w:val="TableContents"/>
              <w:spacing w:before="0" w:after="283"/>
              <w:rPr>
                <w:sz w:val="4"/>
                <w:szCs w:val="4"/>
              </w:rPr>
            </w:pPr>
            <w:r>
              <w:rPr>
                <w:sz w:val="4"/>
                <w:szCs w:val="4"/>
              </w:rPr>
            </w:r>
          </w:p>
        </w:tc>
      </w:tr>
      <w:tr>
        <w:trPr/>
        <w:tc>
          <w:tcPr>
            <w:tcW w:w="3623"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6" w:type="dxa"/>
            <w:gridSpan w:val="3"/>
            <w:tcBorders/>
            <w:shd w:fill="auto" w:val="clear"/>
            <w:vAlign w:val="center"/>
          </w:tcPr>
          <w:p>
            <w:pPr>
              <w:pStyle w:val="TableContents"/>
              <w:spacing w:before="0" w:after="283"/>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maintenance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unconsolidated affiliates and non-controlling interest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AFFO</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(7,837)</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9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FFO for the three months ended March 31, 2023 decreased from $156.5 million in 2022 to $143.6 million for the same period in 2023, a decrease of 8.2%. AFFO for the three months ended March 31, 2023 decreased 5.2% to $144.2 million as compared to $152.0 million for the same period in 2022. The decrease in AFFO was primarily attributable to an increase in our interest expense of $14.7 million and an increase in total general and administrative and corporate expenses (excluding the effect of stock-based compensation expense and transaction expenses) offset by an increase in our gross margin (net revenue less direct advertising expense, exclusive of depreciation and amortization and capitalized contract fulfillment costs, net).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ind w:left="0" w:right="0" w:hanging="144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20" w:after="283"/>
        <w:ind w:left="0" w:right="0" w:hanging="1440"/>
        <w:jc w:val="both"/>
        <w:rPr>
          <w:rFonts w:ascii="Times New Roman;sans-serif" w:hAnsi="Times New Roman;sans-serif"/>
          <w:b/>
          <w:i/>
          <w:color w:val="000000"/>
          <w:sz w:val="20"/>
        </w:rPr>
      </w:pPr>
      <w:r>
        <w:rPr>
          <w:rFonts w:ascii="Times New Roman;sans-serif" w:hAnsi="Times New Roman;sans-serif"/>
          <w:b/>
          <w:i/>
          <w:color w:val="000000"/>
          <w:sz w:val="20"/>
        </w:rPr>
        <w:t>Lamar Advertising Company and Lamar Media Corp.</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Lamar Advertising is exposed to interest rate risk in connection with variable rate debt instruments issued by its wholly owned subsidiary Lamar Media. The information below summarizes the Company’s interest rate risk associated with its principal variable rate debt instruments outstanding at March 31, 2023, and should be read in conjunction with Note 11 of the Notes to the Company’s Condensed Consolidated Financial Statements.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Lamar Media has variable-rate debt outstanding under its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there was approximately $1.30 billion of indebtedness outstanding under the senior credit facility and the Accounts Receivable Securitization Program, or approximately 38.2% of the Company’s outstanding long-term debt on that date, bearing interest at variable rates. The aggregate interest expense for 2023 with respect to borrowings under the senior credit facility and the Accounts Receivable Securitization Program was $18.2 million, and the weighted average interest rate applicable to these borrowings during 2023 was 5.8%. Assuming that the weighted average interest rate was 200 basis points higher (that is 7.8% rather than 5.8%), then the Company’s 2023 interest expense would have increased by approximately $6.1 million for the three months ended March 31, 2023.</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applicable to its borrowings at an amount equal to Adjusted LIBO Rate or Adjusted Term SOFR Rate (as applicable),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44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20" w:after="283"/>
        <w:jc w:val="both"/>
        <w:rPr/>
      </w:pPr>
      <w:r>
        <w:rPr>
          <w:rFonts w:ascii="Times New Roman;sans-serif" w:hAnsi="Times New Roman;sans-serif"/>
          <w:b w:val="false"/>
          <w:color w:val="000000"/>
          <w:sz w:val="20"/>
        </w:rPr>
        <w:t xml:space="preserve">a) </w:t>
      </w:r>
      <w:r>
        <w:rPr>
          <w:rFonts w:ascii="Times New Roman;sans-serif" w:hAnsi="Times New Roman;sans-serif"/>
          <w:b w:val="false"/>
          <w:i/>
          <w:color w:val="000000"/>
          <w:sz w:val="20"/>
        </w:rPr>
        <w:t>Conclusion Regarding the Effectiveness of Disclosure Controls and Procedures.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of the Company and Lamar Media concluded that these disclosure controls and procedures are effective and designed to ensure that the information required to be disclosed in the Company’s and Lamar Media’s reports filed or submitted under the Exchange Act is recorded, processed, summarized and reported within the requisite time periods.</w:t>
      </w:r>
    </w:p>
    <w:p>
      <w:pPr>
        <w:pStyle w:val="TextBody"/>
        <w:spacing w:lineRule="auto" w:line="288" w:before="360" w:after="283"/>
        <w:jc w:val="both"/>
        <w:rPr/>
      </w:pPr>
      <w:r>
        <w:rPr>
          <w:rFonts w:ascii="Times New Roman;sans-serif" w:hAnsi="Times New Roman;sans-serif"/>
          <w:b w:val="false"/>
          <w:color w:val="000000"/>
          <w:sz w:val="20"/>
        </w:rPr>
        <w:t xml:space="preserve">b) </w:t>
      </w:r>
      <w:r>
        <w:rPr>
          <w:rFonts w:ascii="Times New Roman;sans-serif" w:hAnsi="Times New Roman;sans-serif"/>
          <w:b w:val="false"/>
          <w:i/>
          <w:color w:val="000000"/>
          <w:sz w:val="20"/>
        </w:rPr>
        <w:t>Changes in Internal Control Over Financial Reporting.</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the internal control over financial reporting (as defined in Rules 13a-15(f) and 15d-15(f) under the Exchange Act) of the Company and Lamar Media identified in connection with the evaluation of the Company’s and Lamar Media’s internal control performed during the last fiscal quarter that has materially affected, or is reasonably likely to materially affect, the Company’s and Lamar Media’s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and financial results are subject to various risks and uncertainties, including those described in Part I, Item 1A, “Risk Factors” in our combined Annual Report on Form 10-K for the year ended December 31, 2022, which could adversely affect our business, financial condition, results of operations, cash flows, and the trading price of our Class A common stock. There have been no material changes to our risk factors since our combined Annual Report on Form 10-K for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277"/>
        <w:gridCol w:w="244"/>
        <w:gridCol w:w="245"/>
        <w:gridCol w:w="109"/>
        <w:gridCol w:w="109"/>
        <w:gridCol w:w="109"/>
        <w:gridCol w:w="2754"/>
        <w:gridCol w:w="2619"/>
        <w:gridCol w:w="3739"/>
      </w:tblGrid>
      <w:tr>
        <w:trPr/>
        <w:tc>
          <w:tcPr>
            <w:tcW w:w="27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4" w:type="dxa"/>
            <w:tcBorders/>
            <w:shd w:fill="auto" w:val="clear"/>
            <w:vAlign w:val="center"/>
          </w:tcPr>
          <w:p>
            <w:pPr>
              <w:pStyle w:val="TableContents"/>
              <w:spacing w:before="0" w:after="283"/>
              <w:rPr>
                <w:sz w:val="4"/>
                <w:szCs w:val="4"/>
              </w:rPr>
            </w:pPr>
            <w:r>
              <w:rPr>
                <w:sz w:val="4"/>
                <w:szCs w:val="4"/>
              </w:rPr>
            </w:r>
          </w:p>
        </w:tc>
        <w:tc>
          <w:tcPr>
            <w:tcW w:w="2619" w:type="dxa"/>
            <w:tcBorders/>
            <w:shd w:fill="auto" w:val="clear"/>
            <w:vAlign w:val="center"/>
          </w:tcPr>
          <w:p>
            <w:pPr>
              <w:pStyle w:val="TableContents"/>
              <w:spacing w:before="0" w:after="283"/>
              <w:rPr>
                <w:sz w:val="4"/>
                <w:szCs w:val="4"/>
              </w:rPr>
            </w:pPr>
            <w:r>
              <w:rPr>
                <w:sz w:val="4"/>
                <w:szCs w:val="4"/>
              </w:rPr>
            </w:r>
          </w:p>
        </w:tc>
        <w:tc>
          <w:tcPr>
            <w:tcW w:w="3739" w:type="dxa"/>
            <w:tcBorders/>
            <w:shd w:fill="auto" w:val="cle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7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
              <w:r>
                <w:rPr>
                  <w:rStyle w:val="InternetLink"/>
                  <w:rFonts w:ascii="Times New Roman;sans-serif" w:hAnsi="Times New Roman;sans-serif"/>
                  <w:b w:val="false"/>
                  <w:color w:val="0000FF"/>
                  <w:sz w:val="20"/>
                  <w:u w:val="single"/>
                </w:rPr>
                <w:t>Amended and Restated Certificate of Incorporation of Lamar Advertising Company (the “Company”), as filed with the Secretary of the State of Delaware effective as of November 18, 2014.  Previously filed as Exhibit 3.1 to the Company’s Current Report on Form 8-K (File No. 1-36756) filed on November 19, 2014 and incorporated herein by reference.</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
              <w:r>
                <w:rPr>
                  <w:rStyle w:val="InternetLink"/>
                  <w:rFonts w:ascii="Times New Roman;sans-serif" w:hAnsi="Times New Roman;sans-serif"/>
                  <w:b w:val="false"/>
                  <w:color w:val="0000FF"/>
                  <w:sz w:val="20"/>
                  <w:u w:val="single"/>
                </w:rPr>
                <w:t>Certificate of Merger, effective as of November 18, 2014. Previously filed as Exhibit 3.2 to the Company’s Current Report on Form 8-K (File No. 1-36756) filed on November 19, 2014 and incorporated herein by reference.</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
              <w:r>
                <w:rPr>
                  <w:rStyle w:val="InternetLink"/>
                  <w:rFonts w:ascii="Times New Roman;sans-serif" w:hAnsi="Times New Roman;sans-serif"/>
                  <w:b w:val="false"/>
                  <w:color w:val="0000FF"/>
                  <w:sz w:val="20"/>
                  <w:u w:val="single"/>
                </w:rPr>
                <w:t>Amended and Restated Certificate of Incorporation of Lamar Media Corp. (“Lamar Media”)  Previously filed as Exhibit 3.2 to the Company’s Quarterly Report on Form 10-Q for the period ended March 31, 2007 (File No. 0-30242) filed on May 10, 2007 and incorporated herein by reference.</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
              <w:r>
                <w:rPr>
                  <w:rStyle w:val="InternetLink"/>
                  <w:rFonts w:ascii="Times New Roman;sans-serif" w:hAnsi="Times New Roman;sans-serif"/>
                  <w:b w:val="false"/>
                  <w:color w:val="0000FF"/>
                  <w:sz w:val="20"/>
                  <w:u w:val="single"/>
                </w:rPr>
                <w:t>Amended and Restated Bylaws of the Company, adopted as of November 18, 2014.  Previously filed as Exhibit 3.3 to the Company’s Current Report on Form 8-K (File No. 1-36756) filed on November 19, 2014 and incorporated herein by reference.</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6">
              <w:r>
                <w:rPr>
                  <w:rStyle w:val="InternetLink"/>
                  <w:rFonts w:ascii="Times New Roman;sans-serif" w:hAnsi="Times New Roman;sans-serif"/>
                  <w:b w:val="false"/>
                  <w:color w:val="0000FF"/>
                  <w:sz w:val="20"/>
                  <w:u w:val="single"/>
                </w:rPr>
                <w:t>Amended and Restated Bylaws of Lamar Media. Previously filed as Exhibit 3.1 to Lamar Media’s Quarterly Report on Form 10-Q for the period ended September 30, 1999 (File No. 1-12407) filed on November 12, 1999 and incorporated herein by reference.</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7">
              <w:r>
                <w:rPr>
                  <w:rStyle w:val="InternetLink"/>
                </w:rPr>
                <w:t>Form of LTIP Unit Award Agreement. Previously filed as Exhibit 10.</w:t>
              </w:r>
            </w:hyperlink>
            <w:hyperlink r:id="rId8">
              <w:r>
                <w:rPr>
                  <w:rStyle w:val="InternetLink"/>
                </w:rPr>
                <w:t>1</w:t>
              </w:r>
            </w:hyperlink>
            <w:hyperlink r:id="rId9">
              <w:r>
                <w:rPr>
                  <w:rStyle w:val="InternetLink"/>
                </w:rPr>
                <w:t xml:space="preserve"> to the Company’s Current Report on Form 8-K (File No. 1-36756) filed on </w:t>
              </w:r>
            </w:hyperlink>
            <w:hyperlink r:id="rId10">
              <w:r>
                <w:rPr>
                  <w:rStyle w:val="InternetLink"/>
                </w:rPr>
                <w:t>March</w:t>
              </w:r>
            </w:hyperlink>
            <w:hyperlink r:id="rId11">
              <w:r>
                <w:rPr>
                  <w:rStyle w:val="InternetLink"/>
                </w:rPr>
                <w:t xml:space="preserve"> </w:t>
              </w:r>
            </w:hyperlink>
            <w:hyperlink r:id="rId12">
              <w:r>
                <w:rPr>
                  <w:rStyle w:val="InternetLink"/>
                </w:rPr>
                <w:t>2</w:t>
              </w:r>
            </w:hyperlink>
            <w:hyperlink r:id="rId13">
              <w:r>
                <w:rPr>
                  <w:rStyle w:val="InternetLink"/>
                </w:rPr>
                <w:t>, 202</w:t>
              </w:r>
            </w:hyperlink>
            <w:hyperlink r:id="rId14">
              <w:r>
                <w:rPr>
                  <w:rStyle w:val="InternetLink"/>
                </w:rPr>
                <w:t>3</w:t>
              </w:r>
            </w:hyperlink>
            <w:hyperlink r:id="rId15">
              <w:r>
                <w:rPr>
                  <w:rStyle w:val="InternetLink"/>
                </w:rPr>
                <w:t xml:space="preserve"> and incorporated herein by reference.</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lamr-20230331x10qxxexx311.htm">
              <w:r>
                <w:rPr>
                  <w:rStyle w:val="InternetLink"/>
                  <w:rFonts w:ascii="Times New Roman;sans-serif" w:hAnsi="Times New Roman;sans-serif"/>
                  <w:b w:val="false"/>
                  <w:color w:val="0000FF"/>
                  <w:sz w:val="20"/>
                  <w:u w:val="single"/>
                </w:rPr>
                <w:t>Certification of the Chief Executive Officer of the Company and Lamar Media pursuant to Securities Exchange Act Rules 13a-14(a) and 15d-14(a) as adopted pursuant to Section 302 of the Sarbanes-Oxley Act of 2002. Filed herewith.</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lamr-20230331x10qxexx312.htm">
              <w:r>
                <w:rPr>
                  <w:rStyle w:val="InternetLink"/>
                  <w:rFonts w:ascii="Times New Roman;sans-serif" w:hAnsi="Times New Roman;sans-serif"/>
                  <w:b w:val="false"/>
                  <w:color w:val="0000FF"/>
                  <w:sz w:val="20"/>
                  <w:u w:val="single"/>
                </w:rPr>
                <w:t>Certification of the Chief Financial Officer of the Company and Lamar Media pursuant to Securities Exchange Act Rules 13a-14(a) and 15d-14(a) as adopted pursuant to Section 302 of the Sarbanes-Oxley Act of 2002. Filed herewith.</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lamr-20230331x10qxexx321.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Filed herewith.</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from the Company’s Quarterly Report on Form 10-Q for the quarter ended March 31, 2023, formatted in Inline XBRL: (i) Condensed Consolidated Balance Sheets, (ii) Condensed Consolidated Statements of Income and Comprehensive Income, (iii) Condensed Consolidated Statements of Stockholders' Equity, (iv) Condensed Consolidated Statements of Cash Flows, and (v) Notes to the Condensed Consolidated Financial Statements, tagged as blocks of text and including detailed tags.</w:t>
            </w:r>
          </w:p>
        </w:tc>
      </w:tr>
    </w:tbl>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tbl>
      <w:tblPr>
        <w:tblW w:w="8262" w:type="dxa"/>
        <w:jc w:val="left"/>
        <w:tblInd w:w="0" w:type="dxa"/>
        <w:tblCellMar>
          <w:top w:w="28" w:type="dxa"/>
          <w:left w:w="28" w:type="dxa"/>
          <w:bottom w:w="28" w:type="dxa"/>
          <w:right w:w="28" w:type="dxa"/>
        </w:tblCellMar>
      </w:tblPr>
      <w:tblGrid>
        <w:gridCol w:w="158"/>
        <w:gridCol w:w="138"/>
        <w:gridCol w:w="140"/>
        <w:gridCol w:w="109"/>
        <w:gridCol w:w="109"/>
        <w:gridCol w:w="109"/>
        <w:gridCol w:w="2196"/>
        <w:gridCol w:w="2196"/>
        <w:gridCol w:w="3107"/>
      </w:tblGrid>
      <w:tr>
        <w:trPr/>
        <w:tc>
          <w:tcPr>
            <w:tcW w:w="15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6" w:type="dxa"/>
            <w:tcBorders/>
            <w:shd w:fill="auto" w:val="clear"/>
            <w:vAlign w:val="center"/>
          </w:tcPr>
          <w:p>
            <w:pPr>
              <w:pStyle w:val="TableContents"/>
              <w:spacing w:before="0" w:after="283"/>
              <w:rPr>
                <w:sz w:val="4"/>
                <w:szCs w:val="4"/>
              </w:rPr>
            </w:pPr>
            <w:r>
              <w:rPr>
                <w:sz w:val="4"/>
                <w:szCs w:val="4"/>
              </w:rPr>
            </w:r>
          </w:p>
        </w:tc>
        <w:tc>
          <w:tcPr>
            <w:tcW w:w="2196" w:type="dxa"/>
            <w:tcBorders/>
            <w:shd w:fill="auto" w:val="clear"/>
            <w:vAlign w:val="center"/>
          </w:tcPr>
          <w:p>
            <w:pPr>
              <w:pStyle w:val="TableContents"/>
              <w:spacing w:before="0" w:after="283"/>
              <w:rPr>
                <w:sz w:val="4"/>
                <w:szCs w:val="4"/>
              </w:rPr>
            </w:pPr>
            <w:r>
              <w:rPr>
                <w:sz w:val="4"/>
                <w:szCs w:val="4"/>
              </w:rPr>
            </w:r>
          </w:p>
        </w:tc>
        <w:tc>
          <w:tcPr>
            <w:tcW w:w="3107" w:type="dxa"/>
            <w:tcBorders/>
            <w:shd w:fill="auto" w:val="clear"/>
            <w:vAlign w:val="center"/>
          </w:tcPr>
          <w:p>
            <w:pPr>
              <w:pStyle w:val="TableContents"/>
              <w:spacing w:before="0" w:after="283"/>
              <w:rPr>
                <w:sz w:val="4"/>
                <w:szCs w:val="4"/>
              </w:rPr>
            </w:pPr>
            <w:r>
              <w:rPr>
                <w:sz w:val="4"/>
                <w:szCs w:val="4"/>
              </w:rPr>
            </w:r>
          </w:p>
        </w:tc>
      </w:tr>
      <w:tr>
        <w:trPr/>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Date File (formatted as Inline XBRL and contained in Exhibit 101).</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*Management compensatory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306d24cebc7b4749bd3661771216904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each registrant has duly caused this report to be signed on its behalf by the undersigned thereunto duly authorized.</w:t>
      </w:r>
    </w:p>
    <w:tbl>
      <w:tblPr>
        <w:tblW w:w="9278" w:type="dxa"/>
        <w:jc w:val="left"/>
        <w:tblInd w:w="0" w:type="dxa"/>
        <w:tblCellMar>
          <w:top w:w="28" w:type="dxa"/>
          <w:left w:w="28" w:type="dxa"/>
          <w:bottom w:w="28" w:type="dxa"/>
          <w:right w:w="28" w:type="dxa"/>
        </w:tblCellMar>
      </w:tblPr>
      <w:tblGrid>
        <w:gridCol w:w="689"/>
        <w:gridCol w:w="606"/>
        <w:gridCol w:w="609"/>
        <w:gridCol w:w="349"/>
        <w:gridCol w:w="349"/>
        <w:gridCol w:w="349"/>
        <w:gridCol w:w="349"/>
        <w:gridCol w:w="349"/>
        <w:gridCol w:w="349"/>
        <w:gridCol w:w="1534"/>
        <w:gridCol w:w="1534"/>
        <w:gridCol w:w="2212"/>
      </w:tblGrid>
      <w:tr>
        <w:trPr/>
        <w:tc>
          <w:tcPr>
            <w:tcW w:w="68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c>
          <w:tcPr>
            <w:tcW w:w="2212"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LAMAR ADVERTISING COMPANY</w:t>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4, 2023</w:t>
            </w:r>
          </w:p>
        </w:tc>
        <w:tc>
          <w:tcPr>
            <w:tcW w:w="10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0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Jay L. Johnson</w:t>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LAMAR MEDIA CORP.</w:t>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4, 2023</w:t>
            </w:r>
          </w:p>
        </w:tc>
        <w:tc>
          <w:tcPr>
            <w:tcW w:w="10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0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Jay L. Johnson</w:t>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360" w:after="12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360" w:after="12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 Sean E. Reilly, certify that:</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combined quarterly report on Form 10-Q of Lamar Advertising Company and Lamar Media Corp.;</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pStyle w:val="TextBody"/>
        <w:spacing w:lineRule="auto" w:line="288" w:before="120" w:after="283"/>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pStyle w:val="TextBody"/>
        <w:spacing w:lineRule="auto" w:line="288" w:before="120" w:after="283"/>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tbl>
      <w:tblPr>
        <w:tblW w:w="4857" w:type="dxa"/>
        <w:jc w:val="center"/>
        <w:tblInd w:w="0" w:type="dxa"/>
        <w:tblCellMar>
          <w:top w:w="28" w:type="dxa"/>
          <w:left w:w="28" w:type="dxa"/>
          <w:bottom w:w="28" w:type="dxa"/>
          <w:right w:w="28" w:type="dxa"/>
        </w:tblCellMar>
      </w:tblPr>
      <w:tblGrid>
        <w:gridCol w:w="124"/>
        <w:gridCol w:w="109"/>
        <w:gridCol w:w="109"/>
        <w:gridCol w:w="1318"/>
        <w:gridCol w:w="1318"/>
        <w:gridCol w:w="187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187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E. Reilly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E. Reilly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Lamar Advertising Company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Lamar Media Corp.</w:t>
            </w:r>
          </w:p>
        </w:tc>
      </w:tr>
    </w:tbl>
    <w:p>
      <w:pPr>
        <w:pStyle w:val="TextBody"/>
        <w:spacing w:before="120" w:after="283"/>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360" w:after="12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360" w:after="12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 Jay L. Johnson, certify that:</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combined quarterly report on Form 10-Q of Lamar Advertising Company and Lamar Media Corp.;</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pStyle w:val="TextBody"/>
        <w:spacing w:lineRule="auto" w:line="288" w:before="120" w:after="283"/>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pStyle w:val="TextBody"/>
        <w:spacing w:lineRule="auto" w:line="288" w:before="120" w:after="283"/>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tbl>
      <w:tblPr>
        <w:tblW w:w="4796" w:type="dxa"/>
        <w:jc w:val="center"/>
        <w:tblInd w:w="0" w:type="dxa"/>
        <w:tblCellMar>
          <w:top w:w="28" w:type="dxa"/>
          <w:left w:w="28" w:type="dxa"/>
          <w:bottom w:w="28" w:type="dxa"/>
          <w:right w:w="28" w:type="dxa"/>
        </w:tblCellMar>
      </w:tblPr>
      <w:tblGrid>
        <w:gridCol w:w="124"/>
        <w:gridCol w:w="109"/>
        <w:gridCol w:w="109"/>
        <w:gridCol w:w="1305"/>
        <w:gridCol w:w="1305"/>
        <w:gridCol w:w="184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84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Jay L. Johnson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Jay L. Johnson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Lamar Advertising Company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Lamar Media Corp.</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LAMAR ADVERTISING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LAMAR MEDIA CORP.</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Periodic Financial Report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Quarterly Report on Form 10-Q of Lamar Advertising and Lamar Media for the period ended March 31, 2023 fully complies with the requirements of Section 13(a) or 15(d) of the Securities Exchange Act of 1934 and that information contained in the combined Form 10-Q fairly presents, in all material respects, the financial condition and results of operations of Lamar Advertising and Lamar Media</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tbl>
      <w:tblPr>
        <w:tblW w:w="5618" w:type="dxa"/>
        <w:jc w:val="center"/>
        <w:tblInd w:w="0" w:type="dxa"/>
        <w:tblCellMar>
          <w:top w:w="28" w:type="dxa"/>
          <w:left w:w="28" w:type="dxa"/>
          <w:bottom w:w="28" w:type="dxa"/>
          <w:right w:w="28" w:type="dxa"/>
        </w:tblCellMar>
      </w:tblPr>
      <w:tblGrid>
        <w:gridCol w:w="124"/>
        <w:gridCol w:w="109"/>
        <w:gridCol w:w="109"/>
        <w:gridCol w:w="144"/>
        <w:gridCol w:w="144"/>
        <w:gridCol w:w="146"/>
        <w:gridCol w:w="109"/>
        <w:gridCol w:w="109"/>
        <w:gridCol w:w="109"/>
        <w:gridCol w:w="1318"/>
        <w:gridCol w:w="1318"/>
        <w:gridCol w:w="187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187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E. Reilly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E. Reilly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Lamar Advertising Company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Lamar Media Corp.</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tbl>
      <w:tblPr>
        <w:tblW w:w="5557" w:type="dxa"/>
        <w:jc w:val="center"/>
        <w:tblInd w:w="0" w:type="dxa"/>
        <w:tblCellMar>
          <w:top w:w="28" w:type="dxa"/>
          <w:left w:w="28" w:type="dxa"/>
          <w:bottom w:w="28" w:type="dxa"/>
          <w:right w:w="28" w:type="dxa"/>
        </w:tblCellMar>
      </w:tblPr>
      <w:tblGrid>
        <w:gridCol w:w="124"/>
        <w:gridCol w:w="109"/>
        <w:gridCol w:w="109"/>
        <w:gridCol w:w="144"/>
        <w:gridCol w:w="144"/>
        <w:gridCol w:w="146"/>
        <w:gridCol w:w="109"/>
        <w:gridCol w:w="109"/>
        <w:gridCol w:w="109"/>
        <w:gridCol w:w="1305"/>
        <w:gridCol w:w="1305"/>
        <w:gridCol w:w="184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84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Jay L. Johnson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Jay L. Johnson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Lamar Advertising Company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Lamar Media Corp.</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90425/000119312514417756/d823054dex31.htm" TargetMode="External"/><Relationship Id="rId3" Type="http://schemas.openxmlformats.org/officeDocument/2006/relationships/hyperlink" Target="https://www.sec.gov/Archives/edgar/data/1090425/000119312514417756/d823054dex32.htm" TargetMode="External"/><Relationship Id="rId4" Type="http://schemas.openxmlformats.org/officeDocument/2006/relationships/hyperlink" Target="https://www.sec.gov/Archives/edgar/data/899045/000095013407011105/d46520exv3w2.htm" TargetMode="External"/><Relationship Id="rId5" Type="http://schemas.openxmlformats.org/officeDocument/2006/relationships/hyperlink" Target="https://www.sec.gov/Archives/edgar/data/1090425/000119312514417756/d823054dex33.htm" TargetMode="External"/><Relationship Id="rId6" Type="http://schemas.openxmlformats.org/officeDocument/2006/relationships/hyperlink" Target="https://www.sec.gov/Archives/edgar/data/899045/000095013499009877/0000950134-99-009877.txt" TargetMode="External"/><Relationship Id="rId7" Type="http://schemas.openxmlformats.org/officeDocument/2006/relationships/hyperlink" Target="https://www.sec.gov/Archives/edgar/data/1090425/000119312523058120/d415090dex101.htm" TargetMode="External"/><Relationship Id="rId8" Type="http://schemas.openxmlformats.org/officeDocument/2006/relationships/hyperlink" Target="https://www.sec.gov/Archives/edgar/data/1090425/000119312523058120/d415090dex101.htm" TargetMode="External"/><Relationship Id="rId9" Type="http://schemas.openxmlformats.org/officeDocument/2006/relationships/hyperlink" Target="https://www.sec.gov/Archives/edgar/data/1090425/000119312523058120/d415090dex101.htm" TargetMode="External"/><Relationship Id="rId10" Type="http://schemas.openxmlformats.org/officeDocument/2006/relationships/hyperlink" Target="https://www.sec.gov/Archives/edgar/data/1090425/000119312523058120/d415090dex101.htm" TargetMode="External"/><Relationship Id="rId11" Type="http://schemas.openxmlformats.org/officeDocument/2006/relationships/hyperlink" Target="https://www.sec.gov/Archives/edgar/data/1090425/000119312523058120/d415090dex101.htm" TargetMode="External"/><Relationship Id="rId12" Type="http://schemas.openxmlformats.org/officeDocument/2006/relationships/hyperlink" Target="https://www.sec.gov/Archives/edgar/data/1090425/000119312523058120/d415090dex101.htm" TargetMode="External"/><Relationship Id="rId13" Type="http://schemas.openxmlformats.org/officeDocument/2006/relationships/hyperlink" Target="https://www.sec.gov/Archives/edgar/data/1090425/000119312523058120/d415090dex101.htm" TargetMode="External"/><Relationship Id="rId14" Type="http://schemas.openxmlformats.org/officeDocument/2006/relationships/hyperlink" Target="https://www.sec.gov/Archives/edgar/data/1090425/000119312523058120/d415090dex101.htm" TargetMode="External"/><Relationship Id="rId15" Type="http://schemas.openxmlformats.org/officeDocument/2006/relationships/hyperlink" Target="https://www.sec.gov/Archives/edgar/data/1090425/000119312523058120/d415090dex101.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22794</Words>
  <CharactersWithSpaces>150145</CharactersWithSpaces>
  <Paragraphs>3219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