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w:t>
      </w:r>
    </w:p>
    <w:p>
      <w:pPr>
        <w:spacing w:after="0" w:line="11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September 30, 2024</w:t>
      </w:r>
    </w:p>
    <w:p>
      <w:pPr>
        <w:spacing w:after="0" w:line="53" w:lineRule="exact"/>
        <w:rPr>
          <w:sz w:val="24"/>
          <w:szCs w:val="24"/>
          <w:color w:val="auto"/>
        </w:rPr>
      </w:pPr>
    </w:p>
    <w:tbl>
      <w:tblPr>
        <w:tblLayout w:type="fixed"/>
        <w:tblInd w:w="20" w:type="dxa"/>
        <w:tblCellMar>
          <w:top w:w="0" w:type="dxa"/>
          <w:left w:w="0" w:type="dxa"/>
          <w:bottom w:w="0" w:type="dxa"/>
          <w:right w:w="0" w:type="dxa"/>
        </w:tblCellMar>
      </w:tblPr>
      <w:tr>
        <w:trPr>
          <w:trHeight w:val="166"/>
        </w:trPr>
        <w:tc>
          <w:tcPr>
            <w:tcW w:w="240" w:type="dxa"/>
            <w:vAlign w:val="bottom"/>
          </w:tcPr>
          <w:p>
            <w:pPr>
              <w:spacing w:after="0"/>
              <w:rPr>
                <w:sz w:val="14"/>
                <w:szCs w:val="14"/>
                <w:color w:val="auto"/>
              </w:rPr>
            </w:pPr>
          </w:p>
        </w:tc>
        <w:tc>
          <w:tcPr>
            <w:tcW w:w="5480" w:type="dxa"/>
            <w:vAlign w:val="bottom"/>
          </w:tcPr>
          <w:p>
            <w:pPr>
              <w:ind w:left="5300"/>
              <w:spacing w:after="0"/>
              <w:rPr>
                <w:sz w:val="20"/>
                <w:szCs w:val="20"/>
                <w:color w:val="auto"/>
              </w:rPr>
            </w:pPr>
            <w:r>
              <w:rPr>
                <w:rFonts w:ascii="Times New Roman" w:cs="Times New Roman" w:eastAsia="Times New Roman" w:hAnsi="Times New Roman"/>
                <w:sz w:val="13"/>
                <w:szCs w:val="13"/>
                <w:b w:val="1"/>
                <w:bCs w:val="1"/>
                <w:color w:val="auto"/>
              </w:rPr>
              <w:t>or</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03"/>
        </w:trPr>
        <w:tc>
          <w:tcPr>
            <w:tcW w:w="2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4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52"/>
        </w:trPr>
        <w:tc>
          <w:tcPr>
            <w:tcW w:w="240" w:type="dxa"/>
            <w:vAlign w:val="bottom"/>
          </w:tcPr>
          <w:p>
            <w:pPr>
              <w:spacing w:after="0"/>
              <w:rPr>
                <w:sz w:val="21"/>
                <w:szCs w:val="21"/>
                <w:color w:val="auto"/>
              </w:rPr>
            </w:pPr>
          </w:p>
        </w:tc>
        <w:tc>
          <w:tcPr>
            <w:tcW w:w="5480" w:type="dxa"/>
            <w:vAlign w:val="bottom"/>
          </w:tcPr>
          <w:p>
            <w:pPr>
              <w:ind w:left="3820"/>
              <w:spacing w:after="0"/>
              <w:rPr>
                <w:sz w:val="20"/>
                <w:szCs w:val="20"/>
                <w:color w:val="auto"/>
              </w:rPr>
            </w:pPr>
            <w:r>
              <w:rPr>
                <w:rFonts w:ascii="Times New Roman" w:cs="Times New Roman" w:eastAsia="Times New Roman" w:hAnsi="Times New Roman"/>
                <w:sz w:val="13"/>
                <w:szCs w:val="13"/>
                <w:b w:val="1"/>
                <w:bCs w:val="1"/>
                <w:color w:val="auto"/>
                <w:w w:val="97"/>
              </w:rPr>
              <w:t>For the transition period from</w:t>
            </w:r>
          </w:p>
        </w:tc>
        <w:tc>
          <w:tcPr>
            <w:tcW w:w="620" w:type="dxa"/>
            <w:vAlign w:val="bottom"/>
            <w:tcBorders>
              <w:bottom w:val="single" w:sz="8" w:color="auto"/>
            </w:tcBorders>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w w:val="73"/>
              </w:rPr>
              <w:t>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4150995</wp:posOffset>
            </wp:positionH>
            <wp:positionV relativeFrom="paragraph">
              <wp:posOffset>-8255</wp:posOffset>
            </wp:positionV>
            <wp:extent cx="400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Commission File Number 1-36756</w:t>
      </w:r>
    </w:p>
    <w:p>
      <w:pPr>
        <w:spacing w:after="0" w:line="1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Lamar Advertising Company</w:t>
      </w:r>
    </w:p>
    <w:p>
      <w:pPr>
        <w:spacing w:after="0" w:line="3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________________________________________________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Commission File Number 1-12407</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________________________________________________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Lamar Media Corp.</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(Exact name of registrants as specified in their charters)</w:t>
      </w:r>
    </w:p>
    <w:p>
      <w:pPr>
        <w:spacing w:after="0" w:line="3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166"/>
        </w:trPr>
        <w:tc>
          <w:tcPr>
            <w:tcW w:w="3880" w:type="dxa"/>
            <w:vAlign w:val="bottom"/>
          </w:tcPr>
          <w:p>
            <w:pPr>
              <w:jc w:val="center"/>
              <w:ind w:left="135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740" w:type="dxa"/>
            <w:vAlign w:val="bottom"/>
          </w:tcPr>
          <w:p>
            <w:pPr>
              <w:jc w:val="center"/>
              <w:ind w:right="1577"/>
              <w:spacing w:after="0"/>
              <w:rPr>
                <w:sz w:val="20"/>
                <w:szCs w:val="20"/>
                <w:color w:val="auto"/>
              </w:rPr>
            </w:pPr>
            <w:r>
              <w:rPr>
                <w:rFonts w:ascii="Times New Roman" w:cs="Times New Roman" w:eastAsia="Times New Roman" w:hAnsi="Times New Roman"/>
                <w:sz w:val="13"/>
                <w:szCs w:val="13"/>
                <w:b w:val="1"/>
                <w:bCs w:val="1"/>
                <w:color w:val="auto"/>
                <w:w w:val="98"/>
              </w:rPr>
              <w:t>47-0961620</w:t>
            </w:r>
          </w:p>
        </w:tc>
      </w:tr>
      <w:tr>
        <w:trPr>
          <w:trHeight w:val="175"/>
        </w:trPr>
        <w:tc>
          <w:tcPr>
            <w:tcW w:w="3880" w:type="dxa"/>
            <w:vAlign w:val="bottom"/>
          </w:tcPr>
          <w:p>
            <w:pPr>
              <w:jc w:val="center"/>
              <w:ind w:left="135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40" w:type="dxa"/>
            <w:vAlign w:val="bottom"/>
          </w:tcPr>
          <w:p>
            <w:pPr>
              <w:jc w:val="center"/>
              <w:ind w:right="1577"/>
              <w:spacing w:after="0"/>
              <w:rPr>
                <w:sz w:val="20"/>
                <w:szCs w:val="20"/>
                <w:color w:val="auto"/>
              </w:rPr>
            </w:pPr>
            <w:r>
              <w:rPr>
                <w:rFonts w:ascii="Times New Roman" w:cs="Times New Roman" w:eastAsia="Times New Roman" w:hAnsi="Times New Roman"/>
                <w:sz w:val="13"/>
                <w:szCs w:val="13"/>
                <w:b w:val="1"/>
                <w:bCs w:val="1"/>
                <w:color w:val="auto"/>
                <w:w w:val="98"/>
              </w:rPr>
              <w:t>72-1205791</w:t>
            </w:r>
          </w:p>
        </w:tc>
      </w:tr>
      <w:tr>
        <w:trPr>
          <w:trHeight w:val="175"/>
        </w:trPr>
        <w:tc>
          <w:tcPr>
            <w:tcW w:w="7300" w:type="dxa"/>
            <w:vAlign w:val="bottom"/>
            <w:gridSpan w:val="4"/>
          </w:tcPr>
          <w:p>
            <w:pPr>
              <w:jc w:val="center"/>
              <w:ind w:right="2000"/>
              <w:spacing w:after="0"/>
              <w:rPr>
                <w:sz w:val="20"/>
                <w:szCs w:val="20"/>
                <w:color w:val="auto"/>
              </w:rPr>
            </w:pPr>
            <w:r>
              <w:rPr>
                <w:rFonts w:ascii="Times New Roman" w:cs="Times New Roman" w:eastAsia="Times New Roman" w:hAnsi="Times New Roman"/>
                <w:sz w:val="13"/>
                <w:szCs w:val="13"/>
                <w:b w:val="1"/>
                <w:bCs w:val="1"/>
                <w:i w:val="1"/>
                <w:iCs w:val="1"/>
                <w:color w:val="auto"/>
                <w:w w:val="97"/>
              </w:rPr>
              <w:t>(State or other jurisdiction of incorporation or organization)</w:t>
            </w:r>
          </w:p>
        </w:tc>
        <w:tc>
          <w:tcPr>
            <w:tcW w:w="3740" w:type="dxa"/>
            <w:vAlign w:val="bottom"/>
          </w:tcPr>
          <w:p>
            <w:pPr>
              <w:jc w:val="center"/>
              <w:ind w:right="1557"/>
              <w:spacing w:after="0"/>
              <w:rPr>
                <w:sz w:val="20"/>
                <w:szCs w:val="20"/>
                <w:color w:val="auto"/>
              </w:rPr>
            </w:pPr>
            <w:r>
              <w:rPr>
                <w:rFonts w:ascii="Times New Roman" w:cs="Times New Roman" w:eastAsia="Times New Roman" w:hAnsi="Times New Roman"/>
                <w:sz w:val="13"/>
                <w:szCs w:val="13"/>
                <w:b w:val="1"/>
                <w:bCs w:val="1"/>
                <w:i w:val="1"/>
                <w:iCs w:val="1"/>
                <w:color w:val="auto"/>
                <w:w w:val="96"/>
              </w:rPr>
              <w:t>(I.R.S Employer Identification No.)</w:t>
            </w:r>
          </w:p>
        </w:tc>
      </w:tr>
      <w:tr>
        <w:trPr>
          <w:trHeight w:val="351"/>
        </w:trPr>
        <w:tc>
          <w:tcPr>
            <w:tcW w:w="3880" w:type="dxa"/>
            <w:vAlign w:val="bottom"/>
          </w:tcPr>
          <w:p>
            <w:pPr>
              <w:jc w:val="center"/>
              <w:ind w:left="1337"/>
              <w:spacing w:after="0"/>
              <w:rPr>
                <w:sz w:val="20"/>
                <w:szCs w:val="20"/>
                <w:color w:val="auto"/>
              </w:rPr>
            </w:pPr>
            <w:r>
              <w:rPr>
                <w:rFonts w:ascii="Times New Roman" w:cs="Times New Roman" w:eastAsia="Times New Roman" w:hAnsi="Times New Roman"/>
                <w:sz w:val="13"/>
                <w:szCs w:val="13"/>
                <w:b w:val="1"/>
                <w:bCs w:val="1"/>
                <w:color w:val="auto"/>
                <w:w w:val="97"/>
              </w:rPr>
              <w:t>5321 Corporate Blvd., Baton Rouge, LA</w:t>
            </w:r>
          </w:p>
        </w:tc>
        <w:tc>
          <w:tcPr>
            <w:tcW w:w="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40" w:type="dxa"/>
            <w:vAlign w:val="bottom"/>
          </w:tcPr>
          <w:p>
            <w:pPr>
              <w:jc w:val="center"/>
              <w:ind w:right="1577"/>
              <w:spacing w:after="0"/>
              <w:rPr>
                <w:sz w:val="20"/>
                <w:szCs w:val="20"/>
                <w:color w:val="auto"/>
              </w:rPr>
            </w:pPr>
            <w:r>
              <w:rPr>
                <w:rFonts w:ascii="Times New Roman" w:cs="Times New Roman" w:eastAsia="Times New Roman" w:hAnsi="Times New Roman"/>
                <w:sz w:val="13"/>
                <w:szCs w:val="13"/>
                <w:b w:val="1"/>
                <w:bCs w:val="1"/>
                <w:color w:val="auto"/>
                <w:w w:val="92"/>
              </w:rPr>
              <w:t>70808</w:t>
            </w:r>
          </w:p>
        </w:tc>
      </w:tr>
      <w:tr>
        <w:trPr>
          <w:trHeight w:val="176"/>
        </w:trPr>
        <w:tc>
          <w:tcPr>
            <w:tcW w:w="3880" w:type="dxa"/>
            <w:vAlign w:val="bottom"/>
          </w:tcPr>
          <w:p>
            <w:pPr>
              <w:jc w:val="center"/>
              <w:ind w:left="133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40" w:type="dxa"/>
            <w:vAlign w:val="bottom"/>
          </w:tcPr>
          <w:p>
            <w:pPr>
              <w:jc w:val="center"/>
              <w:ind w:right="157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78"/>
        </w:trPr>
        <w:tc>
          <w:tcPr>
            <w:tcW w:w="3880" w:type="dxa"/>
            <w:vAlign w:val="bottom"/>
          </w:tcPr>
          <w:p>
            <w:pPr>
              <w:spacing w:after="0"/>
              <w:rPr>
                <w:sz w:val="24"/>
                <w:szCs w:val="24"/>
                <w:color w:val="auto"/>
              </w:rPr>
            </w:pPr>
          </w:p>
        </w:tc>
        <w:tc>
          <w:tcPr>
            <w:tcW w:w="342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(225) 926-1000</w:t>
            </w:r>
          </w:p>
        </w:tc>
        <w:tc>
          <w:tcPr>
            <w:tcW w:w="3740" w:type="dxa"/>
            <w:vAlign w:val="bottom"/>
          </w:tcPr>
          <w:p>
            <w:pPr>
              <w:spacing w:after="0"/>
              <w:rPr>
                <w:sz w:val="24"/>
                <w:szCs w:val="24"/>
                <w:color w:val="auto"/>
              </w:rPr>
            </w:pPr>
          </w:p>
        </w:tc>
      </w:tr>
      <w:tr>
        <w:trPr>
          <w:trHeight w:val="189"/>
        </w:trPr>
        <w:tc>
          <w:tcPr>
            <w:tcW w:w="3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3740" w:type="dxa"/>
            <w:vAlign w:val="bottom"/>
          </w:tcPr>
          <w:p>
            <w:pPr>
              <w:spacing w:after="0"/>
              <w:rPr>
                <w:sz w:val="16"/>
                <w:szCs w:val="16"/>
                <w:color w:val="auto"/>
              </w:rPr>
            </w:pPr>
          </w:p>
        </w:tc>
      </w:tr>
      <w:tr>
        <w:trPr>
          <w:trHeight w:val="117"/>
        </w:trPr>
        <w:tc>
          <w:tcPr>
            <w:tcW w:w="38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r>
      <w:tr>
        <w:trPr>
          <w:trHeight w:val="163"/>
        </w:trPr>
        <w:tc>
          <w:tcPr>
            <w:tcW w:w="3880" w:type="dxa"/>
            <w:vAlign w:val="bottom"/>
            <w:tcBorders>
              <w:left w:val="single" w:sz="8" w:color="auto"/>
              <w:bottom w:val="single" w:sz="8" w:color="auto"/>
            </w:tcBorders>
          </w:tcPr>
          <w:p>
            <w:pPr>
              <w:jc w:val="center"/>
              <w:ind w:left="417"/>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48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Symbol(s)</w:t>
            </w:r>
          </w:p>
        </w:tc>
        <w:tc>
          <w:tcPr>
            <w:tcW w:w="6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597"/>
              <w:spacing w:after="0"/>
              <w:rPr>
                <w:sz w:val="20"/>
                <w:szCs w:val="20"/>
                <w:color w:val="auto"/>
              </w:rPr>
            </w:pPr>
            <w:r>
              <w:rPr>
                <w:rFonts w:ascii="Times New Roman" w:cs="Times New Roman" w:eastAsia="Times New Roman" w:hAnsi="Times New Roman"/>
                <w:sz w:val="13"/>
                <w:szCs w:val="13"/>
                <w:color w:val="auto"/>
                <w:w w:val="97"/>
              </w:rPr>
              <w:t>Name of each exchange on which registered</w:t>
            </w:r>
          </w:p>
        </w:tc>
      </w:tr>
      <w:tr>
        <w:trPr>
          <w:trHeight w:val="169"/>
        </w:trPr>
        <w:tc>
          <w:tcPr>
            <w:tcW w:w="3880" w:type="dxa"/>
            <w:vAlign w:val="bottom"/>
            <w:tcBorders>
              <w:left w:val="single" w:sz="8" w:color="auto"/>
              <w:bottom w:val="single" w:sz="8" w:color="auto"/>
            </w:tcBorders>
          </w:tcPr>
          <w:p>
            <w:pPr>
              <w:jc w:val="center"/>
              <w:ind w:left="417"/>
              <w:spacing w:after="0"/>
              <w:rPr>
                <w:sz w:val="20"/>
                <w:szCs w:val="20"/>
                <w:color w:val="auto"/>
              </w:rPr>
            </w:pPr>
            <w:r>
              <w:rPr>
                <w:rFonts w:ascii="Times New Roman" w:cs="Times New Roman" w:eastAsia="Times New Roman" w:hAnsi="Times New Roman"/>
                <w:sz w:val="13"/>
                <w:szCs w:val="13"/>
                <w:color w:val="auto"/>
                <w:w w:val="97"/>
              </w:rPr>
              <w:t>Class A common stock, $0.001 par value</w:t>
            </w:r>
          </w:p>
        </w:tc>
        <w:tc>
          <w:tcPr>
            <w:tcW w:w="48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LAMR</w:t>
            </w:r>
          </w:p>
        </w:tc>
        <w:tc>
          <w:tcPr>
            <w:tcW w:w="6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597"/>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bl>
    <w:p>
      <w:pPr>
        <w:spacing w:after="0" w:line="130"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283" w:lineRule="auto"/>
        <w:rPr>
          <w:sz w:val="20"/>
          <w:szCs w:val="20"/>
          <w:color w:val="auto"/>
        </w:rPr>
      </w:pPr>
      <w:r>
        <w:rPr>
          <w:rFonts w:ascii="Times New Roman" w:cs="Times New Roman" w:eastAsia="Times New Roman" w:hAnsi="Times New Roman"/>
          <w:sz w:val="13"/>
          <w:szCs w:val="13"/>
          <w:color w:val="auto"/>
        </w:rPr>
        <w:t>Indicate by check mark whether Lamar Advertising Company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300" w:type="dxa"/>
            <w:vAlign w:val="bottom"/>
          </w:tcPr>
          <w:p>
            <w:pPr>
              <w:ind w:left="600"/>
              <w:spacing w:after="0"/>
              <w:rPr>
                <w:sz w:val="20"/>
                <w:szCs w:val="20"/>
                <w:color w:val="auto"/>
              </w:rPr>
            </w:pPr>
            <w:r>
              <w:rPr>
                <w:rFonts w:ascii="Wingdings" w:cs="Wingdings" w:eastAsia="Wingdings" w:hAnsi="Wingdings"/>
                <w:sz w:val="13"/>
                <w:szCs w:val="13"/>
                <w:b w:val="1"/>
                <w:bCs w:val="1"/>
                <w:color w:val="auto"/>
              </w:rPr>
              <w:t>x</w:t>
            </w:r>
          </w:p>
        </w:tc>
        <w:tc>
          <w:tcPr>
            <w:tcW w:w="4640" w:type="dxa"/>
            <w:vAlign w:val="bottom"/>
          </w:tcPr>
          <w:p>
            <w:pPr>
              <w:ind w:left="2560"/>
              <w:spacing w:after="0"/>
              <w:rPr>
                <w:sz w:val="20"/>
                <w:szCs w:val="20"/>
                <w:color w:val="auto"/>
              </w:rPr>
            </w:pPr>
            <w:r>
              <w:rPr>
                <w:rFonts w:ascii="Times New Roman" w:cs="Times New Roman" w:eastAsia="Times New Roman" w:hAnsi="Times New Roman"/>
                <w:sz w:val="13"/>
                <w:szCs w:val="13"/>
                <w:color w:val="auto"/>
              </w:rPr>
              <w:t>Accelerated filer</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30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ind w:left="25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30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spacing w:after="0" w:line="126"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3"/>
          <w:szCs w:val="13"/>
          <w:color w:val="auto"/>
        </w:rPr>
        <w:t xml:space="preserve">Indicate by check mark whether Lamar Media Corp.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3"/>
          <w:szCs w:val="13"/>
          <w:color w:val="auto"/>
        </w:rPr>
        <w: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44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740"/>
              <w:spacing w:after="0"/>
              <w:rPr>
                <w:sz w:val="20"/>
                <w:szCs w:val="20"/>
                <w:color w:val="auto"/>
              </w:rPr>
            </w:pPr>
            <w:r>
              <w:rPr>
                <w:rFonts w:ascii="Times New Roman" w:cs="Times New Roman" w:eastAsia="Times New Roman" w:hAnsi="Times New Roman"/>
                <w:sz w:val="13"/>
                <w:szCs w:val="13"/>
                <w:color w:val="auto"/>
              </w:rPr>
              <w:t>Accelerated filer</w:t>
            </w:r>
          </w:p>
        </w:tc>
        <w:tc>
          <w:tcPr>
            <w:tcW w:w="640" w:type="dxa"/>
            <w:vAlign w:val="bottom"/>
          </w:tcPr>
          <w:p>
            <w:pPr>
              <w:ind w:left="5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440" w:type="dxa"/>
            <w:vAlign w:val="bottom"/>
          </w:tcPr>
          <w:p>
            <w:pPr>
              <w:ind w:left="580"/>
              <w:spacing w:after="0"/>
              <w:rPr>
                <w:sz w:val="20"/>
                <w:szCs w:val="20"/>
                <w:color w:val="auto"/>
              </w:rPr>
            </w:pPr>
            <w:r>
              <w:rPr>
                <w:rFonts w:ascii="Wingdings" w:cs="Wingdings" w:eastAsia="Wingdings" w:hAnsi="Wingdings"/>
                <w:sz w:val="13"/>
                <w:szCs w:val="13"/>
                <w:b w:val="1"/>
                <w:bCs w:val="1"/>
                <w:color w:val="auto"/>
              </w:rPr>
              <w:t>x</w:t>
            </w:r>
          </w:p>
        </w:tc>
        <w:tc>
          <w:tcPr>
            <w:tcW w:w="4660" w:type="dxa"/>
            <w:vAlign w:val="bottom"/>
          </w:tcPr>
          <w:p>
            <w:pPr>
              <w:ind w:left="27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40" w:type="dxa"/>
            <w:vAlign w:val="bottom"/>
          </w:tcPr>
          <w:p>
            <w:pPr>
              <w:ind w:left="5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44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spacing w:after="0"/>
              <w:rPr>
                <w:sz w:val="18"/>
                <w:szCs w:val="18"/>
                <w:color w:val="auto"/>
              </w:rPr>
            </w:pPr>
          </w:p>
        </w:tc>
        <w:tc>
          <w:tcPr>
            <w:tcW w:w="640" w:type="dxa"/>
            <w:vAlign w:val="bottom"/>
          </w:tcPr>
          <w:p>
            <w:pPr>
              <w:spacing w:after="0"/>
              <w:rPr>
                <w:sz w:val="18"/>
                <w:szCs w:val="18"/>
                <w:color w:val="auto"/>
              </w:rPr>
            </w:pPr>
          </w:p>
        </w:tc>
      </w:tr>
    </w:tbl>
    <w:p>
      <w:pPr>
        <w:spacing w:after="0" w:line="113"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ectPr>
          <w:pgSz w:w="11900" w:h="16838" w:orient="portrait"/>
          <w:cols w:equalWidth="0" w:num="1">
            <w:col w:w="11240"/>
          </w:cols>
          <w:pgMar w:left="320" w:top="1161" w:right="339" w:bottom="1440" w:gutter="0" w:footer="0" w:header="0"/>
        </w:sectPr>
      </w:pP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Lamar Advertising Company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84"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No </w:t>
      </w:r>
      <w:r>
        <w:rPr>
          <w:rFonts w:ascii="Wingdings" w:cs="Wingdings" w:eastAsia="Wingdings" w:hAnsi="Wingdings"/>
          <w:sz w:val="13"/>
          <w:szCs w:val="13"/>
          <w:b w:val="1"/>
          <w:bCs w:val="1"/>
          <w:color w:val="auto"/>
        </w:rPr>
        <w:t>x</w:t>
      </w:r>
    </w:p>
    <w:p>
      <w:pPr>
        <w:spacing w:after="0" w:line="35" w:lineRule="exact"/>
        <w:rPr>
          <w:sz w:val="24"/>
          <w:szCs w:val="24"/>
          <w:color w:val="auto"/>
        </w:rPr>
      </w:pPr>
    </w:p>
    <w:p>
      <w:pPr>
        <w:sectPr>
          <w:pgSz w:w="11900" w:h="16838" w:orient="portrait"/>
          <w:cols w:equalWidth="0" w:num="4">
            <w:col w:w="6540" w:space="120"/>
            <w:col w:w="200" w:space="60"/>
            <w:col w:w="100" w:space="120"/>
            <w:col w:w="4100"/>
          </w:cols>
          <w:pgMar w:left="320" w:top="1161" w:right="339"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Lamar Media Corp.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No</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x</w:t>
      </w:r>
    </w:p>
    <w:p>
      <w:pPr>
        <w:spacing w:after="0" w:line="50" w:lineRule="exact"/>
        <w:rPr>
          <w:sz w:val="24"/>
          <w:szCs w:val="24"/>
          <w:color w:val="auto"/>
        </w:rPr>
      </w:pPr>
    </w:p>
    <w:p>
      <w:pPr>
        <w:sectPr>
          <w:pgSz w:w="11900" w:h="16838" w:orient="portrait"/>
          <w:cols w:equalWidth="0" w:num="5">
            <w:col w:w="6060" w:space="120"/>
            <w:col w:w="200" w:space="60"/>
            <w:col w:w="100" w:space="120"/>
            <w:col w:w="160" w:space="60"/>
            <w:col w:w="4360"/>
          </w:cols>
          <w:pgMar w:left="320" w:top="116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The number of shares of Lamar Advertising Company’s Class A common stock outstanding as of November 1, 2024: 87,937,722</w:t>
      </w:r>
    </w:p>
    <w:p>
      <w:pPr>
        <w:sectPr>
          <w:pgSz w:w="11900" w:h="16838" w:orient="portrait"/>
          <w:cols w:equalWidth="0" w:num="1">
            <w:col w:w="11240"/>
          </w:cols>
          <w:pgMar w:left="320" w:top="1161" w:right="339" w:bottom="1440" w:gutter="0" w:footer="0" w:header="0"/>
          <w:type w:val="continuous"/>
        </w:sectPr>
      </w:pP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the Lamar Advertising Company’s Class B common stock outstanding as of November 1, 2024: 14,420,085</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Lamar Media Corp. common stock outstanding as of November 1, 2024: 100</w:t>
      </w:r>
    </w:p>
    <w:p>
      <w:pPr>
        <w:spacing w:after="0" w:line="51" w:lineRule="exact"/>
        <w:rPr>
          <w:sz w:val="24"/>
          <w:szCs w:val="24"/>
          <w:color w:val="auto"/>
        </w:rPr>
      </w:pPr>
    </w:p>
    <w:p>
      <w:pPr>
        <w:spacing w:after="0" w:line="295" w:lineRule="auto"/>
        <w:rPr>
          <w:sz w:val="20"/>
          <w:szCs w:val="20"/>
          <w:color w:val="auto"/>
        </w:rPr>
      </w:pPr>
      <w:r>
        <w:rPr>
          <w:rFonts w:ascii="Times New Roman" w:cs="Times New Roman" w:eastAsia="Times New Roman" w:hAnsi="Times New Roman"/>
          <w:sz w:val="13"/>
          <w:szCs w:val="13"/>
          <w:b w:val="1"/>
          <w:bCs w:val="1"/>
          <w:color w:val="auto"/>
        </w:rPr>
        <w:t>This combined Form 10-Q is separately filed by (i) Lamar Advertising Company and (ii) Lamar Media Corp. (which is a wholly owned subsidiary of Lamar Advertising Company). Lamar Media Corp. meets the conditions set forth in general instruction H(1) (a) and (b) of Form 10-Q and is, therefore, filing this form with the reduced disclosure format permitted by such instruction</w:t>
      </w:r>
      <w:r>
        <w:rPr>
          <w:rFonts w:ascii="Times New Roman" w:cs="Times New Roman" w:eastAsia="Times New Roman" w:hAnsi="Times New Roman"/>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w:t>
      </w:r>
    </w:p>
    <w:p>
      <w:pPr>
        <w:spacing w:after="0" w:line="72"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condition;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objectives, prospects, growth and operating strategies;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expenditures and level of acquisition activity;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assets and realize operating efficiency from acquisitions;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opportunities and competitive positions;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cash flows and expected cash requirements;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risks;</w:t>
      </w:r>
    </w:p>
    <w:p>
      <w:pPr>
        <w:spacing w:after="0" w:line="11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applicable covenants and restrictions included in Lamar Media’s senior credit facility, Accounts Receivable Securitization Program and the indentures relating to its outstanding notes;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dividend distributions;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qualified as a Real Estate Investment Trust (“REIT”).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uncertainties and other important factors, including but not limited to the following, any of which may cause the actual results, performance or achievements of Lamar Advertising Company (referred to herein as the “Company” or “Lamar Advertising”) or Lamar Media Corp. (referred to herein as “Lamar Media”) to differ materially from those expressed or implied by the forward-looking statements:</w:t>
      </w:r>
    </w:p>
    <w:p>
      <w:pPr>
        <w:spacing w:after="0" w:line="72" w:lineRule="exact"/>
        <w:rPr>
          <w:sz w:val="20"/>
          <w:szCs w:val="20"/>
          <w:color w:val="auto"/>
        </w:rPr>
      </w:pPr>
    </w:p>
    <w:p>
      <w:pPr>
        <w:ind w:left="13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economy and financial markets generally and their effects on the markets in which we operate and the broader demand for advertising;</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expenditures on advertising in general and outdoor advertising in particular;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relating to our significant indebtedness;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outdoor advertising and its continued popularity as an advertising medium;</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and ability to obtain, additional funding for acquisitions, operations and debt refinancing;</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the outdoor advertising industry;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of the outdoor advertising industry by federal, state and local governments;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expiring contracts at favorable rates;</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businesses and assets that we acquire and our ability to recognize cost savings and operating efficiencies as a result of these acquisitions;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digital deployment strategy;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our Class A common stock;</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or guidelines;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mitigate the threat of and damages caused by hurricanes and other kinds of severe weather;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status as a REIT;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applicable to REITs or in the interpretation of those laws.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report are based on our current good faith beliefs, however, actual results may differ due to inaccurate assumptions, the factors listed above or other foreseeable or unforeseeable factors. Consequently, we cannot guarantee that any of the forward-looking statements will prove to be accurate. The forward-looking statements in this report speak only as of the date of this report, and Lamar Advertising and Lamar Media expressly disclaim any obligation or undertaking to update or revise any forward-looking statement contained in this report, except as required by law.</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 further description of these and other risks and uncertainties, the Company encourages you to read carefully Item 1A to the combined Annual Report on Form 10-K for the year ended December 31, 2023 of the Company and Lamar Media (the “2023 Combined Form 10-K”), filed on February 23, 2024, and as such risk factors may be further updated or supplemented, from time to time, in our future combined Quarterly Reports on Form 10-Q and Current Reports on Form 8-K.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420" w:type="dxa"/>
            <w:vAlign w:val="bottom"/>
            <w:gridSpan w:val="20"/>
            <w:vMerge w:val="restart"/>
          </w:tcPr>
          <w:p>
            <w:pPr>
              <w:spacing w:after="0" w:line="193" w:lineRule="exact"/>
              <w:rPr>
                <w:sz w:val="20"/>
                <w:szCs w:val="20"/>
                <w:color w:val="auto"/>
              </w:rPr>
            </w:pPr>
            <w:r>
              <w:rPr>
                <w:rFonts w:ascii="Times New Roman" w:cs="Times New Roman" w:eastAsia="Times New Roman" w:hAnsi="Times New Roman"/>
                <w:sz w:val="18"/>
                <w:szCs w:val="18"/>
                <w:color w:val="0000FF"/>
              </w:rPr>
              <w:t>PART I — FINANCIAL INFORMATION</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420" w:type="dxa"/>
            <w:vAlign w:val="bottom"/>
            <w:gridSpan w:val="20"/>
            <w:vMerge w:val="continue"/>
          </w:tcPr>
          <w:p>
            <w:pPr>
              <w:spacing w:after="0"/>
              <w:rPr>
                <w:sz w:val="14"/>
                <w:szCs w:val="14"/>
                <w:color w:val="auto"/>
              </w:rPr>
            </w:pPr>
          </w:p>
        </w:tc>
        <w:tc>
          <w:tcPr>
            <w:tcW w:w="7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26"/>
        </w:trPr>
        <w:tc>
          <w:tcPr>
            <w:tcW w:w="30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736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48"/>
        </w:trPr>
        <w:tc>
          <w:tcPr>
            <w:tcW w:w="28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auto"/>
              </w:rPr>
              <w:t>Lamar Advertising Company</w:t>
            </w:r>
          </w:p>
        </w:tc>
        <w:tc>
          <w:tcPr>
            <w:tcW w:w="760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99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Balance Sheets as of September 30, 2024 and December 31, 2023</w:t>
            </w: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and Comprehensive Income for the three and nine months ended September 30, 2024 and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660" w:type="dxa"/>
            <w:vAlign w:val="bottom"/>
            <w:tcBorders>
              <w:top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rPr>
              <w:t>2023</w:t>
            </w:r>
          </w:p>
        </w:tc>
        <w:tc>
          <w:tcPr>
            <w:tcW w:w="1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92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nine months ended September 30, 2024 and 2023</w:t>
            </w:r>
          </w:p>
        </w:tc>
        <w:tc>
          <w:tcPr>
            <w:tcW w:w="740" w:type="dxa"/>
            <w:vAlign w:val="bottom"/>
            <w:gridSpan w:val="2"/>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9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78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140" w:type="dxa"/>
            <w:vAlign w:val="bottom"/>
            <w:gridSpan w:val="4"/>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104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Lamar Media Corp.</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99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Balance Sheets as of September 30, 2024 and December 31, 2023</w:t>
            </w: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and Comprehensive Income for the three and nine months ended September 30, 2024 and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660" w:type="dxa"/>
            <w:vAlign w:val="bottom"/>
            <w:tcBorders>
              <w:top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rPr>
              <w:t>2023</w:t>
            </w:r>
          </w:p>
        </w:tc>
        <w:tc>
          <w:tcPr>
            <w:tcW w:w="1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9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30, 2024 and 2023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91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w:t>
            </w:r>
          </w:p>
        </w:tc>
        <w:tc>
          <w:tcPr>
            <w:tcW w:w="780" w:type="dxa"/>
            <w:vAlign w:val="bottom"/>
            <w:gridSpan w:val="3"/>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78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140" w:type="dxa"/>
            <w:vAlign w:val="bottom"/>
            <w:gridSpan w:val="4"/>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318"/>
        </w:trPr>
        <w:tc>
          <w:tcPr>
            <w:tcW w:w="50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3300" w:type="dxa"/>
            <w:vAlign w:val="bottom"/>
            <w:gridSpan w:val="5"/>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358"/>
        </w:trPr>
        <w:tc>
          <w:tcPr>
            <w:tcW w:w="24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7980" w:type="dxa"/>
            <w:vAlign w:val="bottom"/>
            <w:gridSpan w:val="1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358"/>
        </w:trPr>
        <w:tc>
          <w:tcPr>
            <w:tcW w:w="2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66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358"/>
        </w:trPr>
        <w:tc>
          <w:tcPr>
            <w:tcW w:w="10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400" w:type="dxa"/>
            <w:vAlign w:val="bottom"/>
            <w:gridSpan w:val="8"/>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358"/>
        </w:trPr>
        <w:tc>
          <w:tcPr>
            <w:tcW w:w="10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358"/>
        </w:trPr>
        <w:tc>
          <w:tcPr>
            <w:tcW w:w="12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700" w:type="dxa"/>
            <w:vAlign w:val="bottom"/>
            <w:tcBorders>
              <w:top w:val="single" w:sz="8" w:color="0000FF"/>
            </w:tcBorders>
            <w:gridSpan w:val="2"/>
          </w:tcPr>
          <w:p>
            <w:pPr>
              <w:spacing w:after="0"/>
              <w:rPr>
                <w:sz w:val="24"/>
                <w:szCs w:val="24"/>
                <w:color w:val="auto"/>
              </w:rPr>
            </w:pPr>
          </w:p>
        </w:tc>
        <w:tc>
          <w:tcPr>
            <w:tcW w:w="8440" w:type="dxa"/>
            <w:vAlign w:val="bottom"/>
            <w:gridSpan w:val="14"/>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9"/>
        </w:trPr>
        <w:tc>
          <w:tcPr>
            <w:tcW w:w="800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9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44,605</w:t>
            </w:r>
          </w:p>
        </w:tc>
      </w:tr>
      <w:tr>
        <w:trPr>
          <w:trHeight w:val="195"/>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Receivables, net of allowance for doubtful accounts of $12,379 and $12,477 in 2024 and 2023, respectively</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351,230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301,189</w:t>
            </w: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31,580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27,392</w:t>
            </w:r>
          </w:p>
        </w:tc>
      </w:tr>
      <w:tr>
        <w:trPr>
          <w:trHeight w:val="189"/>
        </w:trPr>
        <w:tc>
          <w:tcPr>
            <w:tcW w:w="80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412,320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373,186</w:t>
            </w:r>
          </w:p>
        </w:tc>
      </w:tr>
      <w:tr>
        <w:trPr>
          <w:trHeight w:val="20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4,334,964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4,274,831</w:t>
            </w:r>
          </w:p>
        </w:tc>
      </w:tr>
      <w:tr>
        <w:trPr>
          <w:trHeight w:val="196"/>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(2,791,041)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(2,708,361)</w:t>
            </w:r>
          </w:p>
        </w:tc>
      </w:tr>
      <w:tr>
        <w:trPr>
          <w:trHeight w:val="196"/>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1,543,923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1,566,470</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jc w:val="both"/>
        <w:ind w:left="20"/>
        <w:spacing w:after="0" w:line="297" w:lineRule="auto"/>
        <w:rPr>
          <w:sz w:val="20"/>
          <w:szCs w:val="20"/>
          <w:color w:val="auto"/>
        </w:rPr>
      </w:pPr>
      <w:r>
        <w:rPr>
          <w:rFonts w:ascii="Times New Roman" w:cs="Times New Roman" w:eastAsia="Times New Roman" w:hAnsi="Times New Roman"/>
          <w:sz w:val="14"/>
          <w:szCs w:val="14"/>
          <w:color w:val="auto"/>
        </w:rPr>
        <w:t>Operating lease right of use assets Financing lease right of use assets Goodwill</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Intangible assets, net</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assets</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560" w:type="dxa"/>
        <w:tblCellMar>
          <w:top w:w="0" w:type="dxa"/>
          <w:left w:w="0" w:type="dxa"/>
          <w:bottom w:w="0" w:type="dxa"/>
          <w:right w:w="0" w:type="dxa"/>
        </w:tblCellMar>
      </w:tblPr>
      <w:tr>
        <w:trPr>
          <w:trHeight w:val="188"/>
        </w:trPr>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1,336,062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1,315,433</w:t>
            </w:r>
          </w:p>
        </w:tc>
      </w:tr>
      <w:tr>
        <w:trPr>
          <w:trHeight w:val="193"/>
        </w:trPr>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11,184</w:t>
            </w:r>
          </w:p>
        </w:tc>
      </w:tr>
      <w:tr>
        <w:trPr>
          <w:trHeight w:val="203"/>
        </w:trPr>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2,035,225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2,035,271</w:t>
            </w:r>
          </w:p>
        </w:tc>
      </w:tr>
      <w:tr>
        <w:trPr>
          <w:trHeight w:val="203"/>
        </w:trPr>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1,086,381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1,171,434</w:t>
            </w:r>
          </w:p>
        </w:tc>
      </w:tr>
      <w:tr>
        <w:trPr>
          <w:trHeight w:val="203"/>
        </w:trPr>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97,113</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90,644</w:t>
            </w:r>
          </w:p>
        </w:tc>
      </w:tr>
      <w:tr>
        <w:trPr>
          <w:trHeight w:val="23"/>
        </w:trPr>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2"/>
        </w:trPr>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6,520,068</w:t>
            </w:r>
          </w:p>
        </w:tc>
        <w:tc>
          <w:tcPr>
            <w:tcW w:w="12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6,563,622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-641985</wp:posOffset>
            </wp:positionV>
            <wp:extent cx="71323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-384810</wp:posOffset>
            </wp:positionV>
            <wp:extent cx="71323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-127635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-85725</wp:posOffset>
            </wp:positionV>
            <wp:extent cx="205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1980" w:space="460"/>
            <w:col w:w="8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 accounts payable</w:t>
            </w: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22,861</w:t>
            </w:r>
          </w:p>
        </w:tc>
        <w:tc>
          <w:tcPr>
            <w:tcW w:w="12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18,238</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maturities of long-term debt, net of deferred financing costs of $212 and $380 in 2024 and 2023, respectively</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250,018</w:t>
            </w:r>
          </w:p>
        </w:tc>
        <w:tc>
          <w:tcPr>
            <w:tcW w:w="0" w:type="dxa"/>
            <w:vAlign w:val="bottom"/>
          </w:tcPr>
          <w:p>
            <w:pPr>
              <w:spacing w:after="0"/>
              <w:rPr>
                <w:sz w:val="1"/>
                <w:szCs w:val="1"/>
                <w:color w:val="auto"/>
              </w:rPr>
            </w:pPr>
          </w:p>
        </w:tc>
      </w:tr>
      <w:tr>
        <w:trPr>
          <w:trHeight w:val="195"/>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183,252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210,568</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financing lease liabilities</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195"/>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110,625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107,195</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w:t>
            </w: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170,660</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126,547</w:t>
            </w:r>
          </w:p>
        </w:tc>
        <w:tc>
          <w:tcPr>
            <w:tcW w:w="0" w:type="dxa"/>
            <w:vAlign w:val="bottom"/>
          </w:tcPr>
          <w:p>
            <w:pPr>
              <w:spacing w:after="0"/>
              <w:rPr>
                <w:sz w:val="1"/>
                <w:szCs w:val="1"/>
                <w:color w:val="auto"/>
              </w:rPr>
            </w:pPr>
          </w:p>
        </w:tc>
      </w:tr>
      <w:tr>
        <w:trPr>
          <w:trHeight w:val="190"/>
        </w:trPr>
        <w:tc>
          <w:tcPr>
            <w:tcW w:w="80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738,730</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713,897</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 of deferred financing costs of $24,204 and $28,865 in 2024 and 2023, respectively</w:t>
            </w: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2,995,705</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3,091,109</w:t>
            </w:r>
          </w:p>
        </w:tc>
        <w:tc>
          <w:tcPr>
            <w:tcW w:w="0" w:type="dxa"/>
            <w:vAlign w:val="bottom"/>
          </w:tcPr>
          <w:p>
            <w:pPr>
              <w:spacing w:after="0"/>
              <w:rPr>
                <w:sz w:val="1"/>
                <w:szCs w:val="1"/>
                <w:color w:val="auto"/>
              </w:rPr>
            </w:pPr>
          </w:p>
        </w:tc>
      </w:tr>
      <w:tr>
        <w:trPr>
          <w:trHeight w:val="19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1,099,721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1,075,285</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lease liabilities</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14,614</w:t>
            </w:r>
          </w:p>
        </w:tc>
        <w:tc>
          <w:tcPr>
            <w:tcW w:w="0" w:type="dxa"/>
            <w:vAlign w:val="bottom"/>
          </w:tcPr>
          <w:p>
            <w:pPr>
              <w:spacing w:after="0"/>
              <w:rPr>
                <w:sz w:val="1"/>
                <w:szCs w:val="1"/>
                <w:color w:val="auto"/>
              </w:rPr>
            </w:pPr>
          </w:p>
        </w:tc>
      </w:tr>
      <w:tr>
        <w:trPr>
          <w:trHeight w:val="19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12,047</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402,472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397,991</w:t>
            </w:r>
          </w:p>
        </w:tc>
        <w:tc>
          <w:tcPr>
            <w:tcW w:w="0" w:type="dxa"/>
            <w:vAlign w:val="bottom"/>
          </w:tcPr>
          <w:p>
            <w:pPr>
              <w:spacing w:after="0"/>
              <w:rPr>
                <w:sz w:val="1"/>
                <w:szCs w:val="1"/>
                <w:color w:val="auto"/>
              </w:rPr>
            </w:pPr>
          </w:p>
        </w:tc>
      </w:tr>
      <w:tr>
        <w:trPr>
          <w:trHeight w:val="196"/>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48,189</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41,891</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w:t>
            </w: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5,307,123</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5,346,834</w:t>
            </w:r>
          </w:p>
        </w:tc>
        <w:tc>
          <w:tcPr>
            <w:tcW w:w="0" w:type="dxa"/>
            <w:vAlign w:val="bottom"/>
          </w:tcPr>
          <w:p>
            <w:pPr>
              <w:spacing w:after="0"/>
              <w:rPr>
                <w:sz w:val="1"/>
                <w:szCs w:val="1"/>
                <w:color w:val="auto"/>
              </w:rPr>
            </w:pPr>
          </w:p>
        </w:tc>
      </w:tr>
      <w:tr>
        <w:trPr>
          <w:trHeight w:val="17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0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Series AA preferred stock, par value $0.001, $63.80 cumulative dividends, 5,720 shares authorized; 5,720 shares issued and</w:t>
            </w:r>
          </w:p>
        </w:tc>
        <w:tc>
          <w:tcPr>
            <w:tcW w:w="5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outstanding at 2024 and 2023</w:t>
            </w:r>
          </w:p>
        </w:tc>
        <w:tc>
          <w:tcPr>
            <w:tcW w:w="5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00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rPr>
              <w:t>Class A common stock, par value $0.001, 362,500,000 shares authorized; 88,828,280 and 88,486,495 shares issued at 2024 and 2023,</w:t>
            </w:r>
          </w:p>
        </w:tc>
        <w:tc>
          <w:tcPr>
            <w:tcW w:w="5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5"/>
        </w:trPr>
        <w:tc>
          <w:tcPr>
            <w:tcW w:w="8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respectively; 87,937,722 and 87,645,560 outstanding at 2024 and 2023, respectively</w:t>
            </w:r>
          </w:p>
        </w:tc>
        <w:tc>
          <w:tcPr>
            <w:tcW w:w="5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B common stock, par value $0.001, 37,500,000 shares authorized, 14,420,085 shares issued and outstanding at 2024 and 2023</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2,152,176</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2,103,282</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comprehensive loss</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195"/>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(866,077)</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(819,235)</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shares held in treasury, 890,558 and 840,935 shares at 2024 and 2023, respectively</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(72,688)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(67,347)</w:t>
            </w:r>
          </w:p>
        </w:tc>
        <w:tc>
          <w:tcPr>
            <w:tcW w:w="0" w:type="dxa"/>
            <w:vAlign w:val="bottom"/>
          </w:tcPr>
          <w:p>
            <w:pPr>
              <w:spacing w:after="0"/>
              <w:rPr>
                <w:sz w:val="1"/>
                <w:szCs w:val="1"/>
                <w:color w:val="auto"/>
              </w:rPr>
            </w:pPr>
          </w:p>
        </w:tc>
      </w:tr>
      <w:tr>
        <w:trPr>
          <w:trHeight w:val="196"/>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Non-controlling interest</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196"/>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Stockholders’ equity</w:t>
            </w: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1,212,945</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1,216,788</w:t>
            </w:r>
          </w:p>
        </w:tc>
        <w:tc>
          <w:tcPr>
            <w:tcW w:w="0" w:type="dxa"/>
            <w:vAlign w:val="bottom"/>
          </w:tcPr>
          <w:p>
            <w:pPr>
              <w:spacing w:after="0"/>
              <w:rPr>
                <w:sz w:val="1"/>
                <w:szCs w:val="1"/>
                <w:color w:val="auto"/>
              </w:rPr>
            </w:pPr>
          </w:p>
        </w:tc>
      </w:tr>
      <w:tr>
        <w:trPr>
          <w:trHeight w:val="203"/>
        </w:trPr>
        <w:tc>
          <w:tcPr>
            <w:tcW w:w="80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6,520,068</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6,563,622</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Income</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564,135</w:t>
            </w:r>
          </w:p>
        </w:tc>
        <w:tc>
          <w:tcPr>
            <w:tcW w:w="1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542,609</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1,627,536</w:t>
            </w:r>
          </w:p>
        </w:tc>
        <w:tc>
          <w:tcPr>
            <w:tcW w:w="1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1,555,078</w:t>
            </w:r>
          </w:p>
        </w:tc>
        <w:tc>
          <w:tcPr>
            <w:tcW w:w="0" w:type="dxa"/>
            <w:vAlign w:val="bottom"/>
          </w:tcPr>
          <w:p>
            <w:pPr>
              <w:spacing w:after="0"/>
              <w:rPr>
                <w:sz w:val="1"/>
                <w:szCs w:val="1"/>
                <w:color w:val="auto"/>
              </w:rPr>
            </w:pPr>
          </w:p>
        </w:tc>
      </w:tr>
      <w:tr>
        <w:trPr>
          <w:trHeight w:val="199"/>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 (income)</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Direct advertising expenses (exclusive of depreciation and amortization)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182,585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541,495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515,403</w:t>
            </w:r>
          </w:p>
        </w:tc>
        <w:tc>
          <w:tcPr>
            <w:tcW w:w="0" w:type="dxa"/>
            <w:vAlign w:val="bottom"/>
          </w:tcPr>
          <w:p>
            <w:pPr>
              <w:spacing w:after="0"/>
              <w:rPr>
                <w:sz w:val="1"/>
                <w:szCs w:val="1"/>
                <w:color w:val="auto"/>
              </w:rPr>
            </w:pPr>
          </w:p>
        </w:tc>
      </w:tr>
      <w:tr>
        <w:trPr>
          <w:trHeight w:val="219"/>
        </w:trPr>
        <w:tc>
          <w:tcPr>
            <w:tcW w:w="5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General and administrative expenses (exclusive of depreciation and amortization)</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91,006</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81,283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268,508</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256,943</w:t>
            </w:r>
          </w:p>
        </w:tc>
        <w:tc>
          <w:tcPr>
            <w:tcW w:w="0" w:type="dxa"/>
            <w:vAlign w:val="bottom"/>
          </w:tcPr>
          <w:p>
            <w:pPr>
              <w:spacing w:after="0"/>
              <w:rPr>
                <w:sz w:val="1"/>
                <w:szCs w:val="1"/>
                <w:color w:val="auto"/>
              </w:rPr>
            </w:pPr>
          </w:p>
        </w:tc>
      </w:tr>
      <w:tr>
        <w:trPr>
          <w:trHeight w:val="213"/>
        </w:trPr>
        <w:tc>
          <w:tcPr>
            <w:tcW w:w="5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Corporate expenses (exclusive of depreciation and amortization)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100,105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81,331</w:t>
            </w:r>
          </w:p>
        </w:tc>
        <w:tc>
          <w:tcPr>
            <w:tcW w:w="0" w:type="dxa"/>
            <w:vAlign w:val="bottom"/>
          </w:tcPr>
          <w:p>
            <w:pPr>
              <w:spacing w:after="0"/>
              <w:rPr>
                <w:sz w:val="1"/>
                <w:szCs w:val="1"/>
                <w:color w:val="auto"/>
              </w:rPr>
            </w:pPr>
          </w:p>
        </w:tc>
      </w:tr>
      <w:tr>
        <w:trPr>
          <w:trHeight w:val="219"/>
        </w:trPr>
        <w:tc>
          <w:tcPr>
            <w:tcW w:w="5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75,112</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74,636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227,531</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222,919</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Gain on disposition of assets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1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(5,486)</w:t>
            </w:r>
          </w:p>
        </w:tc>
        <w:tc>
          <w:tcPr>
            <w:tcW w:w="1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(5,243)</w:t>
            </w:r>
          </w:p>
        </w:tc>
        <w:tc>
          <w:tcPr>
            <w:tcW w:w="0" w:type="dxa"/>
            <w:vAlign w:val="bottom"/>
          </w:tcPr>
          <w:p>
            <w:pPr>
              <w:spacing w:after="0"/>
              <w:rPr>
                <w:sz w:val="1"/>
                <w:szCs w:val="1"/>
                <w:color w:val="auto"/>
              </w:rPr>
            </w:pPr>
          </w:p>
        </w:tc>
      </w:tr>
      <w:tr>
        <w:trPr>
          <w:trHeight w:val="212"/>
        </w:trPr>
        <w:tc>
          <w:tcPr>
            <w:tcW w:w="56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377,579</w:t>
            </w:r>
          </w:p>
        </w:tc>
        <w:tc>
          <w:tcPr>
            <w:tcW w:w="12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354,476</w:t>
            </w: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1,132,153</w:t>
            </w:r>
          </w:p>
        </w:tc>
        <w:tc>
          <w:tcPr>
            <w:tcW w:w="12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1,071,353</w:t>
            </w:r>
          </w:p>
        </w:tc>
        <w:tc>
          <w:tcPr>
            <w:tcW w:w="0" w:type="dxa"/>
            <w:vAlign w:val="bottom"/>
          </w:tcPr>
          <w:p>
            <w:pPr>
              <w:spacing w:after="0"/>
              <w:rPr>
                <w:sz w:val="1"/>
                <w:szCs w:val="1"/>
                <w:color w:val="auto"/>
              </w:rPr>
            </w:pPr>
          </w:p>
        </w:tc>
      </w:tr>
      <w:tr>
        <w:trPr>
          <w:trHeight w:val="207"/>
        </w:trPr>
        <w:tc>
          <w:tcPr>
            <w:tcW w:w="5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186,556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188,133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495,383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483,725</w:t>
            </w:r>
          </w:p>
        </w:tc>
        <w:tc>
          <w:tcPr>
            <w:tcW w:w="0" w:type="dxa"/>
            <w:vAlign w:val="bottom"/>
          </w:tcPr>
          <w:p>
            <w:pPr>
              <w:spacing w:after="0"/>
              <w:rPr>
                <w:sz w:val="1"/>
                <w:szCs w:val="1"/>
                <w:color w:val="auto"/>
              </w:rPr>
            </w:pPr>
          </w:p>
        </w:tc>
      </w:tr>
      <w:tr>
        <w:trPr>
          <w:trHeight w:val="219"/>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0" w:type="dxa"/>
            <w:vAlign w:val="bottom"/>
          </w:tcPr>
          <w:p>
            <w:pPr>
              <w:spacing w:after="0"/>
              <w:rPr>
                <w:sz w:val="1"/>
                <w:szCs w:val="1"/>
                <w:color w:val="auto"/>
              </w:rPr>
            </w:pPr>
          </w:p>
        </w:tc>
      </w:tr>
      <w:tr>
        <w:trPr>
          <w:trHeight w:val="213"/>
        </w:trPr>
        <w:tc>
          <w:tcPr>
            <w:tcW w:w="5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42,937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131,761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130,163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 earnings of investee</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0" w:type="dxa"/>
            <w:vAlign w:val="bottom"/>
          </w:tcPr>
          <w:p>
            <w:pPr>
              <w:spacing w:after="0"/>
              <w:rPr>
                <w:sz w:val="1"/>
                <w:szCs w:val="1"/>
                <w:color w:val="auto"/>
              </w:rPr>
            </w:pPr>
          </w:p>
        </w:tc>
      </w:tr>
      <w:tr>
        <w:trPr>
          <w:trHeight w:val="209"/>
        </w:trPr>
        <w:tc>
          <w:tcPr>
            <w:tcW w:w="56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39,903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43,865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128,243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127,393</w:t>
            </w:r>
          </w:p>
        </w:tc>
        <w:tc>
          <w:tcPr>
            <w:tcW w:w="0" w:type="dxa"/>
            <w:vAlign w:val="bottom"/>
          </w:tcPr>
          <w:p>
            <w:pPr>
              <w:spacing w:after="0"/>
              <w:rPr>
                <w:sz w:val="1"/>
                <w:szCs w:val="1"/>
                <w:color w:val="auto"/>
              </w:rPr>
            </w:pPr>
          </w:p>
        </w:tc>
      </w:tr>
      <w:tr>
        <w:trPr>
          <w:trHeight w:val="21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 (benefit) expense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146,653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367,140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356,332</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3,225</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8,821</w:t>
            </w:r>
          </w:p>
        </w:tc>
        <w:tc>
          <w:tcPr>
            <w:tcW w:w="0" w:type="dxa"/>
            <w:vAlign w:val="bottom"/>
          </w:tcPr>
          <w:p>
            <w:pPr>
              <w:spacing w:after="0"/>
              <w:rPr>
                <w:sz w:val="1"/>
                <w:szCs w:val="1"/>
                <w:color w:val="auto"/>
              </w:rPr>
            </w:pPr>
          </w:p>
        </w:tc>
      </w:tr>
      <w:tr>
        <w:trPr>
          <w:trHeight w:val="21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147,822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363,915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347,511</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0" w:type="dxa"/>
            <w:vAlign w:val="bottom"/>
          </w:tcPr>
          <w:p>
            <w:pPr>
              <w:spacing w:after="0"/>
              <w:rPr>
                <w:sz w:val="1"/>
                <w:szCs w:val="1"/>
                <w:color w:val="auto"/>
              </w:rPr>
            </w:pPr>
          </w:p>
        </w:tc>
      </w:tr>
      <w:tr>
        <w:trPr>
          <w:trHeight w:val="21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controlling interest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147,476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363,066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346,678</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dividends declared and paid on preferred stock</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applicable to common stock</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147,385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139,926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362,793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346,405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dividends declared per share of common stock</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Weighted average common shares used in computing 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102,307,059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101,960,356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102,223,918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101,890,573</w:t>
            </w:r>
          </w:p>
        </w:tc>
        <w:tc>
          <w:tcPr>
            <w:tcW w:w="0" w:type="dxa"/>
            <w:vAlign w:val="bottom"/>
          </w:tcPr>
          <w:p>
            <w:pPr>
              <w:spacing w:after="0"/>
              <w:rPr>
                <w:sz w:val="1"/>
                <w:szCs w:val="1"/>
                <w:color w:val="auto"/>
              </w:rPr>
            </w:pPr>
          </w:p>
        </w:tc>
      </w:tr>
      <w:tr>
        <w:trPr>
          <w:trHeight w:val="213"/>
        </w:trPr>
        <w:tc>
          <w:tcPr>
            <w:tcW w:w="5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102,617,515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102,130,614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102,547,490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102,085,016</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Comprehensive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147,822</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140,425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363,915</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347,511</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1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147,859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363,129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347,269</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controlling interest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147,513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362,280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346,436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2"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1620" w:type="dxa"/>
            <w:vAlign w:val="bottom"/>
          </w:tcPr>
          <w:p>
            <w:pPr>
              <w:spacing w:after="0"/>
              <w:rPr>
                <w:sz w:val="11"/>
                <w:szCs w:val="11"/>
                <w:color w:val="auto"/>
              </w:rPr>
            </w:pPr>
          </w:p>
        </w:tc>
        <w:tc>
          <w:tcPr>
            <w:tcW w:w="720" w:type="dxa"/>
            <w:vAlign w:val="bottom"/>
          </w:tcPr>
          <w:p>
            <w:pPr>
              <w:jc w:val="center"/>
              <w:ind w:left="161"/>
              <w:spacing w:after="0"/>
              <w:rPr>
                <w:sz w:val="20"/>
                <w:szCs w:val="20"/>
                <w:color w:val="auto"/>
              </w:rPr>
            </w:pPr>
            <w:r>
              <w:rPr>
                <w:rFonts w:ascii="Times New Roman" w:cs="Times New Roman" w:eastAsia="Times New Roman" w:hAnsi="Times New Roman"/>
                <w:sz w:val="11"/>
                <w:szCs w:val="11"/>
                <w:b w:val="1"/>
                <w:bCs w:val="1"/>
                <w:color w:val="auto"/>
                <w:w w:val="98"/>
              </w:rPr>
              <w:t>Series AA</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80" w:type="dxa"/>
            <w:vAlign w:val="bottom"/>
          </w:tcPr>
          <w:p>
            <w:pPr>
              <w:spacing w:after="0"/>
              <w:rPr>
                <w:sz w:val="11"/>
                <w:szCs w:val="11"/>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6"/>
              </w:rPr>
              <w:t>Add’l</w:t>
            </w:r>
          </w:p>
        </w:tc>
        <w:tc>
          <w:tcPr>
            <w:tcW w:w="100" w:type="dxa"/>
            <w:vAlign w:val="bottom"/>
          </w:tcPr>
          <w:p>
            <w:pPr>
              <w:spacing w:after="0"/>
              <w:rPr>
                <w:sz w:val="11"/>
                <w:szCs w:val="11"/>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1"/>
                <w:szCs w:val="11"/>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Non-controlling</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720" w:type="dxa"/>
            <w:vAlign w:val="bottom"/>
          </w:tcPr>
          <w:p>
            <w:pPr>
              <w:jc w:val="center"/>
              <w:ind w:left="141"/>
              <w:spacing w:after="0" w:line="108" w:lineRule="exact"/>
              <w:rPr>
                <w:sz w:val="20"/>
                <w:szCs w:val="20"/>
                <w:color w:val="auto"/>
              </w:rPr>
            </w:pPr>
            <w:r>
              <w:rPr>
                <w:rFonts w:ascii="Times New Roman" w:cs="Times New Roman" w:eastAsia="Times New Roman" w:hAnsi="Times New Roman"/>
                <w:sz w:val="11"/>
                <w:szCs w:val="11"/>
                <w:b w:val="1"/>
                <w:bCs w:val="1"/>
                <w:color w:val="auto"/>
                <w:w w:val="97"/>
              </w:rPr>
              <w:t>PREF</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ind w:right="41"/>
              <w:spacing w:after="0" w:line="108" w:lineRule="exact"/>
              <w:rPr>
                <w:sz w:val="20"/>
                <w:szCs w:val="20"/>
                <w:color w:val="auto"/>
              </w:rPr>
            </w:pPr>
            <w:r>
              <w:rPr>
                <w:rFonts w:ascii="Times New Roman" w:cs="Times New Roman" w:eastAsia="Times New Roman" w:hAnsi="Times New Roman"/>
                <w:sz w:val="11"/>
                <w:szCs w:val="11"/>
                <w:b w:val="1"/>
                <w:bCs w:val="1"/>
                <w:color w:val="auto"/>
              </w:rPr>
              <w:t>CMN</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ind w:right="41"/>
              <w:spacing w:after="0" w:line="108" w:lineRule="exact"/>
              <w:rPr>
                <w:sz w:val="20"/>
                <w:szCs w:val="20"/>
                <w:color w:val="auto"/>
              </w:rPr>
            </w:pPr>
            <w:r>
              <w:rPr>
                <w:rFonts w:ascii="Times New Roman" w:cs="Times New Roman" w:eastAsia="Times New Roman" w:hAnsi="Times New Roman"/>
                <w:sz w:val="11"/>
                <w:szCs w:val="11"/>
                <w:b w:val="1"/>
                <w:bCs w:val="1"/>
                <w:color w:val="auto"/>
              </w:rPr>
              <w:t>CMN</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Paid in</w:t>
            </w:r>
          </w:p>
        </w:tc>
        <w:tc>
          <w:tcPr>
            <w:tcW w:w="10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vMerge w:val="restart"/>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720" w:type="dxa"/>
            <w:vAlign w:val="bottom"/>
          </w:tcPr>
          <w:p>
            <w:pPr>
              <w:jc w:val="center"/>
              <w:ind w:left="161"/>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41"/>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41"/>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80" w:type="dxa"/>
            <w:vAlign w:val="bottom"/>
          </w:tcPr>
          <w:p>
            <w:pPr>
              <w:spacing w:after="0"/>
              <w:rPr>
                <w:sz w:val="13"/>
                <w:szCs w:val="13"/>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interest</w:t>
            </w: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December 31, 2023</w:t>
            </w:r>
          </w:p>
        </w:tc>
        <w:tc>
          <w:tcPr>
            <w:tcW w:w="720" w:type="dxa"/>
            <w:vAlign w:val="bottom"/>
            <w:tcBorders>
              <w:top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(67,347)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2,103,282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(819,235)</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414</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1,216,788</w:t>
            </w:r>
          </w:p>
        </w:tc>
        <w:tc>
          <w:tcPr>
            <w:tcW w:w="0" w:type="dxa"/>
            <w:vAlign w:val="bottom"/>
          </w:tcPr>
          <w:p>
            <w:pPr>
              <w:spacing w:after="0"/>
              <w:rPr>
                <w:sz w:val="1"/>
                <w:szCs w:val="1"/>
                <w:color w:val="auto"/>
              </w:rPr>
            </w:pPr>
          </w:p>
        </w:tc>
      </w:tr>
      <w:tr>
        <w:trPr>
          <w:trHeight w:val="170"/>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Non-cash compensation</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2,745</w:t>
            </w:r>
          </w:p>
        </w:tc>
        <w:tc>
          <w:tcPr>
            <w:tcW w:w="0" w:type="dxa"/>
            <w:vAlign w:val="bottom"/>
          </w:tcPr>
          <w:p>
            <w:pPr>
              <w:spacing w:after="0"/>
              <w:rPr>
                <w:sz w:val="1"/>
                <w:szCs w:val="1"/>
                <w:color w:val="auto"/>
              </w:rPr>
            </w:pPr>
          </w:p>
        </w:tc>
      </w:tr>
      <w:tr>
        <w:trPr>
          <w:trHeight w:val="127"/>
        </w:trPr>
        <w:tc>
          <w:tcPr>
            <w:tcW w:w="1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Issuance of 137,350 shares of</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rPr>
              <w:t>common stock through</w:t>
            </w: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 awards</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17,869</w:t>
            </w:r>
          </w:p>
        </w:tc>
        <w:tc>
          <w:tcPr>
            <w:tcW w:w="0" w:type="dxa"/>
            <w:vAlign w:val="bottom"/>
          </w:tcPr>
          <w:p>
            <w:pPr>
              <w:spacing w:after="0"/>
              <w:rPr>
                <w:sz w:val="1"/>
                <w:szCs w:val="1"/>
                <w:color w:val="auto"/>
              </w:rPr>
            </w:pPr>
          </w:p>
        </w:tc>
      </w:tr>
      <w:tr>
        <w:trPr>
          <w:trHeight w:val="122"/>
        </w:trPr>
        <w:tc>
          <w:tcPr>
            <w:tcW w:w="16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Exercise of 47,000 shares of</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options</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3,415</w:t>
            </w: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Issuance of 40,322 shares of</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rPr>
              <w:t>common stock through</w:t>
            </w: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employee purchase plan</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3,652</w:t>
            </w:r>
          </w:p>
        </w:tc>
        <w:tc>
          <w:tcPr>
            <w:tcW w:w="0" w:type="dxa"/>
            <w:vAlign w:val="bottom"/>
          </w:tcPr>
          <w:p>
            <w:pPr>
              <w:spacing w:after="0"/>
              <w:rPr>
                <w:sz w:val="1"/>
                <w:szCs w:val="1"/>
                <w:color w:val="auto"/>
              </w:rPr>
            </w:pPr>
          </w:p>
        </w:tc>
      </w:tr>
      <w:tr>
        <w:trPr>
          <w:trHeight w:val="122"/>
        </w:trPr>
        <w:tc>
          <w:tcPr>
            <w:tcW w:w="16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Purchase of 49,623 shares of</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treasury stock</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(5,341)</w:t>
            </w: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0" w:type="dxa"/>
            <w:vAlign w:val="bottom"/>
          </w:tcPr>
          <w:p>
            <w:pPr>
              <w:spacing w:after="0"/>
              <w:rPr>
                <w:sz w:val="1"/>
                <w:szCs w:val="1"/>
                <w:color w:val="auto"/>
              </w:rPr>
            </w:pPr>
          </w:p>
        </w:tc>
      </w:tr>
      <w:tr>
        <w:trPr>
          <w:trHeight w:val="170"/>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275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78,499</w:t>
            </w:r>
          </w:p>
        </w:tc>
        <w:tc>
          <w:tcPr>
            <w:tcW w:w="0" w:type="dxa"/>
            <w:vAlign w:val="bottom"/>
          </w:tcPr>
          <w:p>
            <w:pPr>
              <w:spacing w:after="0"/>
              <w:rPr>
                <w:sz w:val="1"/>
                <w:szCs w:val="1"/>
                <w:color w:val="auto"/>
              </w:rPr>
            </w:pPr>
          </w:p>
        </w:tc>
      </w:tr>
      <w:tr>
        <w:trPr>
          <w:trHeight w:val="181"/>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Reallocation of capital</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1,018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6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Dividends ($1.30 per common</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rPr>
              <w:t>share) and other</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distributions</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(133,028)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(133,507)</w:t>
            </w: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Dividends ($15.95 per</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preferred share)</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63"/>
        </w:trPr>
        <w:tc>
          <w:tcPr>
            <w:tcW w:w="1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Balance, March 31, 2024</w:t>
            </w:r>
          </w:p>
        </w:tc>
        <w:tc>
          <w:tcPr>
            <w:tcW w:w="72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Borders>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(72,688)</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2,129,944</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(874,130)</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1,228</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1,183,637</w:t>
            </w:r>
          </w:p>
        </w:tc>
        <w:tc>
          <w:tcPr>
            <w:tcW w:w="0" w:type="dxa"/>
            <w:vAlign w:val="bottom"/>
          </w:tcPr>
          <w:p>
            <w:pPr>
              <w:spacing w:after="0"/>
              <w:rPr>
                <w:sz w:val="1"/>
                <w:szCs w:val="1"/>
                <w:color w:val="auto"/>
              </w:rPr>
            </w:pPr>
          </w:p>
        </w:tc>
      </w:tr>
      <w:tr>
        <w:trPr>
          <w:trHeight w:val="175"/>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Non-cash compensation</w:t>
            </w: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5,821</w:t>
            </w:r>
          </w:p>
        </w:tc>
        <w:tc>
          <w:tcPr>
            <w:tcW w:w="0" w:type="dxa"/>
            <w:vAlign w:val="bottom"/>
          </w:tcPr>
          <w:p>
            <w:pPr>
              <w:spacing w:after="0"/>
              <w:rPr>
                <w:sz w:val="1"/>
                <w:szCs w:val="1"/>
                <w:color w:val="auto"/>
              </w:rPr>
            </w:pPr>
          </w:p>
        </w:tc>
      </w:tr>
      <w:tr>
        <w:trPr>
          <w:trHeight w:val="122"/>
        </w:trPr>
        <w:tc>
          <w:tcPr>
            <w:tcW w:w="16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Issuance of 5,652 shares of</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rPr>
              <w:t>common stock through</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awards</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w:t>
            </w:r>
          </w:p>
        </w:tc>
        <w:tc>
          <w:tcPr>
            <w:tcW w:w="0" w:type="dxa"/>
            <w:vAlign w:val="bottom"/>
          </w:tcPr>
          <w:p>
            <w:pPr>
              <w:spacing w:after="0"/>
              <w:rPr>
                <w:sz w:val="1"/>
                <w:szCs w:val="1"/>
                <w:color w:val="auto"/>
              </w:rPr>
            </w:pPr>
          </w:p>
        </w:tc>
      </w:tr>
      <w:tr>
        <w:trPr>
          <w:trHeight w:val="130"/>
        </w:trPr>
        <w:tc>
          <w:tcPr>
            <w:tcW w:w="16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Exercise of 18,475 shares of</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 options</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w:t>
            </w:r>
          </w:p>
        </w:tc>
        <w:tc>
          <w:tcPr>
            <w:tcW w:w="0" w:type="dxa"/>
            <w:vAlign w:val="bottom"/>
          </w:tcPr>
          <w:p>
            <w:pPr>
              <w:spacing w:after="0"/>
              <w:rPr>
                <w:sz w:val="1"/>
                <w:szCs w:val="1"/>
                <w:color w:val="auto"/>
              </w:rPr>
            </w:pPr>
          </w:p>
        </w:tc>
      </w:tr>
      <w:tr>
        <w:trPr>
          <w:trHeight w:val="122"/>
        </w:trPr>
        <w:tc>
          <w:tcPr>
            <w:tcW w:w="16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Issuance of 30,337 shares of</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rPr>
              <w:t>common stock through</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employee purchase plan</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2,748</w:t>
            </w:r>
          </w:p>
        </w:tc>
        <w:tc>
          <w:tcPr>
            <w:tcW w:w="0" w:type="dxa"/>
            <w:vAlign w:val="bottom"/>
          </w:tcPr>
          <w:p>
            <w:pPr>
              <w:spacing w:after="0"/>
              <w:rPr>
                <w:sz w:val="1"/>
                <w:szCs w:val="1"/>
                <w:color w:val="auto"/>
              </w:rPr>
            </w:pPr>
          </w:p>
        </w:tc>
      </w:tr>
      <w:tr>
        <w:trPr>
          <w:trHeight w:val="184"/>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0" w:type="dxa"/>
            <w:vAlign w:val="bottom"/>
          </w:tcPr>
          <w:p>
            <w:pPr>
              <w:spacing w:after="0"/>
              <w:rPr>
                <w:sz w:val="1"/>
                <w:szCs w:val="1"/>
                <w:color w:val="auto"/>
              </w:rPr>
            </w:pPr>
          </w:p>
        </w:tc>
      </w:tr>
      <w:tr>
        <w:trPr>
          <w:trHeight w:val="170"/>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137,594</w:t>
            </w:r>
          </w:p>
        </w:tc>
        <w:tc>
          <w:tcPr>
            <w:tcW w:w="0" w:type="dxa"/>
            <w:vAlign w:val="bottom"/>
          </w:tcPr>
          <w:p>
            <w:pPr>
              <w:spacing w:after="0"/>
              <w:rPr>
                <w:sz w:val="1"/>
                <w:szCs w:val="1"/>
                <w:color w:val="auto"/>
              </w:rPr>
            </w:pPr>
          </w:p>
        </w:tc>
      </w:tr>
      <w:tr>
        <w:trPr>
          <w:trHeight w:val="127"/>
        </w:trPr>
        <w:tc>
          <w:tcPr>
            <w:tcW w:w="1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Dividends ($1.30 per common</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rPr>
              <w:t>share) and other</w:t>
            </w: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distributions</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(133,116)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(133,333)</w:t>
            </w:r>
          </w:p>
        </w:tc>
        <w:tc>
          <w:tcPr>
            <w:tcW w:w="0" w:type="dxa"/>
            <w:vAlign w:val="bottom"/>
          </w:tcPr>
          <w:p>
            <w:pPr>
              <w:spacing w:after="0"/>
              <w:rPr>
                <w:sz w:val="1"/>
                <w:szCs w:val="1"/>
                <w:color w:val="auto"/>
              </w:rPr>
            </w:pPr>
          </w:p>
        </w:tc>
      </w:tr>
      <w:tr>
        <w:trPr>
          <w:trHeight w:val="122"/>
        </w:trPr>
        <w:tc>
          <w:tcPr>
            <w:tcW w:w="16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Dividends ($15.95 per</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preferred share)</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75"/>
        </w:trPr>
        <w:tc>
          <w:tcPr>
            <w:tcW w:w="1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June 30, 2024</w:t>
            </w:r>
          </w:p>
        </w:tc>
        <w:tc>
          <w:tcPr>
            <w:tcW w:w="72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(72,688)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2,140,977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(869,971)</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1,239</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1,198,409</w:t>
            </w:r>
          </w:p>
        </w:tc>
        <w:tc>
          <w:tcPr>
            <w:tcW w:w="0" w:type="dxa"/>
            <w:vAlign w:val="bottom"/>
          </w:tcPr>
          <w:p>
            <w:pPr>
              <w:spacing w:after="0"/>
              <w:rPr>
                <w:sz w:val="1"/>
                <w:szCs w:val="1"/>
                <w:color w:val="auto"/>
              </w:rPr>
            </w:pPr>
          </w:p>
        </w:tc>
      </w:tr>
      <w:tr>
        <w:trPr>
          <w:trHeight w:val="163"/>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Non-cash compensation</w:t>
            </w:r>
          </w:p>
        </w:tc>
        <w:tc>
          <w:tcPr>
            <w:tcW w:w="7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5,520</w:t>
            </w:r>
          </w:p>
        </w:tc>
        <w:tc>
          <w:tcPr>
            <w:tcW w:w="0" w:type="dxa"/>
            <w:vAlign w:val="bottom"/>
          </w:tcPr>
          <w:p>
            <w:pPr>
              <w:spacing w:after="0"/>
              <w:rPr>
                <w:sz w:val="1"/>
                <w:szCs w:val="1"/>
                <w:color w:val="auto"/>
              </w:rPr>
            </w:pPr>
          </w:p>
        </w:tc>
      </w:tr>
      <w:tr>
        <w:trPr>
          <w:trHeight w:val="127"/>
        </w:trPr>
        <w:tc>
          <w:tcPr>
            <w:tcW w:w="1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Exercise of 34,850 shares of</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 options</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2,891</w:t>
            </w:r>
          </w:p>
        </w:tc>
        <w:tc>
          <w:tcPr>
            <w:tcW w:w="0" w:type="dxa"/>
            <w:vAlign w:val="bottom"/>
          </w:tcPr>
          <w:p>
            <w:pPr>
              <w:spacing w:after="0"/>
              <w:rPr>
                <w:sz w:val="1"/>
                <w:szCs w:val="1"/>
                <w:color w:val="auto"/>
              </w:rPr>
            </w:pPr>
          </w:p>
        </w:tc>
      </w:tr>
      <w:tr>
        <w:trPr>
          <w:trHeight w:val="121"/>
        </w:trPr>
        <w:tc>
          <w:tcPr>
            <w:tcW w:w="16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Issuance of 27,799 shares of</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rPr>
              <w:t>common stock through</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employee purchase plan</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2,788</w:t>
            </w: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70"/>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147,476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346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147,822</w:t>
            </w:r>
          </w:p>
        </w:tc>
        <w:tc>
          <w:tcPr>
            <w:tcW w:w="0" w:type="dxa"/>
            <w:vAlign w:val="bottom"/>
          </w:tcPr>
          <w:p>
            <w:pPr>
              <w:spacing w:after="0"/>
              <w:rPr>
                <w:sz w:val="1"/>
                <w:szCs w:val="1"/>
                <w:color w:val="auto"/>
              </w:rPr>
            </w:pPr>
          </w:p>
        </w:tc>
      </w:tr>
      <w:tr>
        <w:trPr>
          <w:trHeight w:val="127"/>
        </w:trPr>
        <w:tc>
          <w:tcPr>
            <w:tcW w:w="1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Dividends ($1.40 per common</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rPr>
              <w:t>share) and other</w:t>
            </w: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distributions</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(143,491)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(144,431)</w:t>
            </w:r>
          </w:p>
        </w:tc>
        <w:tc>
          <w:tcPr>
            <w:tcW w:w="0" w:type="dxa"/>
            <w:vAlign w:val="bottom"/>
          </w:tcPr>
          <w:p>
            <w:pPr>
              <w:spacing w:after="0"/>
              <w:rPr>
                <w:sz w:val="1"/>
                <w:szCs w:val="1"/>
                <w:color w:val="auto"/>
              </w:rPr>
            </w:pPr>
          </w:p>
        </w:tc>
      </w:tr>
      <w:tr>
        <w:trPr>
          <w:trHeight w:val="122"/>
        </w:trPr>
        <w:tc>
          <w:tcPr>
            <w:tcW w:w="16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Dividends ($15.95 per</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preferred share)</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200"/>
        </w:trPr>
        <w:tc>
          <w:tcPr>
            <w:tcW w:w="1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September 30, 2024</w:t>
            </w:r>
          </w:p>
        </w:tc>
        <w:tc>
          <w:tcPr>
            <w:tcW w:w="72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2,152,176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(866,077)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645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1,212,945</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640" w:type="dxa"/>
            <w:vAlign w:val="bottom"/>
          </w:tcPr>
          <w:p>
            <w:pPr>
              <w:spacing w:after="0"/>
              <w:rPr>
                <w:sz w:val="11"/>
                <w:szCs w:val="11"/>
                <w:color w:val="auto"/>
              </w:rPr>
            </w:pPr>
          </w:p>
        </w:tc>
        <w:tc>
          <w:tcPr>
            <w:tcW w:w="720" w:type="dxa"/>
            <w:vAlign w:val="bottom"/>
          </w:tcPr>
          <w:p>
            <w:pPr>
              <w:jc w:val="center"/>
              <w:ind w:left="161"/>
              <w:spacing w:after="0"/>
              <w:rPr>
                <w:sz w:val="20"/>
                <w:szCs w:val="20"/>
                <w:color w:val="auto"/>
              </w:rPr>
            </w:pPr>
            <w:r>
              <w:rPr>
                <w:rFonts w:ascii="Times New Roman" w:cs="Times New Roman" w:eastAsia="Times New Roman" w:hAnsi="Times New Roman"/>
                <w:sz w:val="11"/>
                <w:szCs w:val="11"/>
                <w:b w:val="1"/>
                <w:bCs w:val="1"/>
                <w:color w:val="auto"/>
                <w:w w:val="98"/>
              </w:rPr>
              <w:t>Series AA</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200" w:type="dxa"/>
            <w:vAlign w:val="bottom"/>
          </w:tcPr>
          <w:p>
            <w:pPr>
              <w:spacing w:after="0"/>
              <w:rPr>
                <w:sz w:val="11"/>
                <w:szCs w:val="11"/>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6"/>
              </w:rPr>
              <w:t>Add’l</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Non-controlling</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720" w:type="dxa"/>
            <w:vAlign w:val="bottom"/>
          </w:tcPr>
          <w:p>
            <w:pPr>
              <w:jc w:val="center"/>
              <w:ind w:left="141"/>
              <w:spacing w:after="0" w:line="108" w:lineRule="exact"/>
              <w:rPr>
                <w:sz w:val="20"/>
                <w:szCs w:val="20"/>
                <w:color w:val="auto"/>
              </w:rPr>
            </w:pPr>
            <w:r>
              <w:rPr>
                <w:rFonts w:ascii="Times New Roman" w:cs="Times New Roman" w:eastAsia="Times New Roman" w:hAnsi="Times New Roman"/>
                <w:sz w:val="11"/>
                <w:szCs w:val="11"/>
                <w:b w:val="1"/>
                <w:bCs w:val="1"/>
                <w:color w:val="auto"/>
                <w:w w:val="97"/>
              </w:rPr>
              <w:t>PREF</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ind w:right="41"/>
              <w:spacing w:after="0" w:line="108" w:lineRule="exact"/>
              <w:rPr>
                <w:sz w:val="20"/>
                <w:szCs w:val="20"/>
                <w:color w:val="auto"/>
              </w:rPr>
            </w:pPr>
            <w:r>
              <w:rPr>
                <w:rFonts w:ascii="Times New Roman" w:cs="Times New Roman" w:eastAsia="Times New Roman" w:hAnsi="Times New Roman"/>
                <w:sz w:val="11"/>
                <w:szCs w:val="11"/>
                <w:b w:val="1"/>
                <w:bCs w:val="1"/>
                <w:color w:val="auto"/>
              </w:rPr>
              <w:t>CMN</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ind w:right="41"/>
              <w:spacing w:after="0" w:line="108" w:lineRule="exact"/>
              <w:rPr>
                <w:sz w:val="20"/>
                <w:szCs w:val="20"/>
                <w:color w:val="auto"/>
              </w:rPr>
            </w:pPr>
            <w:r>
              <w:rPr>
                <w:rFonts w:ascii="Times New Roman" w:cs="Times New Roman" w:eastAsia="Times New Roman" w:hAnsi="Times New Roman"/>
                <w:sz w:val="11"/>
                <w:szCs w:val="11"/>
                <w:b w:val="1"/>
                <w:bCs w:val="1"/>
                <w:color w:val="auto"/>
              </w:rPr>
              <w:t>CMN</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1"/>
                <w:szCs w:val="11"/>
                <w:b w:val="1"/>
                <w:bCs w:val="1"/>
                <w:color w:val="auto"/>
              </w:rPr>
              <w:t>Paid in</w:t>
            </w:r>
          </w:p>
        </w:tc>
        <w:tc>
          <w:tcPr>
            <w:tcW w:w="10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vMerge w:val="restart"/>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1640" w:type="dxa"/>
            <w:vAlign w:val="bottom"/>
          </w:tcPr>
          <w:p>
            <w:pPr>
              <w:spacing w:after="0"/>
              <w:rPr>
                <w:sz w:val="13"/>
                <w:szCs w:val="13"/>
                <w:color w:val="auto"/>
              </w:rPr>
            </w:pPr>
          </w:p>
        </w:tc>
        <w:tc>
          <w:tcPr>
            <w:tcW w:w="720" w:type="dxa"/>
            <w:vAlign w:val="bottom"/>
          </w:tcPr>
          <w:p>
            <w:pPr>
              <w:jc w:val="center"/>
              <w:ind w:left="161"/>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41"/>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41"/>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00" w:type="dxa"/>
            <w:vAlign w:val="bottom"/>
          </w:tcPr>
          <w:p>
            <w:pPr>
              <w:spacing w:after="0"/>
              <w:rPr>
                <w:sz w:val="13"/>
                <w:szCs w:val="13"/>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12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interest</w:t>
            </w: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720" w:type="dxa"/>
            <w:vAlign w:val="bottom"/>
            <w:tcBorders>
              <w:top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(61,358)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2,061,671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(804,382)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1,195,374</w:t>
            </w:r>
          </w:p>
        </w:tc>
        <w:tc>
          <w:tcPr>
            <w:tcW w:w="0" w:type="dxa"/>
            <w:vAlign w:val="bottom"/>
          </w:tcPr>
          <w:p>
            <w:pPr>
              <w:spacing w:after="0"/>
              <w:rPr>
                <w:sz w:val="1"/>
                <w:szCs w:val="1"/>
                <w:color w:val="auto"/>
              </w:rPr>
            </w:pPr>
          </w:p>
        </w:tc>
      </w:tr>
      <w:tr>
        <w:trPr>
          <w:trHeight w:val="170"/>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Non-cash compensation</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3,305</w:t>
            </w:r>
          </w:p>
        </w:tc>
        <w:tc>
          <w:tcPr>
            <w:tcW w:w="0" w:type="dxa"/>
            <w:vAlign w:val="bottom"/>
          </w:tcPr>
          <w:p>
            <w:pPr>
              <w:spacing w:after="0"/>
              <w:rPr>
                <w:sz w:val="1"/>
                <w:szCs w:val="1"/>
                <w:color w:val="auto"/>
              </w:rPr>
            </w:pPr>
          </w:p>
        </w:tc>
      </w:tr>
      <w:tr>
        <w:trPr>
          <w:trHeight w:val="127"/>
        </w:trPr>
        <w:tc>
          <w:tcPr>
            <w:tcW w:w="16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Issuance of 161,050 shares of</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common stock through</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 awards</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15,934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15,934</w:t>
            </w:r>
          </w:p>
        </w:tc>
        <w:tc>
          <w:tcPr>
            <w:tcW w:w="0" w:type="dxa"/>
            <w:vAlign w:val="bottom"/>
          </w:tcPr>
          <w:p>
            <w:pPr>
              <w:spacing w:after="0"/>
              <w:rPr>
                <w:sz w:val="1"/>
                <w:szCs w:val="1"/>
                <w:color w:val="auto"/>
              </w:rPr>
            </w:pPr>
          </w:p>
        </w:tc>
      </w:tr>
      <w:tr>
        <w:trPr>
          <w:trHeight w:val="121"/>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Exercise of 10,595 shares of</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 options</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0" w:type="dxa"/>
            <w:vAlign w:val="bottom"/>
          </w:tcPr>
          <w:p>
            <w:pPr>
              <w:spacing w:after="0"/>
              <w:rPr>
                <w:sz w:val="1"/>
                <w:szCs w:val="1"/>
                <w:color w:val="auto"/>
              </w:rPr>
            </w:pPr>
          </w:p>
        </w:tc>
      </w:tr>
      <w:tr>
        <w:trPr>
          <w:trHeight w:val="129"/>
        </w:trPr>
        <w:tc>
          <w:tcPr>
            <w:tcW w:w="16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Issuance of 45,232 shares of</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common stock through</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employee purchase plan</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0" w:type="dxa"/>
            <w:vAlign w:val="bottom"/>
          </w:tcPr>
          <w:p>
            <w:pPr>
              <w:spacing w:after="0"/>
              <w:rPr>
                <w:sz w:val="1"/>
                <w:szCs w:val="1"/>
                <w:color w:val="auto"/>
              </w:rPr>
            </w:pPr>
          </w:p>
        </w:tc>
      </w:tr>
      <w:tr>
        <w:trPr>
          <w:trHeight w:val="121"/>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Purchase of 56,808 shares of</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treasury stock</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(5,946)</w:t>
            </w:r>
          </w:p>
        </w:tc>
        <w:tc>
          <w:tcPr>
            <w:tcW w:w="0" w:type="dxa"/>
            <w:vAlign w:val="bottom"/>
          </w:tcPr>
          <w:p>
            <w:pPr>
              <w:spacing w:after="0"/>
              <w:rPr>
                <w:sz w:val="1"/>
                <w:szCs w:val="1"/>
                <w:color w:val="auto"/>
              </w:rPr>
            </w:pPr>
          </w:p>
        </w:tc>
      </w:tr>
      <w:tr>
        <w:trPr>
          <w:trHeight w:val="183"/>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0"/>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76,198</w:t>
            </w:r>
          </w:p>
        </w:tc>
        <w:tc>
          <w:tcPr>
            <w:tcW w:w="0" w:type="dxa"/>
            <w:vAlign w:val="bottom"/>
          </w:tcPr>
          <w:p>
            <w:pPr>
              <w:spacing w:after="0"/>
              <w:rPr>
                <w:sz w:val="1"/>
                <w:szCs w:val="1"/>
                <w:color w:val="auto"/>
              </w:rPr>
            </w:pPr>
          </w:p>
        </w:tc>
      </w:tr>
      <w:tr>
        <w:trPr>
          <w:trHeight w:val="181"/>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Reallocation of capital</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0" w:type="dxa"/>
            <w:vAlign w:val="bottom"/>
          </w:tcPr>
          <w:p>
            <w:pPr>
              <w:spacing w:after="0"/>
              <w:rPr>
                <w:sz w:val="1"/>
                <w:szCs w:val="1"/>
                <w:color w:val="auto"/>
              </w:rPr>
            </w:pPr>
          </w:p>
        </w:tc>
      </w:tr>
      <w:tr>
        <w:trPr>
          <w:trHeight w:val="122"/>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($1.25 per common</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4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 and other</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(127,674)</w:t>
            </w: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($15.95 per</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preferred share)</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63"/>
        </w:trPr>
        <w:tc>
          <w:tcPr>
            <w:tcW w:w="1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March 31, 2023</w:t>
            </w:r>
          </w:p>
        </w:tc>
        <w:tc>
          <w:tcPr>
            <w:tcW w:w="72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Borders>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(67,304)</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2,084,102</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(855,892)</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1,160,687</w:t>
            </w:r>
          </w:p>
        </w:tc>
        <w:tc>
          <w:tcPr>
            <w:tcW w:w="0" w:type="dxa"/>
            <w:vAlign w:val="bottom"/>
          </w:tcPr>
          <w:p>
            <w:pPr>
              <w:spacing w:after="0"/>
              <w:rPr>
                <w:sz w:val="1"/>
                <w:szCs w:val="1"/>
                <w:color w:val="auto"/>
              </w:rPr>
            </w:pPr>
          </w:p>
        </w:tc>
      </w:tr>
      <w:tr>
        <w:trPr>
          <w:trHeight w:val="175"/>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Non-cash compensation</w:t>
            </w: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2,133</w:t>
            </w:r>
          </w:p>
        </w:tc>
        <w:tc>
          <w:tcPr>
            <w:tcW w:w="0" w:type="dxa"/>
            <w:vAlign w:val="bottom"/>
          </w:tcPr>
          <w:p>
            <w:pPr>
              <w:spacing w:after="0"/>
              <w:rPr>
                <w:sz w:val="1"/>
                <w:szCs w:val="1"/>
                <w:color w:val="auto"/>
              </w:rPr>
            </w:pPr>
          </w:p>
        </w:tc>
      </w:tr>
      <w:tr>
        <w:trPr>
          <w:trHeight w:val="122"/>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7,126 shares of</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4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common stock through</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 awards</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Exercise of 11,540 shares of</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 options</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w:t>
            </w:r>
          </w:p>
        </w:tc>
        <w:tc>
          <w:tcPr>
            <w:tcW w:w="0" w:type="dxa"/>
            <w:vAlign w:val="bottom"/>
          </w:tcPr>
          <w:p>
            <w:pPr>
              <w:spacing w:after="0"/>
              <w:rPr>
                <w:sz w:val="1"/>
                <w:szCs w:val="1"/>
                <w:color w:val="auto"/>
              </w:rPr>
            </w:pPr>
          </w:p>
        </w:tc>
      </w:tr>
      <w:tr>
        <w:trPr>
          <w:trHeight w:val="121"/>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34,283 shares of</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4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common stock through</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employee purchase plan</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2,675</w:t>
            </w:r>
          </w:p>
        </w:tc>
        <w:tc>
          <w:tcPr>
            <w:tcW w:w="0" w:type="dxa"/>
            <w:vAlign w:val="bottom"/>
          </w:tcPr>
          <w:p>
            <w:pPr>
              <w:spacing w:after="0"/>
              <w:rPr>
                <w:sz w:val="1"/>
                <w:szCs w:val="1"/>
                <w:color w:val="auto"/>
              </w:rPr>
            </w:pPr>
          </w:p>
        </w:tc>
      </w:tr>
      <w:tr>
        <w:trPr>
          <w:trHeight w:val="183"/>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0" w:type="dxa"/>
            <w:vAlign w:val="bottom"/>
          </w:tcPr>
          <w:p>
            <w:pPr>
              <w:spacing w:after="0"/>
              <w:rPr>
                <w:sz w:val="1"/>
                <w:szCs w:val="1"/>
                <w:color w:val="auto"/>
              </w:rPr>
            </w:pPr>
          </w:p>
        </w:tc>
      </w:tr>
      <w:tr>
        <w:trPr>
          <w:trHeight w:val="170"/>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130,620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130,888</w:t>
            </w:r>
          </w:p>
        </w:tc>
        <w:tc>
          <w:tcPr>
            <w:tcW w:w="0" w:type="dxa"/>
            <w:vAlign w:val="bottom"/>
          </w:tcPr>
          <w:p>
            <w:pPr>
              <w:spacing w:after="0"/>
              <w:rPr>
                <w:sz w:val="1"/>
                <w:szCs w:val="1"/>
                <w:color w:val="auto"/>
              </w:rPr>
            </w:pPr>
          </w:p>
        </w:tc>
      </w:tr>
      <w:tr>
        <w:trPr>
          <w:trHeight w:val="127"/>
        </w:trPr>
        <w:tc>
          <w:tcPr>
            <w:tcW w:w="16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Dividends ($1.25 per common</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 and other</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(127,691)</w:t>
            </w:r>
          </w:p>
        </w:tc>
        <w:tc>
          <w:tcPr>
            <w:tcW w:w="0" w:type="dxa"/>
            <w:vAlign w:val="bottom"/>
          </w:tcPr>
          <w:p>
            <w:pPr>
              <w:spacing w:after="0"/>
              <w:rPr>
                <w:sz w:val="1"/>
                <w:szCs w:val="1"/>
                <w:color w:val="auto"/>
              </w:rPr>
            </w:pPr>
          </w:p>
        </w:tc>
      </w:tr>
      <w:tr>
        <w:trPr>
          <w:trHeight w:val="122"/>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($15.95 per</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preferred share)</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75"/>
        </w:trPr>
        <w:tc>
          <w:tcPr>
            <w:tcW w:w="1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June 30, 2023</w:t>
            </w:r>
          </w:p>
        </w:tc>
        <w:tc>
          <w:tcPr>
            <w:tcW w:w="72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(67,304)</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2,090,400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(852,901)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1,170,494</w:t>
            </w:r>
          </w:p>
        </w:tc>
        <w:tc>
          <w:tcPr>
            <w:tcW w:w="0" w:type="dxa"/>
            <w:vAlign w:val="bottom"/>
          </w:tcPr>
          <w:p>
            <w:pPr>
              <w:spacing w:after="0"/>
              <w:rPr>
                <w:sz w:val="1"/>
                <w:szCs w:val="1"/>
                <w:color w:val="auto"/>
              </w:rPr>
            </w:pPr>
          </w:p>
        </w:tc>
      </w:tr>
      <w:tr>
        <w:trPr>
          <w:trHeight w:val="163"/>
        </w:trPr>
        <w:tc>
          <w:tcPr>
            <w:tcW w:w="16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Non-cash compensation</w:t>
            </w:r>
          </w:p>
        </w:tc>
        <w:tc>
          <w:tcPr>
            <w:tcW w:w="7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2,368</w:t>
            </w:r>
          </w:p>
        </w:tc>
        <w:tc>
          <w:tcPr>
            <w:tcW w:w="0" w:type="dxa"/>
            <w:vAlign w:val="bottom"/>
          </w:tcPr>
          <w:p>
            <w:pPr>
              <w:spacing w:after="0"/>
              <w:rPr>
                <w:sz w:val="1"/>
                <w:szCs w:val="1"/>
                <w:color w:val="auto"/>
              </w:rPr>
            </w:pPr>
          </w:p>
        </w:tc>
      </w:tr>
      <w:tr>
        <w:trPr>
          <w:trHeight w:val="127"/>
        </w:trPr>
        <w:tc>
          <w:tcPr>
            <w:tcW w:w="16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8"/>
              </w:rPr>
              <w:t>Exercise of 850 shares of stock</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options</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21"/>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shares 37,407 of</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4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common stock through</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employee purchase plan</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2,654</w:t>
            </w:r>
          </w:p>
        </w:tc>
        <w:tc>
          <w:tcPr>
            <w:tcW w:w="0" w:type="dxa"/>
            <w:vAlign w:val="bottom"/>
          </w:tcPr>
          <w:p>
            <w:pPr>
              <w:spacing w:after="0"/>
              <w:rPr>
                <w:sz w:val="1"/>
                <w:szCs w:val="1"/>
                <w:color w:val="auto"/>
              </w:rPr>
            </w:pPr>
          </w:p>
        </w:tc>
      </w:tr>
      <w:tr>
        <w:trPr>
          <w:trHeight w:val="129"/>
        </w:trPr>
        <w:tc>
          <w:tcPr>
            <w:tcW w:w="16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Purchase of 431 shares of</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treasury stock</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70"/>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0" w:type="dxa"/>
            <w:vAlign w:val="bottom"/>
          </w:tcPr>
          <w:p>
            <w:pPr>
              <w:spacing w:after="0"/>
              <w:rPr>
                <w:sz w:val="1"/>
                <w:szCs w:val="1"/>
                <w:color w:val="auto"/>
              </w:rPr>
            </w:pPr>
          </w:p>
        </w:tc>
      </w:tr>
      <w:tr>
        <w:trPr>
          <w:trHeight w:val="181"/>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140,425</w:t>
            </w:r>
          </w:p>
        </w:tc>
        <w:tc>
          <w:tcPr>
            <w:tcW w:w="0" w:type="dxa"/>
            <w:vAlign w:val="bottom"/>
          </w:tcPr>
          <w:p>
            <w:pPr>
              <w:spacing w:after="0"/>
              <w:rPr>
                <w:sz w:val="1"/>
                <w:szCs w:val="1"/>
                <w:color w:val="auto"/>
              </w:rPr>
            </w:pPr>
          </w:p>
        </w:tc>
      </w:tr>
      <w:tr>
        <w:trPr>
          <w:trHeight w:val="122"/>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($1.25 per common</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4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 and other</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(127,582)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(128,377)</w:t>
            </w:r>
          </w:p>
        </w:tc>
        <w:tc>
          <w:tcPr>
            <w:tcW w:w="0" w:type="dxa"/>
            <w:vAlign w:val="bottom"/>
          </w:tcPr>
          <w:p>
            <w:pPr>
              <w:spacing w:after="0"/>
              <w:rPr>
                <w:sz w:val="1"/>
                <w:szCs w:val="1"/>
                <w:color w:val="auto"/>
              </w:rPr>
            </w:pPr>
          </w:p>
        </w:tc>
      </w:tr>
      <w:tr>
        <w:trPr>
          <w:trHeight w:val="129"/>
        </w:trPr>
        <w:tc>
          <w:tcPr>
            <w:tcW w:w="16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($15.95 per</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preferred share)</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69"/>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September 30, 2023</w:t>
            </w:r>
          </w:p>
        </w:tc>
        <w:tc>
          <w:tcPr>
            <w:tcW w:w="72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(67,347)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2,095,477</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(901)</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(840,557)</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1,186,842</w:t>
            </w: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2"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84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84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4"/>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363,915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347,511</w:t>
            </w: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84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227,531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222,919</w:t>
            </w:r>
          </w:p>
        </w:tc>
      </w:tr>
      <w:tr>
        <w:trPr>
          <w:trHeight w:val="210"/>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Stock-based compensation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16,362</w:t>
            </w:r>
          </w:p>
        </w:tc>
      </w:tr>
      <w:tr>
        <w:trPr>
          <w:trHeight w:val="195"/>
        </w:trPr>
        <w:tc>
          <w:tcPr>
            <w:tcW w:w="84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included in interest expense</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4,920</w:t>
            </w:r>
          </w:p>
        </w:tc>
      </w:tr>
      <w:tr>
        <w:trPr>
          <w:trHeight w:val="210"/>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disposition of assets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(5,243)</w:t>
            </w:r>
          </w:p>
        </w:tc>
      </w:tr>
      <w:tr>
        <w:trPr>
          <w:trHeight w:val="195"/>
        </w:trPr>
        <w:tc>
          <w:tcPr>
            <w:tcW w:w="84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210"/>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Equity in earnings of investee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r>
      <w:tr>
        <w:trPr>
          <w:trHeight w:val="195"/>
        </w:trPr>
        <w:tc>
          <w:tcPr>
            <w:tcW w:w="84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tax (benefit) expense</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r>
      <w:tr>
        <w:trPr>
          <w:trHeight w:val="210"/>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8,609</w:t>
            </w: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(Increase) decrease in: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84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Receivables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(33,755)</w:t>
            </w:r>
          </w:p>
        </w:tc>
      </w:tr>
      <w:tr>
        <w:trPr>
          <w:trHeight w:val="210"/>
        </w:trPr>
        <w:tc>
          <w:tcPr>
            <w:tcW w:w="8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Prepaid expenses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w:t>
            </w:r>
          </w:p>
        </w:tc>
      </w:tr>
      <w:tr>
        <w:trPr>
          <w:trHeight w:val="195"/>
        </w:trPr>
        <w:tc>
          <w:tcPr>
            <w:tcW w:w="84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w:t>
            </w:r>
          </w:p>
        </w:tc>
      </w:tr>
      <w:tr>
        <w:trPr>
          <w:trHeight w:val="210"/>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Increase (decrease) in: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84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Trade accounts payable</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w:t>
            </w:r>
          </w:p>
        </w:tc>
      </w:tr>
      <w:tr>
        <w:trPr>
          <w:trHeight w:val="210"/>
        </w:trPr>
        <w:tc>
          <w:tcPr>
            <w:tcW w:w="8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Accrued expenses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(8,049)</w:t>
            </w:r>
          </w:p>
        </w:tc>
      </w:tr>
      <w:tr>
        <w:trPr>
          <w:trHeight w:val="195"/>
        </w:trPr>
        <w:tc>
          <w:tcPr>
            <w:tcW w:w="84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(25,838)</w:t>
            </w:r>
          </w:p>
        </w:tc>
      </w:tr>
      <w:tr>
        <w:trPr>
          <w:trHeight w:val="210"/>
        </w:trPr>
        <w:tc>
          <w:tcPr>
            <w:tcW w:w="8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43,788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7,049</w:t>
            </w:r>
          </w:p>
        </w:tc>
      </w:tr>
      <w:tr>
        <w:trPr>
          <w:trHeight w:val="190"/>
        </w:trPr>
        <w:tc>
          <w:tcPr>
            <w:tcW w:w="8460" w:type="dxa"/>
            <w:vAlign w:val="bottom"/>
            <w:tcBorders>
              <w:bottom w:val="single" w:sz="8" w:color="CCEEFF"/>
            </w:tcBorders>
          </w:tcPr>
          <w:p>
            <w:pPr>
              <w:ind w:left="11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594,297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529,420</w:t>
            </w:r>
          </w:p>
        </w:tc>
      </w:tr>
      <w:tr>
        <w:trPr>
          <w:trHeight w:val="18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(31,083)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(120,324)</w:t>
            </w: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Capital expenditures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(132,152)</w:t>
            </w: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disposition of assets and investments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6,489</w:t>
            </w:r>
          </w:p>
        </w:tc>
      </w:tr>
      <w:tr>
        <w:trPr>
          <w:trHeight w:val="210"/>
        </w:trPr>
        <w:tc>
          <w:tcPr>
            <w:tcW w:w="8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Decrease in notes receivable</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90"/>
        </w:trPr>
        <w:tc>
          <w:tcPr>
            <w:tcW w:w="8460" w:type="dxa"/>
            <w:vAlign w:val="bottom"/>
            <w:tcBorders>
              <w:bottom w:val="single" w:sz="8" w:color="CCEEFF"/>
            </w:tcBorders>
          </w:tcPr>
          <w:p>
            <w:pPr>
              <w:ind w:left="11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(108,046)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(245,925)</w:t>
            </w:r>
          </w:p>
        </w:tc>
      </w:tr>
      <w:tr>
        <w:trPr>
          <w:trHeight w:val="18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used for purchase of treasury stock</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(5,989)</w:t>
            </w: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proceeds from issuance of common stock</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10,401</w:t>
            </w: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Principal payments on financing leases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 on revolving credit facility</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(243,000)</w:t>
            </w: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received from revolving credit facility</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333,000</w:t>
            </w: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received from accounts receivable securitization program</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72,000</w:t>
            </w: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Payments on accounts receivable securitization program</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(74,900)</w:t>
            </w: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 on senior credit facility term loans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Debt issuance costs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w:t>
            </w: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Dividends/distributions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(409,908)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(382,853)</w:t>
            </w:r>
          </w:p>
        </w:tc>
      </w:tr>
      <w:tr>
        <w:trPr>
          <w:trHeight w:val="190"/>
        </w:trPr>
        <w:tc>
          <w:tcPr>
            <w:tcW w:w="8460" w:type="dxa"/>
            <w:vAlign w:val="bottom"/>
            <w:tcBorders>
              <w:bottom w:val="single" w:sz="8" w:color="CCEEFF"/>
            </w:tcBorders>
          </w:tcPr>
          <w:p>
            <w:pPr>
              <w:ind w:left="11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(501,222)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(296,736)</w:t>
            </w:r>
          </w:p>
        </w:tc>
      </w:tr>
      <w:tr>
        <w:trPr>
          <w:trHeight w:val="203"/>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Effect of exchange rate changes in cash and cash equivalents</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9"/>
        </w:trPr>
        <w:tc>
          <w:tcPr>
            <w:tcW w:w="846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(13,224)</w:t>
            </w:r>
          </w:p>
        </w:tc>
      </w:tr>
      <w:tr>
        <w:trPr>
          <w:trHeight w:val="203"/>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52,619</w:t>
            </w:r>
          </w:p>
        </w:tc>
      </w:tr>
      <w:tr>
        <w:trPr>
          <w:trHeight w:val="203"/>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29,510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39,395</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03"/>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for interest</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127,250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125,117</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1"/>
        </w:trPr>
        <w:tc>
          <w:tcPr>
            <w:tcW w:w="8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for foreign, state and federal income taxes</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9,093</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hanging="192"/>
        <w:spacing w:after="0"/>
        <w:tabs>
          <w:tab w:leader="none" w:pos="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the Company’s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the Company’s consolidated financial statements and the notes thereto included in the 2023 Combined Form 10-K. Subsequent events, if any, are evaluated through the date on which the financial statements are issued.</w:t>
      </w:r>
    </w:p>
    <w:p>
      <w:pPr>
        <w:spacing w:after="0" w:line="295"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Advertising revenues</w:t>
      </w:r>
      <w:r>
        <w:rPr>
          <w:rFonts w:ascii="Times New Roman" w:cs="Times New Roman" w:eastAsia="Times New Roman" w:hAnsi="Times New Roman"/>
          <w:sz w:val="18"/>
          <w:szCs w:val="18"/>
          <w:color w:val="auto"/>
        </w:rPr>
        <w:t>: The majority of our revenues are derived from contracts for advertising space on billboard, logo and transit displays. Contracts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do not meet the criteria of a lease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are accounted for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majority of our advertising space contracts do not meet the definition of a lease under ASC 842 and are therefore accounted for under ASC 606. The contract revenues are recognized ratably over their contract life. Costs to fulfill a contract, which include our costs to install advertising copy onto billboards, are capitalized and amortized to direct advertising expenses (exclusive of depreciation and amortization) in the Condensed Consolidated Statements of Income and Comprehensive Income.</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Our other component of revenue primarily consists of production services which includes creating and printing the advertising copy.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for production contracts is recognized under ASC 606. Contract revenues for production services are recognized upon satisfaction of the contract which is typically less than one week.</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Arrangements with multiple performance obligations: </w:t>
      </w:r>
      <w:r>
        <w:rPr>
          <w:rFonts w:ascii="Times New Roman" w:cs="Times New Roman" w:eastAsia="Times New Roman" w:hAnsi="Times New Roman"/>
          <w:sz w:val="18"/>
          <w:szCs w:val="18"/>
          <w:color w:val="auto"/>
        </w:rPr>
        <w:t>Our contracts with customers may include multiple performance obligations. For such arrangements,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allocate revenue to each performance obligation based on the relative standalone selling price. We determine standalone selling prices based on the prices charged to customers using expected cost plus margin.</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revenues: </w:t>
      </w:r>
      <w:r>
        <w:rPr>
          <w:rFonts w:ascii="Times New Roman" w:cs="Times New Roman" w:eastAsia="Times New Roman" w:hAnsi="Times New Roman"/>
          <w:sz w:val="18"/>
          <w:szCs w:val="18"/>
          <w:color w:val="auto"/>
        </w:rPr>
        <w:t>We record deferred revenues when cash payments are received or due in advance of our performance obligation. The term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Practical expedients and exemptions: </w:t>
      </w:r>
      <w:r>
        <w:rPr>
          <w:rFonts w:ascii="Times New Roman" w:cs="Times New Roman" w:eastAsia="Times New Roman" w:hAnsi="Times New Roman"/>
          <w:sz w:val="18"/>
          <w:szCs w:val="18"/>
          <w:color w:val="auto"/>
        </w:rPr>
        <w:t>The Company is utilizing the following practical expedients and exemptions from ASC 606. We generally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commissions when incurred because the amortization period is one year or less. These costs are recorded within direct advertising expenses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disaggregated revenue by source for the three and nine months ended September 30, 2024 and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562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Billboard advertising</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502,587</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484,268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1,444,116</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1,384,721</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Logo advertising</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61,975</w:t>
            </w:r>
          </w:p>
        </w:tc>
      </w:tr>
      <w:tr>
        <w:trPr>
          <w:trHeight w:val="229"/>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Transit advertising</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40,850</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37,904</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120,463</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108,382</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564,135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542,609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1,627,536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1,555,078</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2024 and 2023, we had operating lease costs of $79,798 and $80,550, respectively, and variable lease costs of $16,783 and $16,111, respectively. During the nine months ended September 30, 2024 and 2023, we had operating lease costs of $238,569 and $239,636, respectively, and variable lease costs of $47,092 and $44,639, respectively. These operating lease costs are recorded in direct advertising expenses (exclusive of depreciation and amortization). For the three months ended September 30, 2024 and 2023, we recorded a gain of $61 and $68, respectively, in gain on disposition of assets related to the amendment and termination of lease agreements. For the nine months ended September 30, 2024 and 2023, we recorded a gain of $330 and $260, respectively, in gain on disposition of assets related to the amendment and termination of lease agreements. Cash payments of $264,093 and $259,440 were made reducing our operating lease liabilities for the nine months ended September 30, 2024 and 2023, respectively, and are included in cash flows provided by operating activities in the Condensed Consolidated Statements of Cash Flows.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elected the short-term lease exemption which applies to certain of our vehicle agreements. This election allows the Company to not recognize lease right of use assets ("ROU assets") or lease liabilities for agreements with a term of twelve months or less. We recorded $2,638 and $2,523 in direct advertising expenses (exclusive of depreciation and amortization) for these agreements during the three months ended September 30, 2024 and 2023, respectively. We recorded $7,812 and $7,532 in direct advertising expenses (exclusive of depreciation and amortization) for these agreements during the nine months ended September 30, 2024 and 2023, respectively.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leases have a weighted-average remaining lease term of 12.4 years. The weighted-average discount rate of our operating leases is 5.1%. Also, during the nine months ended September 30, 2024 and 2023, we obtained $9,912 and $17,906, respectively, of leased assets in exchange for new operating lease liabilities, which includes liabilities obtained through acquisitions.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maturities of our operating lease liabilities as of September 30, 2024:</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21"/>
        </w:trPr>
        <w:tc>
          <w:tcPr>
            <w:tcW w:w="9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30"/>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41,953</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224,500</w:t>
            </w:r>
          </w:p>
        </w:tc>
      </w:tr>
      <w:tr>
        <w:trPr>
          <w:trHeight w:val="230"/>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189,690</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166,049</w:t>
            </w:r>
          </w:p>
        </w:tc>
      </w:tr>
      <w:tr>
        <w:trPr>
          <w:trHeight w:val="230"/>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143,779</w:t>
            </w:r>
          </w:p>
        </w:tc>
      </w:tr>
      <w:tr>
        <w:trPr>
          <w:trHeight w:val="230"/>
        </w:trPr>
        <w:tc>
          <w:tcPr>
            <w:tcW w:w="99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975,779</w:t>
            </w:r>
          </w:p>
        </w:tc>
      </w:tr>
      <w:tr>
        <w:trPr>
          <w:trHeight w:val="223"/>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1,741,750</w:t>
            </w:r>
          </w:p>
        </w:tc>
      </w:tr>
      <w:tr>
        <w:trPr>
          <w:trHeight w:val="230"/>
        </w:trPr>
        <w:tc>
          <w:tcPr>
            <w:tcW w:w="99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(458,777)</w:t>
            </w:r>
          </w:p>
        </w:tc>
      </w:tr>
      <w:tr>
        <w:trPr>
          <w:trHeight w:val="248"/>
        </w:trPr>
        <w:tc>
          <w:tcPr>
            <w:tcW w:w="9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1,282,973</w:t>
            </w:r>
          </w:p>
        </w:tc>
      </w:tr>
      <w:tr>
        <w:trPr>
          <w:trHeight w:val="20"/>
        </w:trPr>
        <w:tc>
          <w:tcPr>
            <w:tcW w:w="99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2024 and 2023, $713 of amortization expense for each period and $115 and $125, respectively, of interest expense relating to our financing lease liabilities were recorded in depreciation and amortization and interest expense, respectively, in the Condensed Consolidated Statements of Income and Comprehensive Income. During the nine months ended September 30, 2024 and 2023, $2,140 of amortization expense for each period and $351 and $382, respectively, of interest expense relating to our financing lease liabilities were recorded in depreciation and amortization and interest expense, respectively, in the Condensed Consolidated Statements of Income and Comprehensive Income. Cash payments of $998 were made reducing our financing lease liabilities for each of the nine months ended September 30, 2024 and 2023, and are included in cash flows used in financing activities in the Condensed Consolidated Statements of Cash Flows. Our financing leases have a weighted-average remaining lease term of 3.2 years and a weighted-average discount rate of 3.1%.</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Due to our election not to reassess conclusions about lease identification as part of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our transit agreements were accounted for as leases on January 1, 2019. As we enter into new or renew current transit agreements, those agreements do not meet the criteria of a lease under ASC 842, therefore they are no longer accounted for as a lease. For the three months ended September 30, 2024 and 2023, non-lease variable transit costs were $23,559 and $22,023, respectively. For the nine months ended September 30, 2024 and 2023, non-lease variable transit costs were $70,551 and $62,661, respectively.</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transit expenses are recorded in direct advertising expenses (exclusive of depreciation and amortization) on the Condensed Consolidated Statements of Income and Comprehensive Income.</w:t>
      </w:r>
    </w:p>
    <w:p>
      <w:pPr>
        <w:spacing w:after="0" w:line="270" w:lineRule="exact"/>
        <w:rPr>
          <w:sz w:val="20"/>
          <w:szCs w:val="20"/>
          <w:color w:val="auto"/>
        </w:rPr>
      </w:pPr>
    </w:p>
    <w:p>
      <w:pPr>
        <w:ind w:left="200" w:hanging="192"/>
        <w:spacing w:after="0"/>
        <w:tabs>
          <w:tab w:leader="none" w:pos="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Stock-Based Compensation</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Incentive Plan. </w:t>
      </w:r>
      <w:r>
        <w:rPr>
          <w:rFonts w:ascii="Times New Roman" w:cs="Times New Roman" w:eastAsia="Times New Roman" w:hAnsi="Times New Roman"/>
          <w:sz w:val="18"/>
          <w:szCs w:val="18"/>
          <w:color w:val="auto"/>
        </w:rPr>
        <w:t>Lamar Advertising’s 1996 Equity Incentive Plan, as amended, (the “Incentive Plan”) has reserved 17.5 million shares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for issuance to directors and employees, including shares underlying granted options and common stock reserved for issuance under its performance-based incentive program. Options granted under the plan expire ten years from the grant date with vesting terms ranging from three to five years and include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a Black-Scholes-Merton option pricing model to estimate the fair value of share-based awards. The Black-Scholes-Merton option pricing model incorporates various and highly subjective assumptions, including expected term and expected volatility. The Company had 27,000 granted options of its Class A common stock during the nine months ended September 30, 2024. At September 30, 2024 a total of 1,481,374 shares were available for future grant.</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Purchase Plan. </w:t>
      </w:r>
      <w:r>
        <w:rPr>
          <w:rFonts w:ascii="Times New Roman" w:cs="Times New Roman" w:eastAsia="Times New Roman" w:hAnsi="Times New Roman"/>
          <w:sz w:val="18"/>
          <w:szCs w:val="18"/>
          <w:color w:val="auto"/>
        </w:rPr>
        <w:t>On May 30, 2019, our shareholders approved Lamar Advertising’s 2019 Employee Stock Purchase Plan (the “2019 ESPP”).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of Class A common stock available under the 2019 ESPP was automatically increased by 87,645 shares on January 1, 2024 pursuant to the automatic increase provisions of the 2019 ESPP.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2019 ESPP share activity for the nine months ended September 30,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13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3"/>
        </w:trPr>
        <w:tc>
          <w:tcPr>
            <w:tcW w:w="992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January 1, 2024</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242,292</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shares reserved under 2019 ESPP</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87,645</w:t>
            </w:r>
          </w:p>
        </w:tc>
      </w:tr>
      <w:tr>
        <w:trPr>
          <w:trHeight w:val="230"/>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(98,458)</w:t>
            </w:r>
          </w:p>
        </w:tc>
      </w:tr>
      <w:tr>
        <w:trPr>
          <w:trHeight w:val="22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September 30, 2024</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231,479</w:t>
            </w:r>
          </w:p>
        </w:tc>
      </w:tr>
      <w:tr>
        <w:trPr>
          <w:trHeight w:val="20"/>
        </w:trPr>
        <w:tc>
          <w:tcPr>
            <w:tcW w:w="9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Unrestricted shares of our Class A common stock may be awarded to key officers, employees and directors under the Incentive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to be issued, if any, are generally dependent on the level of achievement of performance measures for key officers and employees, as determined by the Company’s Compensation Committee based on our 2024 results. Any shares issued based on the achievement of performance goals will be issued in the first quarter of 2025. The shares subject to these awards can range from a minimum of 0% to a maximum of 120% of the target number of shares depending on the level at which the goals are attained. Under the Incentive Plan, the Company's Compensation Committee may also award additional shares in its discretion based on other factors, which awards, if any, for 2025, will also be issued in the first quarter of 2025. For the three months ended September 30, 2024 and 2023, the Company recorded $6,481 and $1,589, respectively, as stock-based compensation expense. For the nine months ended September 30, 2024 and 2023, the Company recorded $21,299 and $8,034, respectively, as stock-based compensation expense.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LTIP Units</w:t>
      </w:r>
      <w:r>
        <w:rPr>
          <w:rFonts w:ascii="Times New Roman" w:cs="Times New Roman" w:eastAsia="Times New Roman" w:hAnsi="Times New Roman"/>
          <w:sz w:val="18"/>
          <w:szCs w:val="18"/>
          <w:color w:val="auto"/>
        </w:rPr>
        <w:t>. In addition to stock compensation, the Company may issue LTIP Units of Lamar Advertising Limited Partnership (the "OP"), a subsidiary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to certain officers, employees and directors under the Incentive Plan of the Company. Such LTIP Units are subject to vesting and forfeiture conditions based on performance criteria approved by the Compensation Committee. The Compensation Committee may also make discretionary grants of LTIP Units based on other factors. LTIP Units are a class of units intended to qualify as “profits interests” of the OP. The LTIP Units convert into Common Units of the OP upon the occurrence of certain events. Common Units are redeemable by the holder for shares of the Company's Class A common stock after a holding period of twelve months, or may be paid out in cash at the option of the general partner of the OP. As of September 30, 2024, the OP has a total of 260,800 LTIP Units issued and outstanding to the Company’s executive officers, of which 140,800 LTIP units have vested. For the three months ended September 30, 2024 and 2023, the Company recorded $4,389 and $1,147, respectively, as stock-based compensation expense related to these LTIP Units. For the nine months ended September 30, 2024 and 2023, the Company recorded $11,952 and $4,050, respectively, as stock-based compensation expense related to these LTIP Units.</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Restricted stock compensation. </w:t>
      </w:r>
      <w:r>
        <w:rPr>
          <w:rFonts w:ascii="Times New Roman" w:cs="Times New Roman" w:eastAsia="Times New Roman" w:hAnsi="Times New Roman"/>
          <w:sz w:val="18"/>
          <w:szCs w:val="18"/>
          <w:color w:val="auto"/>
        </w:rPr>
        <w:t>Annually, each non-employee director automatically receives a restricted stock award of our Class A common stock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or re-election. The awards vest 50% on grant date and 50% on the last day of the directors' one year term. For the three months ended September 30, 2024 and 2023, the Company recorded $100 and $67, respectively, in stock-based compensation expense related to these awards. For the nine months ended September 30, 2024 and 2023, the Company recorded $671 and $587, respectively, in stock-based compensation expense related to these awards.</w:t>
      </w:r>
    </w:p>
    <w:p>
      <w:pPr>
        <w:spacing w:after="0" w:line="200" w:lineRule="exact"/>
        <w:rPr>
          <w:sz w:val="20"/>
          <w:szCs w:val="20"/>
          <w:color w:val="auto"/>
        </w:rPr>
      </w:pPr>
    </w:p>
    <w:p>
      <w:pPr>
        <w:spacing w:after="0" w:line="309"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Depreciation and Amortization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includes all categories of depreciation and amortization on a separate line in its Condensed Consolidated Statements of Income and Comprehensive Income. The amounts of depreciation and amortization expense excluded from the following operating expenses in its Condensed Consolidated Statements of Income and Comprehensive Income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56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69,231</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69,598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210,478</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208,272</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r>
      <w:tr>
        <w:trPr>
          <w:trHeight w:val="22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13,082</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10,633</w:t>
            </w:r>
          </w:p>
        </w:tc>
      </w:tr>
      <w:tr>
        <w:trPr>
          <w:trHeight w:val="223"/>
        </w:trPr>
        <w:tc>
          <w:tcPr>
            <w:tcW w:w="56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75,112</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74,636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227,531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222,919</w:t>
            </w: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Goodwill and Other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intangible assets at September 30, 2024 and December 31,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6"/>
                <w:szCs w:val="16"/>
                <w:color w:val="auto"/>
              </w:rPr>
            </w:pPr>
          </w:p>
        </w:tc>
        <w:tc>
          <w:tcPr>
            <w:tcW w:w="27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26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1560" w:type="dxa"/>
            <w:vAlign w:val="bottom"/>
            <w:gridSpan w:val="3"/>
          </w:tcPr>
          <w:p>
            <w:pPr>
              <w:jc w:val="center"/>
              <w:ind w:right="150"/>
              <w:spacing w:after="0" w:line="155"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30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24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140" w:type="dxa"/>
            <w:vAlign w:val="bottom"/>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156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5"/>
        </w:trPr>
        <w:tc>
          <w:tcPr>
            <w:tcW w:w="42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731,437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731,156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640,635</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560" w:type="dxa"/>
            <w:vAlign w:val="bottom"/>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3—15</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71,785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66,693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71,960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66,455</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Site locations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2,973,839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1,974,975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2,955,324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1,891,078</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2—15</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52,662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42,198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52,578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41,416</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3,829,723</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2,743,342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3,811,018</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2,639,584</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Unamortizable intangible assets:</w:t>
            </w: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2,288,761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2,288,807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0" w:type="dxa"/>
            <w:vAlign w:val="bottom"/>
          </w:tcPr>
          <w:p>
            <w:pPr>
              <w:spacing w:after="0"/>
              <w:rPr>
                <w:sz w:val="1"/>
                <w:szCs w:val="1"/>
                <w:color w:val="auto"/>
              </w:rPr>
            </w:pPr>
          </w:p>
        </w:tc>
      </w:tr>
      <w:tr>
        <w:trPr>
          <w:trHeight w:val="900"/>
        </w:trPr>
        <w:tc>
          <w:tcPr>
            <w:tcW w:w="420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0" w:hanging="192"/>
        <w:spacing w:after="0"/>
        <w:tabs>
          <w:tab w:leader="none" w:pos="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Retirement Obligations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asset retirement obligations include the costs associated with the removal of its structures, resurfacing of the land and retirement cost, if applicable, related to the Company’s outdoor advertising portfolio. The following table reflects information related to our asset retirement obligations: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397,991</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asset retirement obligations</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30"/>
        </w:trPr>
        <w:tc>
          <w:tcPr>
            <w:tcW w:w="992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7"/>
                <w:szCs w:val="17"/>
                <w:color w:val="auto"/>
              </w:rPr>
              <w:t>Correction in estimate</w:t>
            </w:r>
            <w:r>
              <w:rPr>
                <w:rFonts w:ascii="Times New Roman" w:cs="Times New Roman" w:eastAsia="Times New Roman" w:hAnsi="Times New Roman"/>
                <w:sz w:val="26"/>
                <w:szCs w:val="26"/>
                <w:color w:val="auto"/>
                <w:vertAlign w:val="superscript"/>
              </w:rPr>
              <w:t>(1)</w:t>
            </w: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expense</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settled</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w:t>
            </w:r>
          </w:p>
        </w:tc>
      </w:tr>
      <w:tr>
        <w:trPr>
          <w:trHeight w:val="22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402,472</w:t>
            </w:r>
          </w:p>
        </w:tc>
      </w:tr>
      <w:tr>
        <w:trPr>
          <w:trHeight w:val="21"/>
        </w:trPr>
        <w:tc>
          <w:tcPr>
            <w:tcW w:w="9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260" w:right="20" w:hanging="252"/>
        <w:spacing w:after="0" w:line="298" w:lineRule="auto"/>
        <w:tabs>
          <w:tab w:leader="none" w:pos="25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nine months ended September 30, 2024, the Company had an immaterial correction of $4,196 to asset retirement obligations due to system data conversion. This correction resulted in a $4,196 increase in asset retirement obligations and depreciation and amortization expense during the period.</w:t>
      </w:r>
    </w:p>
    <w:p>
      <w:pPr>
        <w:spacing w:after="0" w:line="254"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Restrictions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restricted under both the terms of the indentures relating to Lamar Media’s outstanding notes and by the terms of its senior credit facility. As of September 30, 2024 and December 31, 2023, Lamar Media was permitted under the terms of its outstanding notes to make transfers to Lamar Advertising in the form of cash dividends, loans or advances in amounts up to $4,618,528 and $4,438,406, respectively.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2024, Lamar Media’s senior credit facility allows it to make transfers to Lamar Advertising in any taxable year up to the amount of Lamar Advertising’s taxable income (without any deduction for dividends paid). In addition, as of September 30, 2024, transfers to Lamar Advertising are permitted under Lamar Media’s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September 30, 2024 and December 31, 2023, the total debt ratio was less than 7.0 to 1 and Lamar Media’s secured debt ratio was less than 4.5 to 1, and the available cumulative credit was $3,369,008 and $3,188,886, respectively.</w:t>
      </w:r>
    </w:p>
    <w:p>
      <w:pPr>
        <w:spacing w:after="0" w:line="295"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Per Share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calculation of basic earnings per share excludes any dilutive effect of stock options, while diluted earnings per share includes the dilutive effect of stock options and LTIP units. There were no dilutive shares excluded from this calculation resulting from their anti-dilutive effect for the three and nine months ended September 30, 2024 or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Long-Term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 at September 30, 2024 and December 31,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1"/>
                <w:szCs w:val="11"/>
                <w:color w:val="auto"/>
              </w:rPr>
            </w:pPr>
          </w:p>
        </w:tc>
        <w:tc>
          <w:tcPr>
            <w:tcW w:w="1160" w:type="dxa"/>
            <w:vAlign w:val="bottom"/>
          </w:tcPr>
          <w:p>
            <w:pPr>
              <w:jc w:val="center"/>
              <w:ind w:right="74"/>
              <w:spacing w:after="0" w:line="129" w:lineRule="exact"/>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48"/>
        </w:trPr>
        <w:tc>
          <w:tcPr>
            <w:tcW w:w="7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96"/>
        </w:trPr>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9"/>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913,273</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249,588</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595,913</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544,361</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544,513</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396,723</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3,270,122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24,416</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3,245,706</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(250,001)</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3,019,909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2,995,705</w:t>
            </w:r>
          </w:p>
        </w:tc>
        <w:tc>
          <w:tcPr>
            <w:tcW w:w="0" w:type="dxa"/>
            <w:vAlign w:val="bottom"/>
          </w:tcPr>
          <w:p>
            <w:pPr>
              <w:spacing w:after="0"/>
              <w:rPr>
                <w:sz w:val="1"/>
                <w:szCs w:val="1"/>
                <w:color w:val="auto"/>
              </w:rPr>
            </w:pPr>
          </w:p>
        </w:tc>
      </w:tr>
      <w:tr>
        <w:trPr>
          <w:trHeight w:val="21"/>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8"/>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1"/>
                <w:szCs w:val="11"/>
                <w:color w:val="auto"/>
              </w:rPr>
            </w:pPr>
          </w:p>
        </w:tc>
        <w:tc>
          <w:tcPr>
            <w:tcW w:w="1160" w:type="dxa"/>
            <w:vAlign w:val="bottom"/>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46"/>
        </w:trPr>
        <w:tc>
          <w:tcPr>
            <w:tcW w:w="7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4"/>
              <w:spacing w:after="0" w:line="146"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98"/>
        </w:trPr>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8"/>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1,010,956</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249,620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595,077</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543,774</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543,841</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396,225</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3,370,372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3,341,127</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(250,018)</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3,119,974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3,091,109</w:t>
            </w:r>
          </w:p>
        </w:tc>
        <w:tc>
          <w:tcPr>
            <w:tcW w:w="0" w:type="dxa"/>
            <w:vAlign w:val="bottom"/>
          </w:tcPr>
          <w:p>
            <w:pPr>
              <w:spacing w:after="0"/>
              <w:rPr>
                <w:sz w:val="1"/>
                <w:szCs w:val="1"/>
                <w:color w:val="auto"/>
              </w:rPr>
            </w:pPr>
          </w:p>
        </w:tc>
      </w:tr>
      <w:tr>
        <w:trPr>
          <w:trHeight w:val="21"/>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Credit Facility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senior credit facility, as established by the Fourth Amended and Restated Credit Agreement (the “senior credit facility”), consists of (i) a $750,000 senior secured revolving credit facility which will mature on July 31, 2028, subject to certain conditions (see description of Amendment No. 4 below) (the “revolving credit facility”), (ii) a $600,000 senior secured Term B loan facility (the “Term B loans”) which will mature on February 6, 2027, (iii) an incremental facility (the “Incremental Facility”) pursuant to which Lamar Media may incur additional term loan tranches or increase its revolving credit facility subject to a pro forma secured debt ratio of 4.50 to 1.00, as well as certain other conditions including lender approval. Lamar Media borrowed all $600,000 in Term B loans on February 6, 2020. The entire amount of the Term B loans will be payable at maturity. The net proceeds from the Term B loans, together with borrowings under the revolving portion of the senior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B loans mature on February 6, 2027 with no required amortization payments. The Term B loans bear interest at rates based on the Term Secured Overnight Financing Rate ("Term SOFR") plus a credit spread adjustment of 0.10% (Term SOFR plus such credit spread adjustment, the "Adjusted Term SOFR Rate”) or the Adjusted Base Rate, at Lamar Media’s option. Term B loans bearing interest at a rate based on Term SOFR bear interest at a rate per annum equal to the Adjusted Term SOFR Rate plus 1.50%. Term B loans bearing interest at a rate based on the Adjusted Base Rate bear interest at a rate per annum equal to the Adjusted Base Rate plus 0.50%.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revolving credit facility bears interest at rates based on Term SOFR ("Term SOFR revolving loans”) or the Adjusted Base Rate (“Base Rate revolving loans”), at Lamar Media’s option. Term SOFR revolving loans bear interest at a rate per annum equal to the Adjusted Term SOFR Rate plus 1.50% (or the Adjusted Term SOFR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29, 2022, Lamar Media entered into Amendment No. 2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were set to mature on February 6, 2025 with no required amortization payments prior to maturity and bear interest at rates based on Term SOFR ("Term SOFR Term A loans") or the Adjusted Base Rate ("Base Rate Term A loans"), at Lamar Media's option. Term SOFR Term A loans bore interest at a rate per annum equal to the Adjusted Term SOFR Rate plus 1.50% (or the Adjusted Term SOFR Rate plus 1.25% at any time the Total Debt Ratio is less than or equal to 3.25 to 1). Base Rate Term A loans bore interest at a rate per annum equal to the Adjusted Base Rate plus 0.50% (or the Adjusted Base Rate plus 0.25% at any time the total debt ratio is less than or equal to 3.25 to 1). The covenants, events of default and other terms of the senior credit facility apply to the Term A loans. Lamar Media borrowed all $350,000 in Term A loans on July 29, 2022. Proceeds from the Term A loans were used to repay outstanding balances on the revolving credit facility and a portion of the outstanding balance on the Accounts Receivable Securitization Program. The Term A loans were subsequently repaid in full on July 31, 2024.</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in the Fourth Amended and Restated Credit Agreement. All other material terms and conditions of the Fourth Amended and Restated Credit Agreement remain unchanged by Amendment No. 3.</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extends the maturity date of Lamar Media's $750,000 revolving credit facility such that the revolving credit facility matures July 31, 2028; provided, that, if on the date (a "Credit Facility Springing Maturity Test Date") that is 91 days prior to either the then scheduled maturity date of Lamar Media's Term B loans (which is currently February 6, 2027) or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Term B loans or the 3 3/4% Notes (as applicable), the revolving credit facility will mature on such Credit Facility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Amendment No. 4 also establishes a $75,000 swingline as a sublimit of the revolving credit facility, which allows Lamar Media to borrow revolving loans on a same-day basis, in an aggregate outstanding principal amount of up to $75,000. In addition, Amendment No. 4 amends the provisions of the Fourth Amended and Restated Credit Agreement related to incremental facilities to allow Lamar Media to establish, from time to time, one or more new incremental revolving facilities on the terms, and subject to the conditions, set forth therein.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there were $320,000 in borrowings outstanding under the revolving credit facility. Availability under the revolving credit facility is reduced by the amount of any letters of credit outstanding. Lamar Media had $8,799 in letters of credit outstanding as of September 30, 2024 resulting in $421,201 of availability under its revolving credit facility. Revolving credit loans may be requested under the revolving credit facility at any time prior to its maturity.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Lamar Media’s senior credit facility and the indentures relating to Lamar Media’s outstanding notes restrict, among other things, the ability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Advertising and Lamar Media to:</w:t>
      </w:r>
    </w:p>
    <w:p>
      <w:pPr>
        <w:spacing w:after="0" w:line="45"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repay debt;</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also restricted under the terms of these agreements. Under Lamar Media’s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Lamar Advertising and Lamar Media were in compliance with all of the terms of their indentures and the senior credit facility provisions during the periods presented.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Program</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18, 2018, Lamar Media entered into a $175,000 Receivable Financing Agreement (the “Receivable Financing Agreement”) with its wholly-owned special purpose entities, Lamar QRS Receivables, LLC and Lamar TRS Receivables, LLC (the “Special Purpose Subsidiaries”) (the "Accounts Receivable Securitization Program"). The Accounts Receivable Securitization Program is limited to the availability of eligible accounts receivable collateralizing the borrowings under the agreements governing the Accounts Receivable Securitization Program.</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24, 2022, Lamar Media and the Special Purpose Subsidiaries entered into the Sixth Amendment (the "Sixth Amendment") to the Receivables Financing Agreement. The Sixth Amendment increased the Accounts Receivable Securitization Program from $175,000 to $250,000 and extended the maturity date of the Accounts Receivable Securitization Program to July 21, 2025. Additionally, the Sixth Amendment provides for the replacement of LIBOR-based interest rate mechanics with Term SOFR based interest rate mechanics for the Accounts Receivable Securitization Program.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there was $249,800 outstanding aggregate borrowings under the Accounts Receivable Securitization Program. Lamar Media had no additional availability for borrowing under the Accounts Receivable Securitization Program as of September 30, 2024. The commitment fees based on the amount of unused commitments under the Accounts Receivable Securitization Program were immaterial during the nine months ended September 30, 2024.</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Accounts Receivable Securitization Program was set to mature on July 21, 2025, but was subsequently extended to October 15, 2027 by the Seventh Amendment to the Receivables Financing Agreement dated October 15, 2024; provided, that, if on the date (a “Securitization Springing Maturity Test Date”) that is 91 days prior to the then scheduled maturity date of Lamar Media’s Term Loan B loans (which is currently February 6, 2027), (a) any of the outstanding Term B loans has a scheduled maturity date prior to the date that is 91 days prior to the then scheduled maturity date of Lamar Media’s revolving credit facility (which is currently July 31, 2028) and (b) the Company and its restricted subsidiaries do not have sufficient liquidity (defined as (i) unused commitments under the revolving credit facility plus (ii) unrestricted cash and cash equivalents of the Company and its restricted subsidiaries plus</w:t>
      </w:r>
    </w:p>
    <w:p>
      <w:pPr>
        <w:spacing w:after="0" w:line="5" w:lineRule="exact"/>
        <w:rPr>
          <w:sz w:val="20"/>
          <w:szCs w:val="20"/>
          <w:color w:val="auto"/>
        </w:rPr>
      </w:pPr>
    </w:p>
    <w:p>
      <w:pPr>
        <w:jc w:val="both"/>
        <w:ind w:firstLine="8"/>
        <w:spacing w:after="0" w:line="253" w:lineRule="auto"/>
        <w:tabs>
          <w:tab w:leader="none" w:pos="3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availability under the Accounts Receivable Securitization Program) to repay in full the aggregate outstanding amount (including all accrued and unpaid interest, premiums and make-whole amounts (if any)) of the Term Loan B loans, then the Accounts Receivable Securitization Program will mature on such Securitization Springing Maturity Test Date. Lamar Media may amend the facility to further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Condensed Consolidated Balance Sheets, (ii) our Condensed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Condensed Consolidated Statements of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Senior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$400,000 aggregate principal amount of 4% Senior Notes due 2030 (the “Original 4% Notes”). The institutional private placement on February 6, 2020 resulted in net proceeds to Lamar Media of approximately $395,000.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19, 2020, Lamar Media completed an institutional private placement of an additional $150,000 aggregate principal amount of its 4% Notes (the “Additional 4% Notes”, and together with the Original 4% Notes, the "4% Notes"). Other than with respect to the date of issuance and issue price, the Additional 4% Notes have the same terms as the Original 4% Notes. The institutional private placement on August 19, 2020 resulted in net proceeds to Lamar Media of approximately $146,900.</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prior to February 15, 2025, Lamar Media may redeem some or all of the 4% Notes at a price equal to 100% of the aggregate principal amount, plus accrued and unpaid interest thereon and a make-whole premium. On or after 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3/4% Senior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7/8% Senior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5/8% Senior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22, 2021, Lamar Media completed an institutional private placement of $550,000 aggregate principal amount of 3 5/8% Senior Notes due 2031 (the “3 5/8% Notes”). The institutional private placement on January 22, 2021 resulted in net proceeds to Lamar Media of approximately $542,500.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prior to January 15, 2026, Lamar Media may redeem some or all of the 3 5/8% Notes at a price equal to 100% of the aggregate principal amount, plus accrued and unpaid interest thereon and a make-whole premium. On or after January 15, 2026, Lamar Media may redeem the 3 5/8% Notes, in whole or in part, in cash at redemption prices specified in the 3 5/8% Notes. In addition, if the Company or Lamar Media undergoes a change of control, Lamar Media may be required to make an offer to purchase each holder's 3 5/8% Notes at a price equal to 101% of the principal amount of the 3 5/8% Notes, plus accrued and unpaid interest, up to but not including the repurchase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Repurchase Program</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Board of Directors has authorized Lamar Media to repurchase up to $250,000 in outstanding senior or senior subordinated notes and other indebtedness outstanding from time to time under its Fourth Amended and Restated Credit Agreement. On September 24, 2024, the Board of Directors authorized the extension of the repurchase program through March 31, 2026. There were no repurchases under the program as of September 30,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80" w:hanging="272"/>
        <w:spacing w:after="0"/>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2024 and December 31, 2023,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 contracts are reported at fair values. The estimated fair value of the Company’s long-term debt (including current maturities) was $3,157,971 which does not exceed the carrying amount of $3,270,122 as of September 30, 2024. The majority of the fair value is determined using observed prices of publicly traded debt (level 1 in the fair value hierarchy) and the remaining is valued based on quoted prices for similar debt (level 2 in the fair value hierarchy).</w:t>
      </w:r>
    </w:p>
    <w:p>
      <w:pPr>
        <w:spacing w:after="0" w:line="295" w:lineRule="exact"/>
        <w:rPr>
          <w:sz w:val="20"/>
          <w:szCs w:val="20"/>
          <w:color w:val="auto"/>
        </w:rPr>
      </w:pPr>
    </w:p>
    <w:p>
      <w:pPr>
        <w:ind w:left="280" w:hanging="272"/>
        <w:spacing w:after="0"/>
        <w:tabs>
          <w:tab w:leader="none" w:pos="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Accounting Pronouncements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which requires companies to disclose significant segment expenses and other segment items that impact each reported measure of segment income or loss. This guidance is effective for fiscal years beginning after December 15, 2023 and interim periods within fiscal years beginning after December 15, 2024. We do not anticipate the adoption of this guidance will have a material impact on the Company's consolidated financial statements.</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companies to disclose disaggregated information related to the effective tax rate reconciliation and income taxes paid. This guidance is effective for public entities as of December 15, 2024. We do not anticipate the adoption of this guidance will have a material impact on the Company's consolidated financial statements.</w:t>
      </w:r>
    </w:p>
    <w:p>
      <w:pPr>
        <w:spacing w:after="0" w:line="283" w:lineRule="exact"/>
        <w:rPr>
          <w:sz w:val="20"/>
          <w:szCs w:val="20"/>
          <w:color w:val="auto"/>
        </w:rPr>
      </w:pPr>
    </w:p>
    <w:p>
      <w:pPr>
        <w:ind w:left="280" w:hanging="272"/>
        <w:spacing w:after="0"/>
        <w:tabs>
          <w:tab w:leader="none" w:pos="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Dividends/Distributions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September 30, 2024 and 2023, the Company declared and paid cash distributions in an aggregate amount of $143,491 or $1.40 per share and $127,582 or $1.25 per share, respectively. During the nine months ended September 30, 2024 and 2023, the Company declared and paid cash distributions in an aggregate amount of $409,635 or $4.00 per share and $382,580 or $3.75 per share, respectively.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general economic conditions on the Company’s operations and other factors that the Board of Directors may deem relevant. During the three and nine months ended September 30, 2024 and 2023, the Company paid cash dividend distributions to holders of its Series AA Preferred Stock in an aggregate amount of $91 or $15.95 per share and $273 or $47.85 per share, respectively, for each period.</w:t>
      </w:r>
    </w:p>
    <w:p>
      <w:pPr>
        <w:spacing w:after="0" w:line="300" w:lineRule="exact"/>
        <w:rPr>
          <w:sz w:val="20"/>
          <w:szCs w:val="20"/>
          <w:color w:val="auto"/>
        </w:rPr>
      </w:pPr>
    </w:p>
    <w:p>
      <w:pPr>
        <w:ind w:left="280" w:hanging="272"/>
        <w:spacing w:after="0"/>
        <w:tabs>
          <w:tab w:leader="none" w:pos="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About Geographic Areas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external customers attributable to foreign countries totaled $26,455 and $21,684 for the nine months ended September 30, 2024 and 2023, respectively. Net carrying value of long-lived assets located in foreign countries totaled $13,643 and $13,930 as of September 30, 2024 and December 31, 2023, respectively. All other revenues from external customers and long-lived assets relate to domestic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80" w:hanging="272"/>
        <w:spacing w:after="0"/>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Stockholders' Equity</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Agreement. </w:t>
      </w:r>
      <w:r>
        <w:rPr>
          <w:rFonts w:ascii="Times New Roman" w:cs="Times New Roman" w:eastAsia="Times New Roman" w:hAnsi="Times New Roman"/>
          <w:sz w:val="18"/>
          <w:szCs w:val="18"/>
          <w:color w:val="auto"/>
        </w:rPr>
        <w:t>On July 24, 2024, the Company entered into an equity distribution agreement, or At-the-Market Offering agreement, (the "2024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which expired by its terms on June 21, 2024. Under the terms of the 2024 Sales Agreement, the Company may, from time to time, issue and sell shares of its Class A common stock, having an aggregate offering price of up to $400,000, through the Sales Agents as either agents or principals.</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directly through a market maker other than on an exchange. The Company has no obligation to sell any of the Class A Common stock under the 2021 Sales Agreement and may at any time suspend solicitations and offers under the 2024 Sales Agreement.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no shares of our Class A common stock have been sold under the 2024 Sales Agreement or were sold under the prior Sales Agreement.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Shelf Registration. </w:t>
      </w:r>
      <w:r>
        <w:rPr>
          <w:rFonts w:ascii="Times New Roman" w:cs="Times New Roman" w:eastAsia="Times New Roman" w:hAnsi="Times New Roman"/>
          <w:sz w:val="18"/>
          <w:szCs w:val="18"/>
          <w:color w:val="auto"/>
        </w:rPr>
        <w:t>On July 24, 2024, the Company filed an automatically effective shelf registration statement that allows Lamar Advertising to offer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an indeterminate amount of additional shares of its Class A common stock. The shelf registration statement replaced a prior shelf registration statement which expired. During the nine months ended September 30, 2024 and the year ended December 31, 2023, the Company did not issue any shares under its shelf registration statements.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 </w:t>
      </w:r>
      <w:r>
        <w:rPr>
          <w:rFonts w:ascii="Times New Roman" w:cs="Times New Roman" w:eastAsia="Times New Roman" w:hAnsi="Times New Roman"/>
          <w:sz w:val="18"/>
          <w:szCs w:val="18"/>
          <w:color w:val="auto"/>
        </w:rPr>
        <w:t>The Company’s Board of Directors has authorized the repurchase of up to $250,000 of the Company’s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September 24, 2024, the Board of Directors authorized the extension of the repurchase program through March 31, 2026. There were no repurchases under the program as of September 30, 2024.</w:t>
      </w:r>
    </w:p>
    <w:p>
      <w:pPr>
        <w:spacing w:after="0" w:line="229" w:lineRule="exact"/>
        <w:rPr>
          <w:sz w:val="20"/>
          <w:szCs w:val="20"/>
          <w:color w:val="auto"/>
        </w:rPr>
      </w:pPr>
    </w:p>
    <w:p>
      <w:pPr>
        <w:ind w:left="280" w:hanging="272"/>
        <w:spacing w:after="0"/>
        <w:tabs>
          <w:tab w:leader="none" w:pos="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Events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15, 2024, the Company amended its Accounts Receivable Securitization Program to extend the Program’s maturity date from July 21, 2025 to October 15, 2027, with a springing maturity date under certain conditions. All other significant terms and conditions were unchanged. See Note 10, "Long-Term Debt" for additional details on this amendment.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44,105</w:t>
            </w:r>
          </w:p>
        </w:tc>
        <w:tc>
          <w:tcPr>
            <w:tcW w:w="0" w:type="dxa"/>
            <w:vAlign w:val="bottom"/>
          </w:tcPr>
          <w:p>
            <w:pPr>
              <w:spacing w:after="0"/>
              <w:rPr>
                <w:sz w:val="1"/>
                <w:szCs w:val="1"/>
                <w:color w:val="auto"/>
              </w:rPr>
            </w:pPr>
          </w:p>
        </w:tc>
      </w:tr>
      <w:tr>
        <w:trPr>
          <w:trHeight w:val="21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Receivables, net of allowance for doubtful accounts of $12,379 and $12,477 in 2024 and 2023, respectively</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351,230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301,189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27,392</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411,820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372,686</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4,334,964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4,274,831</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(2,791,041)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(2,708,361)</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1,543,923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1,566,470</w:t>
            </w:r>
          </w:p>
        </w:tc>
        <w:tc>
          <w:tcPr>
            <w:tcW w:w="0" w:type="dxa"/>
            <w:vAlign w:val="bottom"/>
          </w:tcPr>
          <w:p>
            <w:pPr>
              <w:spacing w:after="0"/>
              <w:rPr>
                <w:sz w:val="1"/>
                <w:szCs w:val="1"/>
                <w:color w:val="auto"/>
              </w:rPr>
            </w:pPr>
          </w:p>
        </w:tc>
      </w:tr>
      <w:tr>
        <w:trPr>
          <w:trHeight w:val="207"/>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1,336,062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1,315,433</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right of use assets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11,184</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2,025,073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2,025,119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1,085,913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1,170,967</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91,489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85,021</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6,503,324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6,546,880</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2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 accounts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maturities of long-term debt, net of deferred financing costs of $212 and $380 in 2024 and 2023, respectively</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250,018</w:t>
            </w:r>
          </w:p>
        </w:tc>
        <w:tc>
          <w:tcPr>
            <w:tcW w:w="0" w:type="dxa"/>
            <w:vAlign w:val="bottom"/>
          </w:tcPr>
          <w:p>
            <w:pPr>
              <w:spacing w:after="0"/>
              <w:rPr>
                <w:sz w:val="1"/>
                <w:szCs w:val="1"/>
                <w:color w:val="auto"/>
              </w:rPr>
            </w:pPr>
          </w:p>
        </w:tc>
      </w:tr>
      <w:tr>
        <w:trPr>
          <w:trHeight w:val="21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210,568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financing lease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0" w:type="dxa"/>
            <w:vAlign w:val="bottom"/>
          </w:tcPr>
          <w:p>
            <w:pPr>
              <w:spacing w:after="0"/>
              <w:rPr>
                <w:sz w:val="1"/>
                <w:szCs w:val="1"/>
                <w:color w:val="auto"/>
              </w:rPr>
            </w:pPr>
          </w:p>
        </w:tc>
      </w:tr>
      <w:tr>
        <w:trPr>
          <w:trHeight w:val="21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97,464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170,660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126,547</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728,295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704,166</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costs of $24,204 and $28,865 in 2024 and 2023, respectively</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2,995,705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3,091,109</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1,099,721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1,075,285</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14,614</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397,991</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48,189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41,891</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5,296,688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5,337,103</w:t>
            </w:r>
          </w:p>
        </w:tc>
        <w:tc>
          <w:tcPr>
            <w:tcW w:w="0" w:type="dxa"/>
            <w:vAlign w:val="bottom"/>
          </w:tcPr>
          <w:p>
            <w:pPr>
              <w:spacing w:after="0"/>
              <w:rPr>
                <w:sz w:val="1"/>
                <w:szCs w:val="1"/>
                <w:color w:val="auto"/>
              </w:rPr>
            </w:pPr>
          </w:p>
        </w:tc>
      </w:tr>
      <w:tr>
        <w:trPr>
          <w:trHeight w:val="19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stock, par value $0.01, 3,000 shares authorized, 100 shares issued and outstanding at 2024 and 2023</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3,222,683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3,173,789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(2,015,478)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(1,963,998)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1,206,636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1,209,777</w:t>
            </w:r>
          </w:p>
        </w:tc>
        <w:tc>
          <w:tcPr>
            <w:tcW w:w="0" w:type="dxa"/>
            <w:vAlign w:val="bottom"/>
          </w:tcPr>
          <w:p>
            <w:pPr>
              <w:spacing w:after="0"/>
              <w:rPr>
                <w:sz w:val="1"/>
                <w:szCs w:val="1"/>
                <w:color w:val="auto"/>
              </w:rPr>
            </w:pPr>
          </w:p>
        </w:tc>
      </w:tr>
      <w:tr>
        <w:trPr>
          <w:trHeight w:val="235"/>
        </w:trPr>
        <w:tc>
          <w:tcPr>
            <w:tcW w:w="80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6,503,324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6,546,880</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564,135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542,609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1,627,536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1,555,078</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 advertising expenses (exclusive of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182,585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541,495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515,403</w:t>
            </w:r>
          </w:p>
        </w:tc>
        <w:tc>
          <w:tcPr>
            <w:tcW w:w="0" w:type="dxa"/>
            <w:vAlign w:val="bottom"/>
          </w:tcPr>
          <w:p>
            <w:pPr>
              <w:spacing w:after="0"/>
              <w:rPr>
                <w:sz w:val="1"/>
                <w:szCs w:val="1"/>
                <w:color w:val="auto"/>
              </w:rPr>
            </w:pPr>
          </w:p>
        </w:tc>
      </w:tr>
      <w:tr>
        <w:trPr>
          <w:trHeight w:val="175"/>
        </w:trPr>
        <w:tc>
          <w:tcPr>
            <w:tcW w:w="56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General and administrative expenses (exclusive of depreciation and</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91,006</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256,944</w:t>
            </w:r>
          </w:p>
        </w:tc>
        <w:tc>
          <w:tcPr>
            <w:tcW w:w="0" w:type="dxa"/>
            <w:vAlign w:val="bottom"/>
          </w:tcPr>
          <w:p>
            <w:pPr>
              <w:spacing w:after="0"/>
              <w:rPr>
                <w:sz w:val="1"/>
                <w:szCs w:val="1"/>
                <w:color w:val="auto"/>
              </w:rPr>
            </w:pPr>
          </w:p>
        </w:tc>
      </w:tr>
      <w:tr>
        <w:trPr>
          <w:trHeight w:val="229"/>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expenses (exclusive of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99,675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80,948</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222,919</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377,468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1,131,723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1,070,971</w:t>
            </w:r>
          </w:p>
        </w:tc>
        <w:tc>
          <w:tcPr>
            <w:tcW w:w="0" w:type="dxa"/>
            <w:vAlign w:val="bottom"/>
          </w:tcPr>
          <w:p>
            <w:pPr>
              <w:spacing w:after="0"/>
              <w:rPr>
                <w:sz w:val="1"/>
                <w:szCs w:val="1"/>
                <w:color w:val="auto"/>
              </w:rPr>
            </w:pPr>
          </w:p>
        </w:tc>
      </w:tr>
      <w:tr>
        <w:trPr>
          <w:trHeight w:val="223"/>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186,667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484,107</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131,761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130,163</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128,243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127,393</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(benefit)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367,570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356,714</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8,821</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147,933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364,345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347,893</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347,060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147,933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364,345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347,893</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147,970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363,559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347,651</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controlling interest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147,624</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139,511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362,710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346,818</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980" w:type="dxa"/>
            <w:vAlign w:val="bottom"/>
            <w:vMerge w:val="restart"/>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980" w:type="dxa"/>
            <w:vAlign w:val="bottom"/>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98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3,173,789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(1,963,998)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1,209,777</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27,680</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Reallocation of capital</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(138,848)</w:t>
            </w: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3,200,451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(2,024,005)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1,176,854</w:t>
            </w:r>
          </w:p>
        </w:tc>
        <w:tc>
          <w:tcPr>
            <w:tcW w:w="0" w:type="dxa"/>
            <w:vAlign w:val="bottom"/>
          </w:tcPr>
          <w:p>
            <w:pPr>
              <w:spacing w:after="0"/>
              <w:rPr>
                <w:sz w:val="1"/>
                <w:szCs w:val="1"/>
                <w:color w:val="auto"/>
              </w:rPr>
            </w:pPr>
          </w:p>
        </w:tc>
      </w:tr>
      <w:tr>
        <w:trPr>
          <w:trHeight w:val="223"/>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9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11,033</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137,775</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(133,334)</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3,211,484</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(2,019,575)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1,191,897</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147,933</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(144,430)</w:t>
            </w:r>
          </w:p>
        </w:tc>
        <w:tc>
          <w:tcPr>
            <w:tcW w:w="0" w:type="dxa"/>
            <w:vAlign w:val="bottom"/>
          </w:tcPr>
          <w:p>
            <w:pPr>
              <w:spacing w:after="0"/>
              <w:rPr>
                <w:sz w:val="1"/>
                <w:szCs w:val="1"/>
                <w:color w:val="auto"/>
              </w:rPr>
            </w:pPr>
          </w:p>
        </w:tc>
      </w:tr>
      <w:tr>
        <w:trPr>
          <w:trHeight w:val="24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3,222,683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1,206,636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2860" w:type="dxa"/>
            <w:vAlign w:val="bottom"/>
          </w:tcPr>
          <w:p>
            <w:pPr>
              <w:spacing w:after="0"/>
              <w:rPr>
                <w:sz w:val="24"/>
                <w:szCs w:val="24"/>
                <w:color w:val="auto"/>
              </w:rPr>
            </w:pPr>
          </w:p>
        </w:tc>
        <w:tc>
          <w:tcPr>
            <w:tcW w:w="980" w:type="dxa"/>
            <w:vAlign w:val="bottom"/>
            <w:vMerge w:val="restart"/>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8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980" w:type="dxa"/>
            <w:vAlign w:val="bottom"/>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98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3,132,178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(1,944,018)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1,187,501</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23,447</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Reallocation of capital</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76,334</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(133,620)</w:t>
            </w: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3,154,609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(2,001,247)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1,153,041</w:t>
            </w:r>
          </w:p>
        </w:tc>
        <w:tc>
          <w:tcPr>
            <w:tcW w:w="0" w:type="dxa"/>
            <w:vAlign w:val="bottom"/>
          </w:tcPr>
          <w:p>
            <w:pPr>
              <w:spacing w:after="0"/>
              <w:rPr>
                <w:sz w:val="1"/>
                <w:szCs w:val="1"/>
                <w:color w:val="auto"/>
              </w:rPr>
            </w:pPr>
          </w:p>
        </w:tc>
      </w:tr>
      <w:tr>
        <w:trPr>
          <w:trHeight w:val="223"/>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9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130,997</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(127,692)</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June 30, 2023</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3,160,907</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(1,998,057)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1,163,047</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140,562</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(128,419)</w:t>
            </w:r>
          </w:p>
        </w:tc>
        <w:tc>
          <w:tcPr>
            <w:tcW w:w="0" w:type="dxa"/>
            <w:vAlign w:val="bottom"/>
          </w:tcPr>
          <w:p>
            <w:pPr>
              <w:spacing w:after="0"/>
              <w:rPr>
                <w:sz w:val="1"/>
                <w:szCs w:val="1"/>
                <w:color w:val="auto"/>
              </w:rPr>
            </w:pPr>
          </w:p>
        </w:tc>
      </w:tr>
      <w:tr>
        <w:trPr>
          <w:trHeight w:val="24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2023</w:t>
            </w: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3,165,983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1,179,623</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4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364,345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347,893</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227,531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222,919</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Non-cash compensation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16,362</w:t>
            </w:r>
          </w:p>
        </w:tc>
        <w:tc>
          <w:tcPr>
            <w:tcW w:w="0" w:type="dxa"/>
            <w:vAlign w:val="bottom"/>
          </w:tcPr>
          <w:p>
            <w:pPr>
              <w:spacing w:after="0"/>
              <w:rPr>
                <w:sz w:val="1"/>
                <w:szCs w:val="1"/>
                <w:color w:val="auto"/>
              </w:rPr>
            </w:pPr>
          </w:p>
        </w:tc>
      </w:tr>
      <w:tr>
        <w:trPr>
          <w:trHeight w:val="195"/>
        </w:trPr>
        <w:tc>
          <w:tcPr>
            <w:tcW w:w="84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included in interest expense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4,920</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disposition of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(5,243)</w:t>
            </w:r>
          </w:p>
        </w:tc>
        <w:tc>
          <w:tcPr>
            <w:tcW w:w="0" w:type="dxa"/>
            <w:vAlign w:val="bottom"/>
          </w:tcPr>
          <w:p>
            <w:pPr>
              <w:spacing w:after="0"/>
              <w:rPr>
                <w:sz w:val="1"/>
                <w:szCs w:val="1"/>
                <w:color w:val="auto"/>
              </w:rPr>
            </w:pPr>
          </w:p>
        </w:tc>
      </w:tr>
      <w:tr>
        <w:trPr>
          <w:trHeight w:val="195"/>
        </w:trPr>
        <w:tc>
          <w:tcPr>
            <w:tcW w:w="84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Equity in earnings of investee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0" w:type="dxa"/>
            <w:vAlign w:val="bottom"/>
          </w:tcPr>
          <w:p>
            <w:pPr>
              <w:spacing w:after="0"/>
              <w:rPr>
                <w:sz w:val="1"/>
                <w:szCs w:val="1"/>
                <w:color w:val="auto"/>
              </w:rPr>
            </w:pPr>
          </w:p>
        </w:tc>
      </w:tr>
      <w:tr>
        <w:trPr>
          <w:trHeight w:val="195"/>
        </w:trPr>
        <w:tc>
          <w:tcPr>
            <w:tcW w:w="84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tax (benefit) expense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8,609</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(Increase) decrease 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Receivables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(33,755)</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Prepaid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0" w:type="dxa"/>
            <w:vAlign w:val="bottom"/>
          </w:tcPr>
          <w:p>
            <w:pPr>
              <w:spacing w:after="0"/>
              <w:rPr>
                <w:sz w:val="1"/>
                <w:szCs w:val="1"/>
                <w:color w:val="auto"/>
              </w:rPr>
            </w:pPr>
          </w:p>
        </w:tc>
      </w:tr>
      <w:tr>
        <w:trPr>
          <w:trHeight w:val="195"/>
        </w:trPr>
        <w:tc>
          <w:tcPr>
            <w:tcW w:w="84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Increase (decrease) 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Trade accounts payable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Accrued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(8,049)</w:t>
            </w:r>
          </w:p>
        </w:tc>
        <w:tc>
          <w:tcPr>
            <w:tcW w:w="0" w:type="dxa"/>
            <w:vAlign w:val="bottom"/>
          </w:tcPr>
          <w:p>
            <w:pPr>
              <w:spacing w:after="0"/>
              <w:rPr>
                <w:sz w:val="1"/>
                <w:szCs w:val="1"/>
                <w:color w:val="auto"/>
              </w:rPr>
            </w:pPr>
          </w:p>
        </w:tc>
      </w:tr>
      <w:tr>
        <w:trPr>
          <w:trHeight w:val="195"/>
        </w:trPr>
        <w:tc>
          <w:tcPr>
            <w:tcW w:w="84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(25,838)</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Other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(18,026)</w:t>
            </w:r>
          </w:p>
        </w:tc>
        <w:tc>
          <w:tcPr>
            <w:tcW w:w="0" w:type="dxa"/>
            <w:vAlign w:val="bottom"/>
          </w:tcPr>
          <w:p>
            <w:pPr>
              <w:spacing w:after="0"/>
              <w:rPr>
                <w:sz w:val="1"/>
                <w:szCs w:val="1"/>
                <w:color w:val="auto"/>
              </w:rPr>
            </w:pPr>
          </w:p>
        </w:tc>
      </w:tr>
      <w:tr>
        <w:trPr>
          <w:trHeight w:val="190"/>
        </w:trPr>
        <w:tc>
          <w:tcPr>
            <w:tcW w:w="846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561,294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504,727</w:t>
            </w:r>
          </w:p>
        </w:tc>
        <w:tc>
          <w:tcPr>
            <w:tcW w:w="0" w:type="dxa"/>
            <w:vAlign w:val="bottom"/>
          </w:tcPr>
          <w:p>
            <w:pPr>
              <w:spacing w:after="0"/>
              <w:rPr>
                <w:sz w:val="1"/>
                <w:szCs w:val="1"/>
                <w:color w:val="auto"/>
              </w:rPr>
            </w:pPr>
          </w:p>
        </w:tc>
      </w:tr>
      <w:tr>
        <w:trPr>
          <w:trHeight w:val="18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(31,083)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(120,324)</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Capital expenditures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(132,152)</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disposition of assets and investments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6,489</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Decrease in notes receivable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90"/>
        </w:trPr>
        <w:tc>
          <w:tcPr>
            <w:tcW w:w="846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(108,046)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(245,925)</w:t>
            </w:r>
          </w:p>
        </w:tc>
        <w:tc>
          <w:tcPr>
            <w:tcW w:w="0" w:type="dxa"/>
            <w:vAlign w:val="bottom"/>
          </w:tcPr>
          <w:p>
            <w:pPr>
              <w:spacing w:after="0"/>
              <w:rPr>
                <w:sz w:val="1"/>
                <w:szCs w:val="1"/>
                <w:color w:val="auto"/>
              </w:rPr>
            </w:pPr>
          </w:p>
        </w:tc>
      </w:tr>
      <w:tr>
        <w:trPr>
          <w:trHeight w:val="18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Principal payments on financing leases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 on revolving credit facility</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(243,000)</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received from revolving credit facility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333,000</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received from accounts receivable securitization program</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72,000</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Payments on accounts receivable securitization program</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(74,900)</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 on senior credit facility term loans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Debt issuance costs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Contributions from parent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34,821</w:t>
            </w:r>
          </w:p>
        </w:tc>
        <w:tc>
          <w:tcPr>
            <w:tcW w:w="0" w:type="dxa"/>
            <w:vAlign w:val="bottom"/>
          </w:tcPr>
          <w:p>
            <w:pPr>
              <w:spacing w:after="0"/>
              <w:rPr>
                <w:sz w:val="1"/>
                <w:szCs w:val="1"/>
                <w:color w:val="auto"/>
              </w:rPr>
            </w:pPr>
          </w:p>
        </w:tc>
      </w:tr>
      <w:tr>
        <w:trPr>
          <w:trHeight w:val="196"/>
        </w:trPr>
        <w:tc>
          <w:tcPr>
            <w:tcW w:w="8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Dividend to parent</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(414,976)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(388,569)</w:t>
            </w:r>
          </w:p>
        </w:tc>
        <w:tc>
          <w:tcPr>
            <w:tcW w:w="0" w:type="dxa"/>
            <w:vAlign w:val="bottom"/>
          </w:tcPr>
          <w:p>
            <w:pPr>
              <w:spacing w:after="0"/>
              <w:rPr>
                <w:sz w:val="1"/>
                <w:szCs w:val="1"/>
                <w:color w:val="auto"/>
              </w:rPr>
            </w:pPr>
          </w:p>
        </w:tc>
      </w:tr>
      <w:tr>
        <w:trPr>
          <w:trHeight w:val="203"/>
        </w:trPr>
        <w:tc>
          <w:tcPr>
            <w:tcW w:w="84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(468,219)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(272,043)</w:t>
            </w:r>
          </w:p>
        </w:tc>
        <w:tc>
          <w:tcPr>
            <w:tcW w:w="0" w:type="dxa"/>
            <w:vAlign w:val="bottom"/>
          </w:tcPr>
          <w:p>
            <w:pPr>
              <w:spacing w:after="0"/>
              <w:rPr>
                <w:sz w:val="1"/>
                <w:szCs w:val="1"/>
                <w:color w:val="auto"/>
              </w:rPr>
            </w:pPr>
          </w:p>
        </w:tc>
      </w:tr>
      <w:tr>
        <w:trPr>
          <w:trHeight w:val="190"/>
        </w:trPr>
        <w:tc>
          <w:tcPr>
            <w:tcW w:w="8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Effect of exchange rate changes in cash and cash equivalents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3"/>
        </w:trPr>
        <w:tc>
          <w:tcPr>
            <w:tcW w:w="84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(13,224)</w:t>
            </w:r>
          </w:p>
        </w:tc>
        <w:tc>
          <w:tcPr>
            <w:tcW w:w="0" w:type="dxa"/>
            <w:vAlign w:val="bottom"/>
          </w:tcPr>
          <w:p>
            <w:pPr>
              <w:spacing w:after="0"/>
              <w:rPr>
                <w:sz w:val="1"/>
                <w:szCs w:val="1"/>
                <w:color w:val="auto"/>
              </w:rPr>
            </w:pPr>
          </w:p>
        </w:tc>
      </w:tr>
      <w:tr>
        <w:trPr>
          <w:trHeight w:val="196"/>
        </w:trPr>
        <w:tc>
          <w:tcPr>
            <w:tcW w:w="8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44,105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52,119</w:t>
            </w:r>
          </w:p>
        </w:tc>
        <w:tc>
          <w:tcPr>
            <w:tcW w:w="0" w:type="dxa"/>
            <w:vAlign w:val="bottom"/>
          </w:tcPr>
          <w:p>
            <w:pPr>
              <w:spacing w:after="0"/>
              <w:rPr>
                <w:sz w:val="1"/>
                <w:szCs w:val="1"/>
                <w:color w:val="auto"/>
              </w:rPr>
            </w:pPr>
          </w:p>
        </w:tc>
      </w:tr>
      <w:tr>
        <w:trPr>
          <w:trHeight w:val="221"/>
        </w:trPr>
        <w:tc>
          <w:tcPr>
            <w:tcW w:w="8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38,895</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4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8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for interest</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127,250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125,117</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Cash paid for foreign, state and federal income taxes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6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7,075</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315"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Lamar Media’s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Lamar Media’s consolidated financial statements and the notes thereto included in the 2023 Combined Form 10-K.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notes are not provided for the accompanying condensed consolidated financial statements as the information in notes 1, 2, 3, 4, 5, 6, 7, 8, 10, 11, 12, 14, 15, and 16 to the condensed consolidated financial statements of Lamar Advertising included elsewhere in this report is substantially equivalent to that required for the condensed consolidated financial statements of Lamar Media. Earnings per share data is not provided for Lamar Media, as it is a wholly owned subsidiary of the Company.</w:t>
      </w:r>
    </w:p>
    <w:p>
      <w:pPr>
        <w:spacing w:after="0" w:line="288"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Summarized Financial Information of Subsidiaries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Summarized financial information for Lamar Media, subsidiary guarantors and non-guarantor subsidiaries is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summarized financial information. The following summarized financial information should be read in conjunction with the accompanying consolidated financial statements and notes. Separate financial statements of Lamar Media’s subsidiary guarantors are not included because the guarantors are each a consolidated subsidiary of Lamar Media, Lamar Media’s consolidated financial statements have been filed, and the guaranteed securities are debt securities with Lamar Media as the issuer. The accounts for all companies reflected herein are presented using the equity method of accounting for investments in subsidiaries.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Summarized Balance Sheet as of September 30,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Lamar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Media Corp.</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19,443</w:t>
            </w:r>
          </w:p>
        </w:tc>
        <w:tc>
          <w:tcPr>
            <w:tcW w:w="100" w:type="dxa"/>
            <w:vAlign w:val="bottom"/>
            <w:shd w:val="clear" w:color="auto" w:fill="CCEEFF"/>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37,482</w:t>
            </w:r>
          </w:p>
        </w:tc>
        <w:tc>
          <w:tcPr>
            <w:tcW w:w="100" w:type="dxa"/>
            <w:vAlign w:val="bottom"/>
            <w:shd w:val="clear" w:color="auto" w:fill="CCEEFF"/>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354,895</w:t>
            </w:r>
          </w:p>
        </w:tc>
        <w:tc>
          <w:tcPr>
            <w:tcW w:w="100" w:type="dxa"/>
            <w:vAlign w:val="bottom"/>
            <w:shd w:val="clear" w:color="auto" w:fill="CCEEFF"/>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411,820</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4,544,652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6,334,441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300,552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(5,088,141)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6,091,504</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272,074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728,295</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3,284,935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1,510,404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404,352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4,568,393</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Summarized Balance Sheet as of December 31,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Corp.</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37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40" w:type="dxa"/>
            <w:vAlign w:val="bottom"/>
            <w:tcBorders>
              <w:top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33,875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309,906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372,686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4,596,516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6,359,236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318,095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(5,099,653)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6,174,194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tcBorders>
              <w:right w:val="single" w:sz="8" w:color="CCEEFF"/>
            </w:tcBorders>
            <w:shd w:val="clear" w:color="auto" w:fill="CFF0FC"/>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387,408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271,533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3,375,803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1,476,097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368,208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(587,171)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4,632,937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440" w:type="dxa"/>
            <w:vAlign w:val="bottom"/>
            <w:tcBorders>
              <w:right w:val="single" w:sz="8" w:color="CCEEFF"/>
            </w:tcBorders>
            <w:shd w:val="clear" w:color="auto" w:fill="CFF0FC"/>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6"/>
        </w:trPr>
        <w:tc>
          <w:tcPr>
            <w:tcW w:w="8440" w:type="dxa"/>
            <w:vAlign w:val="bottom"/>
            <w:gridSpan w:val="16"/>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4660" w:type="dxa"/>
            <w:vAlign w:val="bottom"/>
            <w:gridSpan w:val="15"/>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 2024</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3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Corp.</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8"/>
        </w:trPr>
        <w:tc>
          <w:tcPr>
            <w:tcW w:w="37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40" w:type="dxa"/>
            <w:vAlign w:val="bottom"/>
            <w:tcBorders>
              <w:top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1,592,981</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36,253</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(1,698)</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1,627,536</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1,096,444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496,537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495,813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363,496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491,782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(7,381)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(483,552)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Net income (loss) attributable to controlling interest</w:t>
            </w:r>
          </w:p>
        </w:tc>
        <w:tc>
          <w:tcPr>
            <w:tcW w:w="4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363,496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491,201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(7,649)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(483,552)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363,496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3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4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Corp.</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4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1,525,275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w w:val="96"/>
              </w:rPr>
              <w:t>31,810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1,555,078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1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1,039,312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left="476"/>
              <w:spacing w:after="0"/>
              <w:rPr>
                <w:sz w:val="20"/>
                <w:szCs w:val="20"/>
                <w:color w:val="auto"/>
              </w:rPr>
            </w:pPr>
            <w:r>
              <w:rPr>
                <w:rFonts w:ascii="Times New Roman" w:cs="Times New Roman" w:eastAsia="Times New Roman" w:hAnsi="Times New Roman"/>
                <w:sz w:val="18"/>
                <w:szCs w:val="18"/>
                <w:color w:val="auto"/>
                <w:w w:val="96"/>
              </w:rPr>
              <w:t>33,666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1,070,971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(466,361)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(13,427)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(466,361)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56"/>
        </w:trPr>
        <w:tc>
          <w:tcPr>
            <w:tcW w:w="40" w:type="dxa"/>
            <w:vAlign w:val="bottom"/>
          </w:tcPr>
          <w:p>
            <w:pPr>
              <w:spacing w:after="0"/>
              <w:rPr>
                <w:sz w:val="24"/>
                <w:szCs w:val="24"/>
                <w:color w:val="auto"/>
              </w:rPr>
            </w:pPr>
          </w:p>
        </w:tc>
        <w:tc>
          <w:tcPr>
            <w:tcW w:w="8340" w:type="dxa"/>
            <w:vAlign w:val="bottom"/>
            <w:gridSpan w:val="15"/>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340" w:type="dxa"/>
            <w:vAlign w:val="bottom"/>
            <w:gridSpan w:val="15"/>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September 30, 2024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552,011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1"/>
        </w:trPr>
        <w:tc>
          <w:tcPr>
            <w:tcW w:w="40" w:type="dxa"/>
            <w:vAlign w:val="bottom"/>
          </w:tcPr>
          <w:p>
            <w:pPr>
              <w:spacing w:after="0"/>
              <w:rPr>
                <w:sz w:val="24"/>
                <w:szCs w:val="24"/>
                <w:color w:val="auto"/>
              </w:rPr>
            </w:pPr>
          </w:p>
        </w:tc>
        <w:tc>
          <w:tcPr>
            <w:tcW w:w="8340" w:type="dxa"/>
            <w:vAlign w:val="bottom"/>
            <w:gridSpan w:val="15"/>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340" w:type="dxa"/>
            <w:vAlign w:val="bottom"/>
            <w:gridSpan w:val="15"/>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September 30, 2023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532,112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left="476"/>
              <w:spacing w:after="0"/>
              <w:rPr>
                <w:sz w:val="20"/>
                <w:szCs w:val="20"/>
                <w:color w:val="auto"/>
              </w:rPr>
            </w:pPr>
            <w:r>
              <w:rPr>
                <w:rFonts w:ascii="Times New Roman" w:cs="Times New Roman" w:eastAsia="Times New Roman" w:hAnsi="Times New Roman"/>
                <w:sz w:val="18"/>
                <w:szCs w:val="18"/>
                <w:color w:val="auto"/>
                <w:w w:val="98"/>
              </w:rPr>
              <w:t>(3,724)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w w:val="98"/>
              </w:rPr>
              <w:t>(4,010)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color w:val="auto"/>
                <w:w w:val="99"/>
              </w:rPr>
              <w:t>28</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Actual results could differ materially from those anticipated by the forward-looking statements due to risks and uncertainties described in the section of this combined report on Form 10-Q entitled “Note Regarding Forward-Looking Statements” and in Item 1A to the 2023 Combined Form 10-K filed on February 23, 2024, and as such risk factors as further updated or supplemented, from time to time, in our combined Quarterly Reports on Form 10-Q and Current Reports on Form 8-K. You should carefully consider each of these risks and uncertainties in evaluating the Company’s and Lamar Media’s financial conditions and results of operations. Investors are cautioned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the Company for the three and nine months ended September 30, 2024 and 2023. This discussion should be read in conjunction with the condensed consolidated financial statements of the Company and the related notes thereto.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net revenues are derived primarily from the rental of advertising space on outdoor advertising displays owned and operated by the Company.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that the Company is able to charge for advertising on its displays and its ability to maximize advertising sales or occupancy on its displays.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capital expenditures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its senior credit facility or the issuance of debt or equity securities. See “Liquidity and Capital Resources- </w:t>
      </w:r>
      <w:r>
        <w:rPr>
          <w:rFonts w:ascii="Times New Roman" w:cs="Times New Roman" w:eastAsia="Times New Roman" w:hAnsi="Times New Roman"/>
          <w:sz w:val="18"/>
          <w:szCs w:val="18"/>
          <w:i w:val="1"/>
          <w:iCs w:val="1"/>
          <w:color w:val="auto"/>
        </w:rPr>
        <w:t>Sources of Cash</w:t>
      </w:r>
      <w:r>
        <w:rPr>
          <w:rFonts w:ascii="Times New Roman" w:cs="Times New Roman" w:eastAsia="Times New Roman" w:hAnsi="Times New Roman"/>
          <w:sz w:val="18"/>
          <w:szCs w:val="18"/>
          <w:color w:val="auto"/>
        </w:rPr>
        <w:t>” for more information.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2024, the Company completed multiple acquisitions for a total cash purchase price of approximately $31.1 million. See </w:t>
      </w:r>
      <w:r>
        <w:rPr>
          <w:rFonts w:ascii="Times New Roman" w:cs="Times New Roman" w:eastAsia="Times New Roman" w:hAnsi="Times New Roman"/>
          <w:sz w:val="18"/>
          <w:szCs w:val="18"/>
          <w:i w:val="1"/>
          <w:iCs w:val="1"/>
          <w:color w:val="auto"/>
        </w:rPr>
        <w:t>Uses of Cash – Acquisitions</w:t>
      </w:r>
      <w:r>
        <w:rPr>
          <w:rFonts w:ascii="Times New Roman" w:cs="Times New Roman" w:eastAsia="Times New Roman" w:hAnsi="Times New Roman"/>
          <w:sz w:val="18"/>
          <w:szCs w:val="18"/>
          <w:color w:val="auto"/>
        </w:rPr>
        <w:t xml:space="preserve"> for more information. 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three and nine months ended September 30, 2024 and 2023:</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56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Billboard — traditional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18,485</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40,619</w:t>
            </w:r>
          </w:p>
        </w:tc>
      </w:tr>
      <w:tr>
        <w:trPr>
          <w:trHeight w:val="230"/>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Billboard — digital</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14,703</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39,311</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59,598</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Logos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9,499</w:t>
            </w:r>
          </w:p>
        </w:tc>
      </w:tr>
      <w:tr>
        <w:trPr>
          <w:trHeight w:val="22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Transit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9,785</w:t>
            </w:r>
          </w:p>
        </w:tc>
      </w:tr>
      <w:tr>
        <w:trPr>
          <w:trHeight w:val="230"/>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equipment</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10,261</w:t>
            </w:r>
          </w:p>
        </w:tc>
      </w:tr>
      <w:tr>
        <w:trPr>
          <w:trHeight w:val="223"/>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82,270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132,152</w:t>
            </w: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 before income tax expense (benefit), interest expense (income), equity in (earnings) loss of investee, loss (gain) on extinguishment of debt and investments, stock-based compensation, depreciation and amortization, loss (gain) on disposition of assets and investments, transaction expenses and capitalized contract fulfillment costs, net.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FFO is defined as net income before (gain) loss from the sale or disposal of real estate assets and investments, net of tax, and real estate related depreciation and amortization and including adjustments to eliminate unconsolidated affiliates and non-controlling interest.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define AFFO as FFO before (i) straight-line income and expense; (ii) capitalized contract fulfillment costs, net (iii) stock-based compensation expense;</w:t>
      </w:r>
    </w:p>
    <w:p>
      <w:pPr>
        <w:spacing w:after="0" w:line="27"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portion of tax expense (benefit); (v) non-real estate related depreciation and amortization; (vi) amortization of deferred financing costs;</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38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 (viii) transaction expenses; (ix) non-recurring infrequent or unusual losses (gains); (x) less maintenance capital expenditures; and (xi) an adjustment for unconsolidated affiliates and non-controlling interest.</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also adjust the prior period to subtract revenue generated by the assets that have been divested since the prior period and, therefore, no revenue derived from those assets is reflected in the current period.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FFO, AFFO and acquisition-adjusted net revenue are not intended to replace net income or any other performance measures determined in accordance with GAAP. Neither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decision-making and for evaluating our core operating results;</w:t>
      </w:r>
    </w:p>
    <w:p>
      <w:pPr>
        <w:spacing w:after="0" w:line="5" w:lineRule="exact"/>
        <w:rPr>
          <w:sz w:val="20"/>
          <w:szCs w:val="20"/>
          <w:color w:val="auto"/>
        </w:rPr>
      </w:pPr>
    </w:p>
    <w:p>
      <w:pPr>
        <w:jc w:val="both"/>
        <w:ind w:firstLine="8"/>
        <w:spacing w:after="0" w:line="252" w:lineRule="auto"/>
        <w:tabs>
          <w:tab w:leader="none" w:pos="27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widely used in the industry to measure operating performance as depreciation and amortization may vary significantly among companies depending upon accounting methods and useful lives, particularly where acquisitions and non-operating factors are involved; (3) acquisition-adjusted net revenue is a supplement to net revenue to enable investors to compare period-over-period results on a more consistent basis without the effects of acquisitions and divestitures, which reflects our core performance and organic growth (if any) during the period in which the assets were owned and managed by us; (4) adjusted EBITDA, FFO and AFFO each provide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compared to nine months ended September 30,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increased $72.5 million or 4.7% to $1.63 billion for the nine months ended September 30, 2024 from $1.56 billion for the same period in 2023. This increase was primarily attributable to an increase in billboard net revenues of $59.4 million and an increase in transit net revenues of $12.1 million over the same period in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there was a $66.2 million increase in net revenues as compared to acquisition-adjusted net revenues for the nine months ended September 30, 2023, which represents an increase of 4.2%. See "Reconciliations" below. The $66.2 million increase in revenue is primarily due to an increase of $52.6 million in billboard net revenues as well as an increase in transit net revenues of $12.6 million over the same period in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$56.4 million, or 6.6%, to $910.1 million for the nine months ended September 30, 2024 from $853.7 million for the same period in 2023. The $56.4 million increase over the prior year is comprised of a $35.1 million increase in total direct, general and administrative and corporate expenses (excluding stock-based compensation) primarily related to the operations of our outdoor advertising assets, as well as a $21.4 million increase in stock-based compensation.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$4.6 million to $227.5 million for the nine months ended September 30, 2024 as compared to $222.9 million for the same period in 2023, primarily related to acquisitions and capital expenditures completed in the last twelve months.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the Company recognized a gain on disposition of assets of $5.5 million primarily resulting from transactions related to the sale of real estate and billboard locations and displays.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$11.7 million to $495.4 million for the nine months ended September 30, 2024 as compared to $483.7 million for the same period in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$1.6 million for the nine months ended September 30, 2024 to $131.8 million as compared to $130.2 million for the nine months ended September 30,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 earnings of investee was $2.1 million and $1.3 million for the nine months ended September 30, 2024 and 2023,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resulted in a $10.8 million increase in income before income tax (benefit) expense. The effective tax rate for the nine months ended September 30, 2024 was 0.9%, which differs from the federal statutory rate primarily due to our qualification for taxation as a REIT and adjustments for foreign items.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the Company recognized net income for the nine months ended September 30, 2024 of $363.9 million, as compared to net income of $347.5 million for the same period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2022 have contributed to our net revenue results for the periods presented, we provide 2023 acquisition-adjusted net revenue, which adjusts our 2023 net revenue for the nine months ended September 30, 2023 by adding to or subtracting from it the net revenue generated by the acquired or divested assets prior to our acquisition or divestiture of these assets for the same time frame that those assets were owned in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Reconciliations of 2023 reported net revenue to 2023 acquisition-adjusted net revenue for the nine months ended September 30, as well as a comparison of 2023 acquisition-adjusted net revenue to 2024 reported net revenue for the nine months ended September 30, are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26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6"/>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revenues</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1,627,536</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1,555,078</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0" w:type="dxa"/>
            <w:vAlign w:val="bottom"/>
          </w:tcPr>
          <w:p>
            <w:pPr>
              <w:spacing w:after="0"/>
              <w:rPr>
                <w:sz w:val="1"/>
                <w:szCs w:val="1"/>
                <w:color w:val="auto"/>
              </w:rPr>
            </w:pPr>
          </w:p>
        </w:tc>
      </w:tr>
      <w:tr>
        <w:trPr>
          <w:trHeight w:val="248"/>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1,627,536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1,561,330</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7"/>
                <w:szCs w:val="17"/>
                <w:color w:val="auto"/>
              </w:rPr>
            </w:pPr>
          </w:p>
        </w:tc>
        <w:tc>
          <w:tcPr>
            <w:tcW w:w="122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7"/>
                <w:szCs w:val="17"/>
                <w:color w:val="auto"/>
              </w:rPr>
            </w:pP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363,915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347,511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16,404</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222,919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754,635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nine months ended September 30, 2024 increased 5.2% to $754.6 million. The increase in adjusted EBITDA was primarily attributable to an increase in our gross margin (net revenue less direct advertising expense, exclusive of depreciation and amortization and capitalized contract fulfillment costs, net) of $46.1 million offset by an increase in total general and administrative and corporate expenses of $9.0 million, excluding the impact of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Income/FFO/AFFO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5"/>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6"/>
                <w:szCs w:val="16"/>
                <w:color w:val="auto"/>
              </w:rPr>
            </w:pPr>
          </w:p>
        </w:tc>
        <w:tc>
          <w:tcPr>
            <w:tcW w:w="14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Percent Increase</w:t>
            </w:r>
          </w:p>
        </w:tc>
      </w:tr>
      <w:tr>
        <w:trPr>
          <w:trHeight w:val="196"/>
        </w:trPr>
        <w:tc>
          <w:tcPr>
            <w:tcW w:w="5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2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23"/>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571,732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 line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48"/>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FFO for the nine months ended September 30, 2024 increased from $554.2 million in 2023 to $571.7 million for the same period in 2024, an increase of 3.2%. AFFO for the nine months ended September 30, 2024 increased 8.3% to $592.5 million as compared to $547.3 million for the same period in 2023. The increase in AFFO was primarily attributable to a $46.1 million increase in our gross margin (net revenue less direct advertising expense, exclusive of depreciation and amortization and capitalized contract fulfillment costs, net).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 compared to three months ended September 30,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increased $21.5 million or 4.0% to $564.1 million for the three months ended September 30, 2024 from $542.6 million for the same period in 2023. This increase was primarily attributable to an increase in billboard net revenues of $18.3 million and an increase in transit net revenues of $2.9 million over the same period in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there was a $19.7 million increase in net revenues as compared to acquisition-adjusted net revenues for the three months ended September 30, 2023, which represents an increase of 3.6%. See "Reconciliations" below. The $19.7 million increase in revenue is primarily due to an increase of $16.7 million in billboard net revenues as well as an increase in transit net revenues of $2.8 million over the same period in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$24.2 million, or 8.6%, to $304.9 million for the three months ended September 30, 2024 from $280.7 million for the same period in 2023. The $24.2 million increase over the prior year is comprised of a $16.0 million increase in total direct, general and administrative and corporate expenses (excluding stock-based compensation) primarily related to the operations of our outdoor advertising assets, as well as a $8.2 million increase in stock-based compensation.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$0.5 million to $75.1 million for the three months ended September 30, 2024 as compared to $74.6 million for the same period in 2023, primarily related to acquisitions and capital expenditures completed in the last twelve months.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the Company recognized a gain on disposition of assets of $2.5 million, primarily resulting from transactions related to the sale of real estate and billboard locations and displays.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decreased by $1.6 million to $186.6 million for the three months ended September 30, 2024 as compared to $188.1 million for the same period in 2023.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decreased $2.1 million for the three months ended September 30, 2024 to $42.9 million as compared to $45.1 million for the three months ended September 30, 2023 primarily due to the decrease in interest rates on the senior credit facility and Accounts Receivable Securitization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 earnings of investee was $2.6 million and $0.7 million for the three months ended September 30, 2024 and 2023,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operating income, offset by the decrease in interest expense and increase in equity in earnings of investee, resulted in a $2.4 million increase in income before income tax (benefit) expense. The effective tax rate for the three months ended September 30, 2024 was (0.8)%, which differs from the federal statutory rate primarily due to our qualification for taxation as a REIT and adjustments for foreign items.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the Company recognized net income for the three months ended September 30, 2024 of $147.8 million, as compared to net income of $140.4 million for the same period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2022 have contributed to our net revenue results for the periods presented, we provide 2023 acquisition-adjusted net revenue, which adjusts our 2023 net revenue for the three months ended September 30, 2023 by adding to or subtracting from it the net revenue generated by the acquired or divested assets prior to our acquisition or divestiture of these assets for the same time frame that those assets were owned in the three months ended September 30, 2024.</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Reconciliations of 2023 reported net revenue to 2023 acquisition-adjusted net revenue for the three months ended September 30, as well as a comparison of 2023 acquisition-adjusted net revenue to 2024 reported net revenue for the three months ended September 30, are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26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564,135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542,609</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r>
      <w:tr>
        <w:trPr>
          <w:trHeight w:val="248"/>
        </w:trPr>
        <w:tc>
          <w:tcPr>
            <w:tcW w:w="8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544,444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5"/>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6"/>
                <w:szCs w:val="16"/>
                <w:color w:val="auto"/>
              </w:rPr>
            </w:pPr>
          </w:p>
        </w:tc>
        <w:tc>
          <w:tcPr>
            <w:tcW w:w="14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Percent Increase</w:t>
            </w:r>
          </w:p>
        </w:tc>
      </w:tr>
      <w:tr>
        <w:trPr>
          <w:trHeight w:val="196"/>
        </w:trPr>
        <w:tc>
          <w:tcPr>
            <w:tcW w:w="5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2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3"/>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271,159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265,689</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1"/>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2024 increased 2.1% to $271.2 million. The increase in adjusted EBITDA was primarily attributable to an increase in our gross margin (net revenue less direct advertising expense, exclusive of depreciation and amortization and capitalized contract fulfillment costs, net) of $14.1 million offset by an increase in total general and administrative and corporate expenses of $8.6 million, excluding the impact of stock-based compensation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6"/>
        </w:trPr>
        <w:tc>
          <w:tcPr>
            <w:tcW w:w="5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7"/>
                <w:szCs w:val="17"/>
                <w:color w:val="auto"/>
              </w:rPr>
            </w:pPr>
          </w:p>
        </w:tc>
        <w:tc>
          <w:tcPr>
            <w:tcW w:w="14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Percent Increase</w:t>
            </w:r>
          </w:p>
        </w:tc>
      </w:tr>
      <w:tr>
        <w:trPr>
          <w:trHeight w:val="196"/>
        </w:trPr>
        <w:tc>
          <w:tcPr>
            <w:tcW w:w="5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23"/>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213,953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 line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48"/>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FFO for the three months ended September 30, 2024 increased from $210.0 million in 2023 to $214.0 million for the same period in 2024, an increase of 1.9%. AFFO for the three months ended September 30, 2024 increased 5.7% to $220.7 million as compared to $208.8 million for the same period in 2023. The increase in AFFO was primarily attributable to an increase in our gross margin (net revenue less direct advertising expense, exclusive of depreciation and amortization and capitalized contract fulfillment costs, net) of $14.1 million.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historically satisfied its working capital requirements with cash from operations and borrowings under the senior credit facility. The Company’s wholly owned subsidiary, Lamar Media Corp., is the borrower under the senior credit facility and maintains all corporate operating cash balances. Any cash requirements of the Company, therefore, must be funded by distributions from Lamar Media.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Liquidity. </w:t>
      </w:r>
      <w:r>
        <w:rPr>
          <w:rFonts w:ascii="Times New Roman" w:cs="Times New Roman" w:eastAsia="Times New Roman" w:hAnsi="Times New Roman"/>
          <w:sz w:val="18"/>
          <w:szCs w:val="18"/>
          <w:color w:val="auto"/>
        </w:rPr>
        <w:t>As of September 30, 2024 we had $450.7 million of total liquidity, which is comprised of $29.5 million in cash and cash equivalents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$421.2 million of availability under the revolving portion of Lamar Media’s senior credit facility. We expect our total liquidity to be adequate for the Company to meet its operational requirements for the next twelve months. We are currently in compliance with the maintenance covenant included in the senior credit facility and we would remain in compliance after giving effect to borrowing the full amount available to us under the revolving portion of the senior credit facility.</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a working capital deficit of $326.4 million and $340.7 million, respectively. The decrease in working capital deficit of $14.3 million is primarily due to an increase in receivables, offset by an increase in deferred income.</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Cash Generated by Operations</w:t>
      </w:r>
      <w:r>
        <w:rPr>
          <w:rFonts w:ascii="Times New Roman" w:cs="Times New Roman" w:eastAsia="Times New Roman" w:hAnsi="Times New Roman"/>
          <w:sz w:val="18"/>
          <w:szCs w:val="18"/>
          <w:color w:val="auto"/>
        </w:rPr>
        <w:t>. For the nine months ended September 30, 2024 and 2023, our cash provided by operating activities was $594.3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$529.4 million, respectively. The increase in cash provided by operating activities for the nine months ended September 30, 2024 over the same period in 2023 primarily relates to an increase in revenue of $72.5 million, offset by an increase in operating expenses (excluding stock-based compensation, gain on disposition of assets, and depreciation and amortization) of $35.1 million. We expect to generate cash flows from operations during 2024 in excess of our cash needs for operations, capital expenditures and dividends, as described herein. We believe we have sufficient liquidity available under our revolving credit facility to meet our operating cash needs for the next twelve months.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Accounts Receivable Securitization Program. </w:t>
      </w:r>
      <w:r>
        <w:rPr>
          <w:rFonts w:ascii="Times New Roman" w:cs="Times New Roman" w:eastAsia="Times New Roman" w:hAnsi="Times New Roman"/>
          <w:sz w:val="18"/>
          <w:szCs w:val="18"/>
          <w:color w:val="auto"/>
        </w:rPr>
        <w:t>On June 24, 2022, Lamar Media and the Special Purpose Subsidiaries entered into the Sixth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"Sixth Amendment") to the Receivables Financing Agreement. The Sixth Amendment increased the Accounts Receivable Securitization Program from $175.0 million to $250.0 million and extended the maturity date of the Accounts Receivable Securitization Program to July 21, 2025. Additionally, the Sixth Amendment provides for the replacement of LIBOR-based interest rate mechanics with Term Secured Overnight Financing Rate ("Term SOFR") based interest rate mechanics for the Accounts Receivable Securitization Program.</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Taxable REIT Subsidiaries ("TRSs")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guaranty its performance in its capacity as servicer and originator, as well as the performance of the Subsidiary Originators, of their obligations under the agreements governing the Accounts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$249.8 million in outstanding aggregate borrowings under the Accounts Receivable Securitization Program. Lamar Media had no additional availability under the Accounts Receivable Securitization Program as of September 30, 2024.</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Accounts Receivable Securitization Program was set to mature on July 21, 2025, but was subsequently extended to October 15, 2027 by the Seventh Amendment to the Receivables Financing Agreement dated October 15, 2024; provided, that, if on the date (a “Securitization Springing Maturity Test Date”) that is 91 days prior to the then scheduled maturity date of Lamar Media’s Term Loan B loans (which is currently February 6, 2027), (a) any of the outstanding Term B loans has a scheduled maturity date prior to the date that is 91 days prior to the then scheduled maturity date of Lamar Media’s revolving credit facility (which is currently July 31, 2028) and (b) the Company and its restricted subsidiaries do not have sufficient liquidity (defined as (i) unused commitments under the revolving credit facility plus (ii) unrestricted cash and cash equivalents of the Company and its restricted subsidiaries plus</w:t>
      </w:r>
    </w:p>
    <w:p>
      <w:pPr>
        <w:spacing w:after="0" w:line="5" w:lineRule="exact"/>
        <w:rPr>
          <w:sz w:val="20"/>
          <w:szCs w:val="20"/>
          <w:color w:val="auto"/>
        </w:rPr>
      </w:pPr>
    </w:p>
    <w:p>
      <w:pPr>
        <w:jc w:val="both"/>
        <w:ind w:firstLine="8"/>
        <w:spacing w:after="0" w:line="253" w:lineRule="auto"/>
        <w:tabs>
          <w:tab w:leader="none" w:pos="3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availability under the Accounts Receivable Securitization Program) to repay in full the aggregate outstanding amount (including all accrued and unpaid interest, premiums and make-whole amounts (if any)) of the Term Loan B loans, then the Accounts Receivable Securitization Program will mature on such Securitization Springing Maturity Test Date. Lamar Media may amend the facility to further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“At-the-Market” Offering Program. </w:t>
      </w:r>
      <w:r>
        <w:rPr>
          <w:rFonts w:ascii="Times New Roman" w:cs="Times New Roman" w:eastAsia="Times New Roman" w:hAnsi="Times New Roman"/>
          <w:sz w:val="18"/>
          <w:szCs w:val="18"/>
          <w:color w:val="auto"/>
        </w:rPr>
        <w:t>On July 24, 2024, the Company entered into an equity distribution agreement, or At-the-Market Offering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"2024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(the "2021 Sales Agreement". Under the terms of the 2024 Sales Agreement, the Company may, from time to time, issue and sell shares of its Class A common stock, having an aggregate offering price of up to $400.0 million through the Sales Agents as either agents or principals. 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2024 Sales Agreement and may at any time suspend solicitations and offers under the 2024 Sales Agreement. The Company intends to use the net proceeds, if any, from the sale of the Class A common stock pursuant to the 2024 Sales Agreement for general corporate purposes, which may include the repayment, refinancing, redemption or repurchase of existing indebtedness, working capital, capital expenditures, acquisition of outdoor advertising assets and businesses and other related investments. The Company did not issue any shares under this program during the three months ended September 30, 2024. The Company did not issue any shares under the 2021 Sales Agreement from inception through expiration.</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Shelf Registration Statement</w:t>
      </w:r>
      <w:r>
        <w:rPr>
          <w:rFonts w:ascii="Times New Roman" w:cs="Times New Roman" w:eastAsia="Times New Roman" w:hAnsi="Times New Roman"/>
          <w:sz w:val="18"/>
          <w:szCs w:val="18"/>
          <w:b w:val="1"/>
          <w:bCs w:val="1"/>
          <w:color w:val="222222"/>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June 21, 2021, the Company filed a new automatically effective shelf registration statement that allows Lamar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to offer and sell an indeterminate amount of additional shares of its Class A common stock. During the nine months ended September 30, 2024 and the year ended December 31, 2023, the Company did not issue any shares under the shelf registration statement. The shelf registration statement expired on June 21,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24, 2024, the Company filed a new automatically effective shelf registration statement that allows the Company to offer and sell an indeterminate amount of additional shares of its Class A common stock, which replaces the previous shelf registration statement. During the nine months ended September 30, 2024, the Company did not issue any shares under this shelf registration.</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Credit Facilities</w:t>
      </w:r>
      <w:r>
        <w:rPr>
          <w:rFonts w:ascii="Times New Roman" w:cs="Times New Roman" w:eastAsia="Times New Roman" w:hAnsi="Times New Roman"/>
          <w:sz w:val="18"/>
          <w:szCs w:val="18"/>
          <w:color w:val="auto"/>
        </w:rPr>
        <w:t>. On February 6, 2020, Lamar Media entered into a Fourth Amended and Restated Credit Agreement (the “Fourth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 2021, Lamar Media entered into Amendment No. 1 (the "Amendment"), to the Fourth Amended and Restated Credit Agreement. The Amendment amends the definition of "Subsidiary" to exclude each of Lamar Partnering Sponsor LLC and Lamar Partnering Corporation and any of their subsidiaries (collectively, the “Lamar Partnering Entities”) such that, after the giving effect to the Amendment, none of the Lamar Partnering Entities are subject to the Fourth Amended and Restated Credit Agreement covenants and reporting requirements, but any investment by Lamar Media in any of the Lamar Partnering Entities would be subject to the Fourth Amended and Restated Credit Agreement covenants. The Amendment also amends the definition of “EBITDA” to replace the existing calculation with a net income-based calculation, which excludes the income of non-Subsidiary entities such as the Lamar Partnering Entities, except to the extent that income of such entities is received by Lamar Media in the form of dividends or distributions.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senior credit facility, as established by the Fourth Amended and Restated Credit Agreement (the “senior credit facility”), consists of (i) a $750.0 million senior secured revolving credit facility which will mature on July 31, 2028, subject to certain conditions (see description of Amendment No. 4 below) (the “revolving credit facility”), (ii) a $600.0 million senior secured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calculated as described under </w:t>
      </w:r>
      <w:r>
        <w:rPr>
          <w:rFonts w:ascii="Times New Roman" w:cs="Times New Roman" w:eastAsia="Times New Roman" w:hAnsi="Times New Roman"/>
          <w:sz w:val="18"/>
          <w:szCs w:val="18"/>
          <w:i w:val="1"/>
          <w:iCs w:val="1"/>
          <w:color w:val="auto"/>
        </w:rPr>
        <w:t>“Restrictions under Senior Credit Facility”</w:t>
      </w:r>
      <w:r>
        <w:rPr>
          <w:rFonts w:ascii="Times New Roman" w:cs="Times New Roman" w:eastAsia="Times New Roman" w:hAnsi="Times New Roman"/>
          <w:sz w:val="18"/>
          <w:szCs w:val="18"/>
          <w:color w:val="auto"/>
        </w:rPr>
        <w:t xml:space="preserve"> of 4.50 to 1.00, as well as certain other conditions including lender approval. Lamar Media borrowed all $600.0 million in Term B loans on February 6, 2020. The entire amount of the Term B loans will be payable at maturity.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 B loans bear interest at rates based on Term SOFR plus a credit spread adjustment of 0.10% (Term SOFR plus such credit spread adjustment, the "Adjusted Term SOFR Rate”) or the Adjusted Base Rate, at Lamar Media’s option. Term B loans bearing interest at a rate based on Term SOFR bear interest at a rate per annum equal to the Adjusted Term SOFR Rate plus 1.50%. Term B loans bearing interest at a rate based on the Adjusted Base Rate bear interest at a rate per annum equal to the Adjusted Base Rate plus 0.50%. The revolving credit facility bears interest at rates based on Term SOFR ("Term SOFR revolving loans”) or the Adjusted Base Rate (“Base Rate revolving loans”), at Lamar Media’s option. Term SOFR revolving loans bear interest at a rate per annum equal to the Adjusted Term SOFR Rate plus 1.50% (or the Adjusted Term SOFR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29, 2022, Lamar Media entered into Amendment No. 2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were set to mature on February 6, 2025 and bore interest based on Term SOFR ("Term SOFR Term A loans") or the Adjusted Base Rate ("Base Rate Term A loans"), at Lamar Media's option. Term SOFR Term A loans bear interest at a rate per annum equal to the Adjusted Term SOFR Rate plus 1.50% (or the Adjusted Term SOFR Rate plus 1.25% at any time the Total Debt Ratio is less than or equal to 3.25 to 1). Base Rate Term A loans bore interest at a rate per annum equal to the Adjusted Base Rate plus 0.50% (or the Adjusted Base Rate plus 0.25% at any time the total debt ratio is less than or equal to 3.25 to 1). The covenants, events of default and other terms of the senior credit facility apply to the Term A loans. Lamar Media borrowed all $350.0 million in Term A loans on July 29, 2022. Proceeds from the Term A loans were used to repay outstanding balances on the revolving credit facility and a portion of the outstanding balance on our Accounts Receivable Securitization Program. The Term A loans were subsequently repaid in full on July 31, 2024.</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in the Fourth Amended and Restated Credit Agreement. All other material terms and conditions of the Fourth Amended and Restated Credit Agreement remain unchanged by Amendment No. 3.</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extends the maturity date of Lamar Media’s $750.0 million revolving credit facility such that the revolving credit facility matures July 31, 2028; provided, that, if on the date (a "Springing Maturity Test Date") that is 91 days prior to either the then scheduled maturity date of Lamar Media’s Term B loans (which is currently February 6, 2027) or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Term B loans or the 3 3/4% Notes (as applicable), the revolving credit facility will mature on such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spacing w:after="0" w:line="2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Amendment No. 4 also establishes a $75.0 million swingline as a sublimit of the revolving credit facility, which allows Lamar Media to borrow revolving loans on a same-day basis, in an aggregate outstanding principal amount of up to $75.0 million. In addition, Amendment No. 4 amends the provisions of the Fourth Amended and Restated Credit Agreement related to incremental facilities to allow Lamar Media to establish, from time to time, one or more new incremental revolving facilities on the terms, and subject to the conditions, set forth therein.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aggregate balance outstanding under the senior credit facility was $920.0 million, consisting of $600.0 million in Term B loans aggregate principal balance and $320.0 million outstanding borrowings under our revolving credit facility. Lamar Media had approximately $421.2 million of unused capacity under the revolving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Internally Generated Funds. </w:t>
      </w:r>
      <w:r>
        <w:rPr>
          <w:rFonts w:ascii="Times New Roman" w:cs="Times New Roman" w:eastAsia="Times New Roman" w:hAnsi="Times New Roman"/>
          <w:sz w:val="18"/>
          <w:szCs w:val="18"/>
          <w:color w:val="auto"/>
        </w:rPr>
        <w:t>The key factors affecting internally generated cash flow are general economic conditions, specific economic conditions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where the Company conducts its business and overall spending on advertising by advertisers. We expect to generate cash flows from operations during 2024 in excess of our cash needs for operations, capital expenditures and dividends, as described herein, and we believe we have sufficient liquidity with cash on hand and availability under our revolving credit facility to meet our operating cash needs for the next twelve months.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and Other Debt Securities. </w:t>
      </w:r>
      <w:r>
        <w:rPr>
          <w:rFonts w:ascii="Times New Roman" w:cs="Times New Roman" w:eastAsia="Times New Roman" w:hAnsi="Times New Roman"/>
          <w:sz w:val="18"/>
          <w:szCs w:val="18"/>
          <w:color w:val="auto"/>
        </w:rPr>
        <w:t>The Company and Lamar Media must comply with certain covenants and restrictions related to the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facility, its outstanding debt securities and its Accounts Receivable Securitization Program.</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Lamar Media's outstanding Term A loans were set to mature on February 6, 2025. On July 31, 2024, Lamar Media paid in full its $350.0 million in Term A loans outstanding under its Senior Credit facility. The repayment of the Term A loans was completed using a combination of borrowings under our revolving credit facility and cash on hand.</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Debt Securities. </w:t>
      </w:r>
      <w:r>
        <w:rPr>
          <w:rFonts w:ascii="Times New Roman" w:cs="Times New Roman" w:eastAsia="Times New Roman" w:hAnsi="Times New Roman"/>
          <w:sz w:val="18"/>
          <w:szCs w:val="18"/>
          <w:color w:val="auto"/>
        </w:rPr>
        <w:t>The Company and Lamar Media must comply with certain covenants and restrictions related to its outstanding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Currently, Lamar Media has outstanding the $600.0 million 3 3/4% Senior Notes issued February 2020, the $550.0 million 4% Senior Notes issued February 2020 and August 2020, the $400.0 million 4 7/8% Senior Notes issued in May 2020 and the $550.0 million 3 5/8% Senior Notes issued in January 2021.</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debt incurred under the provisions described in the preceding paragraph, the indentures relating to Lamar Media’s outstanding notes permit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Media to incur indebtedness pursuant to the following baskets:</w:t>
      </w:r>
    </w:p>
    <w:p>
      <w:pPr>
        <w:spacing w:after="0" w:line="99"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 billion of indebtedness under the senior credit facility;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outstanding on the date of the indentures or debt incurred to refinance outstanding debt;</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debt between Lamar Media and its restricted subsidiaries or between restricted subsidiaries;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hanging="644"/>
        <w:spacing w:after="0" w:line="282"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debt not to exceed $75.0 million;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$500.0 million of permitted securitization financings.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Senior Credit Facility. </w:t>
      </w:r>
      <w:r>
        <w:rPr>
          <w:rFonts w:ascii="Times New Roman" w:cs="Times New Roman" w:eastAsia="Times New Roman" w:hAnsi="Times New Roman"/>
          <w:sz w:val="18"/>
          <w:szCs w:val="18"/>
          <w:color w:val="auto"/>
        </w:rPr>
        <w:t>Lamar Media is required to comply with certain covenants and restrictions under the senior credit facility.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Lamar Media fails to comply with these tests, the lenders under the senior credit facility will be entitled to exercise certain remedies, including the termination of the lending commitments and the acceleration of the debt payments under the senior credit facility. At September 30, 2024 we were, and currently, we are, in compliance with all such tests under the senior credit facility.</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w:t>
      </w:r>
      <w:r>
        <w:rPr>
          <w:rFonts w:ascii="Times New Roman" w:cs="Times New Roman" w:eastAsia="Times New Roman" w:hAnsi="Times New Roman"/>
          <w:sz w:val="18"/>
          <w:szCs w:val="18"/>
          <w:i w:val="1"/>
          <w:iCs w:val="1"/>
          <w:color w:val="auto"/>
        </w:rPr>
        <w:t>Sources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Cash – Accounts Receivable Securitization Program</w:t>
      </w:r>
      <w:r>
        <w:rPr>
          <w:rFonts w:ascii="Times New Roman" w:cs="Times New Roman" w:eastAsia="Times New Roman" w:hAnsi="Times New Roman"/>
          <w:sz w:val="18"/>
          <w:szCs w:val="18"/>
          <w:color w:val="auto"/>
        </w:rPr>
        <w:t>)) to EBITDA, as defined below, for the period of four consecutive fiscal quarters then ended, of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or equal to 4.5 to 1.0.</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Lamar Media is restricted from incurring additional indebtedness subject to exceptions, one of which is that it may incur additional indebtedness not exceeding the greater of $250.0 million or 6% of its total assets.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Lamar Media is also restricted from incurring additional unsecured senior indebtedness under certain circumstances unless, after giving effect to the incurrence of such indebtedness, Lamar Media would have a total debt ratio, defined as (a)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(b) EBITDA, as defined below, for the most recent four fiscal quarters then ended, is less than 7.0 to 1.0.</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senior credit facility, as amended, “EBITDA” means, for any period, net income, plus (a) to the extent deducted in determining net income for such period, the sum determined without duplication and in accordance with GAAP, of (i) taxes, (ii) interest expense, (iii) depreciation, (iv) amortization,</w:t>
      </w:r>
    </w:p>
    <w:p>
      <w:pPr>
        <w:jc w:val="both"/>
        <w:ind w:firstLine="8"/>
        <w:spacing w:after="0" w:line="251" w:lineRule="auto"/>
        <w:tabs>
          <w:tab w:leader="none" w:pos="2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plus (b)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provided, (A) the aggregate amount for all such cost savings, operating expense reductions and other operating improvements or synergies will not exceed an amount equal to 15% of EBITDA for the applicable four quarter period and (B) any such adjustment to EBITDA pursuant to this clause (b)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minus (c) to the extent included in net income for such period (determined without duplication and in accordance with GAAP) (i) any extraordinary and unusual gains or losses during such period, and (ii) the proceeds of any casualty events and dispositions. For purposes of this EBITDA definition, the effect thereon of any adjustments required under Statement of Financial Accounting Standards No. 141R will be excluded. If during any period for which EBITDA is being determined, we have consummated any acquisition or disposition, EBITDA will be determined on a pro forma basis as if such acquisition or disposition had been made or consummated on the first day of such period.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senior credit facility, “net income” means for any period, the consolidated net income (or loss) of Lamar Advertising, us, and our restricted subsidiaries, determined on a consolidated basis in accordance with GAAP; provided that the following is excluded from net income: (a) the income (or deficit) of any person accrued prior to the date it becomes a restricted subsidiary or is merged into or consolidated with Lamar Advertising, us or any of our restricted subsidiaries, and (b) the income (or deficit) of any person (other than any of our restricted subsidiaries) in which Lamar Advertising, we or any of our subsidiaries has an ownership interest, except to the extent that any such income is received by Lamar Advertising, us or any of our restricted subsidiaries in the form of dividends or similar distributions.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level of cash on hand, availability under the senior credit facility and future cash flows from operations are sufficient to meet its operating needs for the next twelve months. All debt obligations are reflected on the Company’s balance sheet.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Restrictions under Accounts Receivable Securitization Program. </w:t>
      </w:r>
      <w:r>
        <w:rPr>
          <w:rFonts w:ascii="Times New Roman" w:cs="Times New Roman" w:eastAsia="Times New Roman" w:hAnsi="Times New Roman"/>
          <w:sz w:val="18"/>
          <w:szCs w:val="18"/>
          <w:color w:val="auto"/>
        </w:rPr>
        <w:t>The agreements governing the Accounts Receivable Securitization Program contain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4.5 to 1.0 required under Lamar Media’s senior credit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Cash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 prepayments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July 31, 2024, Lamar Media paid in full its $350.0 million in Term A loans outstanding under its Senior Credit facility.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repayment of the Term A loans was completed using a combination of borrowings under our revolving credit facility and cash on hand.</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Capital expenditures, excluding acquisitions, were approximately $82.3 million for the nine months ended September 30, 2024.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 our 2024 total capital expenditures will be approximately $125.0 million.</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nine months ended September 30, 2024, the Company completed acquisitions for an aggregate purchase price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$31.1 million, which were financed using available cash on hand.</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February 22, 2024, the Company's Board of Directors declared a quarterly cash dividend of $1.30 per share, paid on March 28, 2024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 record of its Class A common stock and Class B common stock on March 15, 2024. On May 16, 2024, the Company's Board of Directors declared a quarterly cash dividend of $1.30 per share, paid on June 28, 2024 to its stockholders of record of its Class A common stock and Class B common stock on June 17, 2024. On August 27, 2024, the Company's Board of Directors declared a quarterly cash dividend of $1.40 per share, paid on September 30, 2024 to its stockholders of record of its Class A common stock and Class B common stock on September 18, 2024. Subject to approval of the Company's Board of Directors, the Company expects aggregate quarterly distributions to stockholders in 2024 will be at least $5.40 per share of common stock, including the dividends paid on March 28, 2024, June 28, 2024, and September 30, 2024. Subject to approval of the Company's Board of Directors, the Company also expects at least a 10% increase in quarterly distributions for 2025.</w:t>
      </w:r>
    </w:p>
    <w:p>
      <w:pPr>
        <w:spacing w:after="0" w:line="18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TRSs, the impact of general economic conditions on the Company’s operations and other factors that the Board of Directors may deem relevant. The foregoing factors may also impact management’s recommendations to the Board of Directors as to the timing, amount and frequency of future distributions.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and Debt Repurchasing Program. </w:t>
      </w:r>
      <w:r>
        <w:rPr>
          <w:rFonts w:ascii="Times New Roman" w:cs="Times New Roman" w:eastAsia="Times New Roman" w:hAnsi="Times New Roman"/>
          <w:sz w:val="18"/>
          <w:szCs w:val="18"/>
          <w:color w:val="auto"/>
        </w:rPr>
        <w:t>The Company’s Board of Directors has authorized the repurchase of up to $250.0 million of the Company’s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common stock. Additionally, the Board of Directors has authorized Lamar Media to repurchase up to $250.0 million in outstanding senior or senior subordinated notes and other indebtedness outstanding from time to time under its senior credit agreement. On September 24, 2024, the Board of Directors authorized the extension of the repurchase program through March 31, 2026. There were no repurchases under the program as of September 30, 2024. The Company’s management may opt not to make any repurchases under the program, or may make aggregate purchases less than the total amount authorized.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expected material cash requirements for the twelve months following September 30, 2024 and thereafter are comprised of contractual obligations, required annual distributions and other opportunistic expenditures.</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and Contractual Obligations. </w:t>
      </w:r>
      <w:r>
        <w:rPr>
          <w:rFonts w:ascii="Times New Roman" w:cs="Times New Roman" w:eastAsia="Times New Roman" w:hAnsi="Times New Roman"/>
          <w:sz w:val="18"/>
          <w:szCs w:val="18"/>
          <w:color w:val="auto"/>
        </w:rPr>
        <w:t>The following table summarizes our future debt maturities, interest payment obligations, and contractual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required payments under operating and financing leases as of September 30, 2024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20" w:type="dxa"/>
            <w:vAlign w:val="bottom"/>
          </w:tcPr>
          <w:p>
            <w:pPr>
              <w:spacing w:after="0"/>
              <w:rPr>
                <w:sz w:val="16"/>
                <w:szCs w:val="16"/>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8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Debt maturities</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2,995.7</w:t>
            </w:r>
          </w:p>
        </w:tc>
      </w:tr>
      <w:tr>
        <w:trPr>
          <w:trHeight w:val="230"/>
        </w:trPr>
        <w:tc>
          <w:tcPr>
            <w:tcW w:w="848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Interest obligations on long-term debt</w:t>
            </w:r>
            <w:r>
              <w:rPr>
                <w:rFonts w:ascii="Times New Roman" w:cs="Times New Roman" w:eastAsia="Times New Roman" w:hAnsi="Times New Roman"/>
                <w:sz w:val="26"/>
                <w:szCs w:val="26"/>
                <w:color w:val="auto"/>
                <w:vertAlign w:val="superscript"/>
              </w:rPr>
              <w:t>(2)</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obligations, including operating and financing leases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1,674.6</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payments due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5,154.7</w:t>
            </w:r>
          </w:p>
        </w:tc>
      </w:tr>
      <w:tr>
        <w:trPr>
          <w:trHeight w:val="20"/>
        </w:trPr>
        <w:tc>
          <w:tcPr>
            <w:tcW w:w="8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60" w:hanging="352"/>
        <w:spacing w:after="0"/>
        <w:tabs>
          <w:tab w:leader="none" w:pos="3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maturities assume there is no refinancing prior to the existing maturity date.</w:t>
      </w:r>
    </w:p>
    <w:p>
      <w:pPr>
        <w:spacing w:after="0" w:line="26"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rates on our variable rate instruments assume rates at the September 2024 levels.</w:t>
      </w:r>
    </w:p>
    <w:p>
      <w:pPr>
        <w:spacing w:after="0" w:line="200" w:lineRule="exact"/>
        <w:rPr>
          <w:sz w:val="20"/>
          <w:szCs w:val="20"/>
          <w:color w:val="auto"/>
        </w:rPr>
      </w:pP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Lamar Media's outstanding Term A loans were set to mature on February 6, 2025. On July 31, 2024, Lamar Media paid in full its $350.0 million in Term A loans outstanding under its Senior Credit facility. The repayment of the Term A loans was completed using a combination of borrowings under our revolving credit facility and cash on hand.</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Required Annual Distributions</w:t>
      </w:r>
      <w:r>
        <w:rPr>
          <w:rFonts w:ascii="Times New Roman" w:cs="Times New Roman" w:eastAsia="Times New Roman" w:hAnsi="Times New Roman"/>
          <w:sz w:val="18"/>
          <w:szCs w:val="18"/>
          <w:color w:val="auto"/>
        </w:rPr>
        <w:t>. As a REIT, the Company must annually distribute to its stockholders an amount equal to at least 90% of its REIT taxable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(determined before the deduction for distributed earnings and excluding any net capital gain). On February 22, 2024, the Company's Board of Directors declared a quarterly cash dividend of $1.30 per share, paid on March 28, 2024 to its stockholders of record of its Class A common stock and Class B common stock on March 15, 2024. On May 16, 2024, the Company's Board of Directors declared a quarterly cash dividend of $1.30 per share, paid on June 28, 2024 to its stockholders of record of its Class A common stock and Class B common stock on June 17, 2024. On August 27, 2024, the Company's Board of Directors declared a quarterly cash dividend of $1.40 per share, paid on September 30, 2024 to its stockholders of record of its Class A common stock and Class B common stock on September 18, 2024. Subject to approval of the Company's Board of Directors, the Company expects aggregate quarterly distributions to stockholders in 2024 will be at least $5.40 per share of common stock, including the dividends paid on March 28, 2024, June 28, 2024, and September 30, 2024. Subject to approval of the Company's Board of Directors, the Company also expects at least a 10% increase in quarterly distributions for 2025.</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Opportunistic Expenditures</w:t>
      </w:r>
      <w:r>
        <w:rPr>
          <w:rFonts w:ascii="Times New Roman" w:cs="Times New Roman" w:eastAsia="Times New Roman" w:hAnsi="Times New Roman"/>
          <w:sz w:val="18"/>
          <w:szCs w:val="18"/>
          <w:color w:val="auto"/>
        </w:rPr>
        <w:t>. As part of our capital allocation strategy, we plan to continue to allocate our available capital among investment alternatives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meet our return on investment criteria. We will continue to reinvest in our existing assets and expand our outdoor advertising display portfolio through new construction. We will also continue to pursue strategic acquisitions of outdoor advertising businesses and assets. This includes acquisitions in our existing markets and in new markets where we can meet our return on investment criteria.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cash flows provided by operating activities increased $64.9 million from $529.4 million for the nine months ended September 30, 2023 to $594.3 million for the nine months ended September 30, 2024, primarily resulting from an increase in revenues of $72.5 million, offset by an increase in operating expenses (excluding stock-based compensation, gain on disposition of assets, and depreciation and amortization) of $35.1 million as compared to the same period in 2023.</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decreased $137.9 million from $245.9 million for the nine months ended September 30, 2023 to $108.0 million for the nine months ended September 30, 2024 primarily due to a net decrease in the amount of assets acquired through acquisitions and capital expenditures of $139.1 million, as compared to the same period in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cash flows used in financing activities were $501.2 million for the nine months ended September 30, 2024 as compared to $296.7 million for the nine months ended September 30, 2023. The cash flows used in financing activities of $501.2 million for the nine months ended September 30, 2024 is primarily due to cash paid for dividends and distributions and the repayment of the Term A loans, offset by net borrowings on the senior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liquidity and capital resources are based on our condensed consolidated financial statements, which have been prepared in accordance with GAAP. The preparation of these financial statements requires us to make estimates and judgments that affect the reported amounts of assets, liabilities, revenues and expenses. There have been no material changes to the critical accounting policies and estimates as previously disclosed in Item 7 of our 2023 Combined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and Regulatory Update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12, "New Accounting Pronouncements" to our condensed consolidated financial statements included in Part 1, Item 1 of this report for a discussion of our Accounting Standards and Regulatory Update.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Lamar Media for the three and nine months ended September 30, 2024 and 2023. This discussion should be read in conjunction with the consolidated financial statements of Lamar Media and the related notes thereto.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compared to nine months ended September 30,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increased $72.5 million or 4.7% to $1.63 billion for the nine months ended September 30, 2024 from $1.56 billion for the same period in 2023. This increase was primarily attributable to an increase in billboard net revenues of $59.4 million and an increase in transit net revenues of $12.1 million over the same period in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there was a $66.2 million increase in net revenues as compared to acquisition-adjusted net revenues for the nine months ended September 30, 2023, which represents an increase of 4.2%. See "Reconciliations" below. The $66.2 million increase in revenue is primarily due to an increase of $52.6 million in billboard net revenues as well as an increase in transit net revenues of $12.6 million over the same period in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$56.4 million, or 6.6%, to $909.7 million for the nine months ended September 30, 2024 from $853.3 million for the same period in 2023. The $56.4 million increase over the prior year is comprised of a $35.0 million increase in total direct, general and administrative and corporate expenses (excluding stock-based compensation) primarily related to the operations of our outdoor advertising assets, as well as a $21.4 million increase in stock-based compensation.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$4.6 million to $227.5 million for the nine months ended September 30, 2024 as compared to $222.9 million for the same period in 2023, primarily related to acquisitions and capital expenditures completed in the last twelve months.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Lamar Media recognized a gain on disposition of assets of $5.5 million, primarily resulting from transactions related to the sale of real estate and billboard locations and displays.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$11.7 million to $495.8 million for the nine months ended September 30, 2024 as compared to $484.1 million for the same period in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$1.6 million for the nine months ended September 30, 2024 to $131.8 million as compared to $130.2 million for the nine months ended September 30, 2023.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 earnings of investee was $2.1 million and $1.3 million for the nine months ended September 30, 2024 and 2023,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offset by the increase in interest expense, resulted in a $10.9 million increase in income before income tax (benefit) expense. The effective tax rate for the nine months ended September 30, 2024 was 0.9%, which differs from the federal statutory rate primarily due to our qualification for taxation as a REIT and adjustments for foreign items.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Lamar Media recognized net income for the nine months ended September 30, 2024 of $364.3 million, as compared to net income of $347.9 million for the same period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2022 have contributed to our net revenue results for the periods presented, we provide 2023 acquisition-adjusted net revenue, which adjusts our 2023 net revenue for the nine months ended September 30, 2023 by adding to or subtracting from it the net revenue generated by the acquired or divested assets prior to our acquisition or divestiture of these assets for the same time frame that those assets were owned in the nine months ended September 30, 2024.</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Reconciliations of 2023 reported net revenue to 2023 acquisition-adjusted net revenue for the nine months ended September 30, as well as a comparison of 2023 acquisition-adjusted net revenue to 2024 reported net revenue for the nine months ended September 30, are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26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gridSpan w:val="6"/>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revenues</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1,627,536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1,555,078</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1,627,536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1,561,330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32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Pr>
          <w:p>
            <w:pPr>
              <w:spacing w:after="0"/>
              <w:rPr>
                <w:sz w:val="17"/>
                <w:szCs w:val="17"/>
                <w:color w:val="auto"/>
              </w:rPr>
            </w:pPr>
          </w:p>
        </w:tc>
        <w:tc>
          <w:tcPr>
            <w:tcW w:w="11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364,345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347,893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755,065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717,942</w:t>
            </w:r>
          </w:p>
        </w:tc>
        <w:tc>
          <w:tcPr>
            <w:tcW w:w="12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nine months ended September 30, 2024 increased 5.2% to $755.1 million. The increase in adjusted EBITDA was primarily attributable to an increase in our gross margin (net revenue less direct advertising expense, exclusive of depreciation and amortization and capitalized contract fulfillment costs, net) of $46.1 million offset by an increase in total general and administrative and corporate expenses of $8.9 million, excluding the impact of stock-based compensation expense.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Income/FFO/AFFO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95"/>
        </w:trPr>
        <w:tc>
          <w:tcPr>
            <w:tcW w:w="5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Percent Increase</w:t>
            </w:r>
          </w:p>
        </w:tc>
      </w:tr>
      <w:tr>
        <w:trPr>
          <w:trHeight w:val="196"/>
        </w:trPr>
        <w:tc>
          <w:tcPr>
            <w:tcW w:w="55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2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r>
      <w:tr>
        <w:trPr>
          <w:trHeight w:val="223"/>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572,162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 line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r>
      <w:tr>
        <w:trPr>
          <w:trHeight w:val="248"/>
        </w:trPr>
        <w:tc>
          <w:tcPr>
            <w:tcW w:w="5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FFO for the nine months ended September 30, 2024 increased from $554.5 million in 2023 to $572.2 million for the same period in 2024, an increase of 3.2%. AFFO for the nine months ended September 30, 2024 increased 8.3% to $592.9 million as compared to $547.6 million for the same period in 2023. The increase in AFFO was primarily attributable to a $46.1 million increase in our gross margin (net revenue less direct advertising expense, exclusive of depreciation and amortization and capitalized contract fulfillment costs, net).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 compared to three months ended September 30,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increased $21.5 million or 4.0% to $564.1 million for the three months ended September 30, 2024 from $542.6 million for the same period in 2023. This increase was primarily attributable to an increase in billboard net revenues of $18.3 million and an increase in transit net revenues of $2.9 million over the same period in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there was a $19.7 million increase in net revenues as compared to acquisition-adjusted net revenues for the three months ended September 30, 2023, which represents an increase of 3.6%. See "Reconciliations" below. The $19.7 million increase in revenue is primarily due to an increase of $16.7 million in billboard net revenues as well as an increase in transit net revenues of $2.8 million over the same period in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$24.2 million, or 8.6%, to $304.8 million for the three months ended September 30, 2024 from $280.6 million for the same period in 2023. The $24.2 million increase over the prior year is comprised of a $16.1 million increase in total direct, general and administrative and corporate expenses (excluding stock-based compensation) primarily related to the operations of our outdoor advertising assets, as well as a $8.2 million increase in stock-based compensation.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$0.5 million to $75.1 million for the three months ended September 30, 2024 as compared to $74.6 million for the same period in 2023, primarily related to acquisitions and capital expenditures completed in the last twelve months.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Lamar Media recognized a gain on disposition of assets of $2.5 million, primarily resulting from transactions related to the sale of real estate and billboard locations and displays.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decreased by $1.6 million to $186.7 million for the three months ended September 30, 2024 as compared to $188.3 million for the same period in 2023.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decreased $2.1 million for the three months ended September 30, 2024 to $42.9 million as compared to $45.1 million for the three months ended September 30, 2023 primarily due to the decrease in interest rates on the senior credit facility and Accounts Receivable Securitization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 earnings of investee was $2.6 million and $0.7 million for the three months ended September 30, 2024 and 2023,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operating income, offset by the decrease in interest expense and increase in equity in earnings of investee, resulted in a $2.4 million increase in income before income tax (benefit) expense. The effective tax rate for the three months ended September 30, 2024 was (0.8)%, which differs from the federal statutory rate primarily due to our qualification for taxation as a REIT and adjustments for foreign items.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Lamar Media recognized net income for the three months ended September 30, 2024 of $147.9 million, as compared to net income of $140.6 million for the same period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2022 have contributed to our net revenue results for the periods presented, we provide 2023 acquisition-adjusted net revenue, which adjusts our 2023 net revenue for the three months ended September 30, 2023 by adding to or subtracting from it the net revenue generated by the acquired or divested assets prior to our acquisition or divestiture of these assets for the same time frame that those assets were owned in the three months ended September 30, 2024.</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Reconciliations of 2023 reported net revenue to 2023 acquisition-adjusted net revenue for the three months ended September 30, as well as a comparison of 2023 acquisition-adjusted net revenue to 2024 reported net revenue for the three months ended September 30, are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26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564,135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542,609</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r>
      <w:tr>
        <w:trPr>
          <w:trHeight w:val="248"/>
        </w:trPr>
        <w:tc>
          <w:tcPr>
            <w:tcW w:w="8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544,444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95"/>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Percent Increase</w:t>
            </w:r>
          </w:p>
        </w:tc>
      </w:tr>
      <w:tr>
        <w:trPr>
          <w:trHeight w:val="196"/>
        </w:trPr>
        <w:tc>
          <w:tcPr>
            <w:tcW w:w="55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28"/>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271,270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1"/>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2024 increased 2.0% to $271.3 million. The increase in adjusted EBITDA was primarily attributable to an increase in our gross margin (net revenue less direct advertising expense, exclusive of depreciation and amortization and capitalized contract fulfillment costs, net) of $14.1 million offset by an increase in total general and administrative and corporate expenses of $8.7 million, excluding the impact of stock-based compensation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7"/>
                <w:szCs w:val="17"/>
                <w:color w:val="auto"/>
              </w:rPr>
            </w:pPr>
          </w:p>
        </w:tc>
        <w:tc>
          <w:tcPr>
            <w:tcW w:w="14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Straight line expense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FFO for the three months ended September 30, 2024 increased from $210.2 million in 2023 to $214.1 million for the same period in 2024, an increase of 1.9%. AFFO for the three months ended September 30, 2024 increased 5.7% to $220.8 million as compared to $208.9 million for the same period in 2023. The increase in AFFO was primarily attributable to an increase in our gross margin (net revenue less direct advertising expense, exclusive of depreciation and amortization and capitalized contract fulfillment costs, net) of $14.1 million.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9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3. QUANTITATIVE AND QUALITATIVE DISCLOSURES ABOUT MARKET RISK </w:t>
      </w:r>
      <w:r>
        <w:rPr>
          <w:rFonts w:ascii="Times New Roman" w:cs="Times New Roman" w:eastAsia="Times New Roman" w:hAnsi="Times New Roman"/>
          <w:sz w:val="18"/>
          <w:szCs w:val="18"/>
          <w:b w:val="1"/>
          <w:bCs w:val="1"/>
          <w:i w:val="1"/>
          <w:iCs w:val="1"/>
          <w:color w:val="auto"/>
        </w:rPr>
        <w:t>Lamar Advertising Company and Lamar Media Corp.</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Lamar Advertising is exposed to interest rate risk in connection with variable rate debt instruments issued by its wholly owned subsidiary Lamar Media. The information below summarizes the Company’s interest rate risk associated with its principal variable rate debt instruments outstanding at September 30, 2024, and should be read in conjunction with Note 10 of the Notes to the Company’s Condensed Consolidated Financial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Lamar Media has variable-rate debt outstanding under its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2024 there was approximately $1.17 billion of indebtedness outstanding under the senior credit facility and the Accounts Receivable Securitization Program, or approximately 35.8% of the Company’s outstanding long-term debt on that date, bearing interest at variable rates. The aggregate interest expense for 2024 with respect to borrowings under the senior credit facility and the Accounts Receivable Securitization Program was $62.6 million, and the weighted average interest rate applicable to these borrowings during 2024 was 6.7%. Assuming that the weighted average interest rate was 200 basis points higher (that is 8.7% rather than 6.7%), then the Company’s 2024 interest expense would have increased by approximately $18.3 million for the nine months ended September 30, 2024.</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attempts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rates applicable to its borrowings at an amount equal to the Adjusted Term SOFR Rate (as applicable),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29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9" w:lineRule="exact"/>
        <w:rPr>
          <w:sz w:val="20"/>
          <w:szCs w:val="20"/>
          <w:color w:val="auto"/>
        </w:rPr>
      </w:pPr>
    </w:p>
    <w:p>
      <w:pPr>
        <w:ind w:left="200" w:hanging="192"/>
        <w:spacing w:after="0"/>
        <w:tabs>
          <w:tab w:leader="none" w:pos="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of the Company and Lamar Media concluded that these disclosure controls and procedures are effective and designed to ensure that the information required to be disclosed in the Company’s and Lamar Media’s reports filed or submitted under the Exchange Act is recorded, processed, summarized and reported within the requisite time periods.</w:t>
      </w:r>
    </w:p>
    <w:p>
      <w:pPr>
        <w:spacing w:after="0" w:line="293" w:lineRule="exact"/>
        <w:rPr>
          <w:sz w:val="20"/>
          <w:szCs w:val="20"/>
          <w:color w:val="auto"/>
        </w:rPr>
      </w:pPr>
    </w:p>
    <w:p>
      <w:pPr>
        <w:ind w:left="200" w:hanging="192"/>
        <w:spacing w:after="0"/>
        <w:tabs>
          <w:tab w:leader="none" w:pos="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no changes in the internal control over financial reporting (as defined in Rules 13a-15(f) and 15d-15(f) under the Exchange Act) of the Company and Lamar Media identified in connection with the evaluation of the Company’s and Lamar Media’s internal control performed during the last fiscal quarter that has materially affected, or is reasonably likely to materially affect, the Company’s and Lamar Media’s internal control over financial reporting.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those described in Part I, Item 1A, “Risk Factors” in our combined Annual Report on Form 10-K for the year ended December 31, 2023, which could adversely affect our business, financial condition, results of operations, cash flows, and the trading price of our Class A common stock. There have been no material changes to our risk factors since our combined Annual Report on Form 10-K for the year ended December 31, 2023.</w:t>
      </w:r>
    </w:p>
    <w:p>
      <w:pPr>
        <w:spacing w:after="0" w:line="284" w:lineRule="exact"/>
        <w:rPr>
          <w:sz w:val="20"/>
          <w:szCs w:val="20"/>
          <w:color w:val="auto"/>
        </w:rPr>
      </w:pPr>
    </w:p>
    <w:p>
      <w:pPr>
        <w:ind w:right="40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620" w:type="dxa"/>
            <w:vAlign w:val="bottom"/>
            <w:gridSpan w:val="21"/>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20" w:type="dxa"/>
            <w:vAlign w:val="bottom"/>
            <w:gridSpan w:val="2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0080" w:type="dxa"/>
            <w:vAlign w:val="bottom"/>
            <w:tcBorders>
              <w:top w:val="single" w:sz="8" w:color="auto"/>
            </w:tcBorders>
            <w:gridSpan w:val="26"/>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Amended and Restated Certificate of Incorporation of Lamar Advertising Company (the “Company”), as filed with the Secretary of the</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State of Delaware effective as of November 18, 2014. Previously filed as Exhibit 3.1 to the Company’s Current Report on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180" w:type="dxa"/>
            <w:vAlign w:val="bottom"/>
            <w:tcBorders>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(File No. 1-36756) filed on November 19, 2014 and incorporated herein by reference.</w:t>
              </w:r>
            </w:hyperlink>
          </w:p>
        </w:tc>
        <w:tc>
          <w:tcPr>
            <w:tcW w:w="3880" w:type="dxa"/>
            <w:vAlign w:val="bottom"/>
            <w:gridSpan w:val="1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10080" w:type="dxa"/>
            <w:vAlign w:val="bottom"/>
            <w:gridSpan w:val="26"/>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Certificate of Merger, effective as of November 18, 2014. Previously filed as Exhibit 3.2 to the Company’s Current Report on Form 8-</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3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K (File No. 1-36756) filed on November 19, 2014 and incorporated herein by reference.</w:t>
              </w:r>
            </w:hyperlink>
          </w:p>
        </w:tc>
        <w:tc>
          <w:tcPr>
            <w:tcW w:w="35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4"/>
                <w:szCs w:val="24"/>
                <w:color w:val="auto"/>
              </w:rPr>
            </w:pPr>
          </w:p>
        </w:tc>
        <w:tc>
          <w:tcPr>
            <w:tcW w:w="10080" w:type="dxa"/>
            <w:vAlign w:val="bottom"/>
            <w:gridSpan w:val="26"/>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Amended and Restated Certificate of Incorporation of Lamar Media Corp. (“Lamar Media”)  Previously filed as Exhibit 3.2 to the</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Company’s Quarterly Report on Form 10-Q for the period ended March 31, 2007 (File No. 0-30242) filed on May 10, 2007 and</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incorporated herein by reference.</w:t>
              </w:r>
            </w:hyperlink>
          </w:p>
        </w:tc>
        <w:tc>
          <w:tcPr>
            <w:tcW w:w="7600" w:type="dxa"/>
            <w:vAlign w:val="bottom"/>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24"/>
                <w:szCs w:val="24"/>
                <w:color w:val="auto"/>
              </w:rPr>
            </w:pPr>
          </w:p>
        </w:tc>
        <w:tc>
          <w:tcPr>
            <w:tcW w:w="10080" w:type="dxa"/>
            <w:vAlign w:val="bottom"/>
            <w:gridSpan w:val="26"/>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Amended and Restated Bylaws of the Company, adopted as of November 18, 2014. Previously filed as Exhibit 3.3 to the Company’s</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Current Report on Form 8-K (File No. 1-36756) filed on November 19, 2014 and incorporated herein by reference.</w:t>
              </w:r>
            </w:hyperlink>
          </w:p>
        </w:tc>
        <w:tc>
          <w:tcPr>
            <w:tcW w:w="162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20" w:type="dxa"/>
            <w:vAlign w:val="bottom"/>
          </w:tcPr>
          <w:p>
            <w:pPr>
              <w:spacing w:after="0"/>
              <w:rPr>
                <w:sz w:val="24"/>
                <w:szCs w:val="24"/>
                <w:color w:val="auto"/>
              </w:rPr>
            </w:pPr>
          </w:p>
        </w:tc>
        <w:tc>
          <w:tcPr>
            <w:tcW w:w="10080" w:type="dxa"/>
            <w:vAlign w:val="bottom"/>
            <w:gridSpan w:val="26"/>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Amended and Restated Bylaws of Lamar Media. Previously filed as Exhibit 3.1 to Lamar Media’s Quarterly Report on Form 10-Q for</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the period ended September 30, 1999 (File No. 1-12407) filed on November 12, 1999 and incorporated herein by reference.</w:t>
              </w:r>
            </w:hyperlink>
          </w:p>
        </w:tc>
        <w:tc>
          <w:tcPr>
            <w:tcW w:w="11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00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Supplemental Indenture to the Indenture dated as of July 1, 2024, among Lamar Media, the Guarantors named therein and U.S. Bank</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Trust Company, National Association, as Trustee, dated as of January 22, 2021, relating to Lamar Media’s 3.625%% Senior Notes due</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80" w:type="dxa"/>
            <w:vAlign w:val="bottom"/>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2031. Filed herewith.</w:t>
            </w: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100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Supplemental Indenture to the Indenture dated as of July 1, 2024, among Lamar Media, the Guarantors named therein and U.S. Bank</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Trust Company, National Association, as Trustee, dated as of February 6, 2020, relating to Lamar Media’s 3.750% Senior Notes due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2028. Filed herewith.</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4"/>
                <w:szCs w:val="24"/>
                <w:color w:val="auto"/>
              </w:rPr>
            </w:pPr>
          </w:p>
        </w:tc>
        <w:tc>
          <w:tcPr>
            <w:tcW w:w="100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Supplemental Indenture to the Indenture dated as of July 1, 2024, among Lamar Media, the Guarantors named therein and U.S. Bank</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Trust Company, National Association, as Trustee, dated as of February 6, 2020, relating to Lamar Media’s 4.000% Senior Notes due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2030. Filed herewith.</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4"/>
                <w:szCs w:val="24"/>
                <w:color w:val="auto"/>
              </w:rPr>
            </w:pPr>
          </w:p>
        </w:tc>
        <w:tc>
          <w:tcPr>
            <w:tcW w:w="100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Supplemental Indenture to the Indenture dated as of July 1, 2024, among Lamar Media, the Guarantors named therein and U.S. Bank</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w w:val="99"/>
              </w:rPr>
              <w:t>Trust Company, National Association, as Trustee, dated as of May 13, 2020, relating to Lamar Media’s 4.875% Senior Notes due 2029.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Filed herewith.</w:t>
            </w:r>
          </w:p>
        </w:tc>
        <w:tc>
          <w:tcPr>
            <w:tcW w:w="890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0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Joinder Agreement, dated as of July 1, 2024, to the Fourth Amended and Restated Credit Agreement dated as of dated as of February 6,</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2020 (as amended), among Lamar Media, the subsidiary borrower party thereto, the subsidiary guarantors party thereto, the lenders</w:t>
            </w:r>
          </w:p>
        </w:tc>
        <w:tc>
          <w:tcPr>
            <w:tcW w:w="20" w:type="dxa"/>
            <w:vAlign w:val="bottom"/>
            <w:tcBorders>
              <w:bottom w:val="single" w:sz="8" w:color="0000FF"/>
            </w:tcBorders>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party thereto and North Carolina Logos, LLC. Filed herewith.</w:t>
            </w: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0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the Company and Lamar Media pursuant to Securities Exchange Act Rules 13a-14(a)</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32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and 15d-14(a) as adopted pursuant to Section 302 of the Sarbanes-Oxley Act of 2002. Filed herewith.</w:t>
            </w:r>
          </w:p>
        </w:tc>
        <w:tc>
          <w:tcPr>
            <w:tcW w:w="272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0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the Company and Lamar Media pursuant to Securities Exchange Act Rules 13a-14(a) and</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2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15d-14(a) as adopted pursuant to Section 302 of the Sarbanes-Oxley Act of 2002. Filed herewith.</w:t>
            </w:r>
          </w:p>
        </w:tc>
        <w:tc>
          <w:tcPr>
            <w:tcW w:w="2940" w:type="dxa"/>
            <w:vAlign w:val="bottom"/>
            <w:tcBorders>
              <w:top w:val="single" w:sz="8" w:color="0000FF"/>
            </w:tcBorders>
            <w:gridSpan w:val="12"/>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0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Filed</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herewith.</w:t>
            </w:r>
          </w:p>
        </w:tc>
        <w:tc>
          <w:tcPr>
            <w:tcW w:w="2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1380" w:right="20" w:hanging="879"/>
        <w:spacing w:after="0" w:line="224"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Quarterly Report on Form 10-Q for the quarter ended September 30, 2024, formatted in Inline XBRL: (i) Condensed Consolidated Balance Sheets, (ii) Condensed Consolidated Statements of Income and Comprehensive Income, (iii) Condensed Consolidated Statements of Stockholders' Equity, (iv) Condensed Consolidated Statements of Cash Flows, and (v) Notes to the Condensed Consolidated Financial Statements, tagged as blocks of text and including detailed tags.</w:t>
      </w:r>
    </w:p>
    <w:p>
      <w:pPr>
        <w:spacing w:after="0" w:line="105" w:lineRule="exact"/>
        <w:rPr>
          <w:sz w:val="20"/>
          <w:szCs w:val="20"/>
          <w:color w:val="auto"/>
        </w:rPr>
      </w:pPr>
    </w:p>
    <w:p>
      <w:pPr>
        <w:ind w:left="1380" w:hanging="879"/>
        <w:spacing w:after="0"/>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Date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w:t>
      </w:r>
    </w:p>
    <w:p>
      <w:pPr>
        <w:spacing w:after="0" w:line="7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297" w:lineRule="exact"/>
        <w:rPr>
          <w:sz w:val="20"/>
          <w:szCs w:val="20"/>
          <w:color w:val="auto"/>
        </w:rPr>
      </w:pPr>
    </w:p>
    <w:p>
      <w:pPr>
        <w:ind w:left="20"/>
        <w:spacing w:after="0"/>
        <w:tabs>
          <w:tab w:leader="none" w:pos="4980" w:val="left"/>
          <w:tab w:leader="none" w:pos="6100" w:val="left"/>
        </w:tabs>
        <w:rPr>
          <w:sz w:val="20"/>
          <w:szCs w:val="20"/>
          <w:color w:val="auto"/>
        </w:rPr>
      </w:pPr>
      <w:r>
        <w:rPr>
          <w:rFonts w:ascii="Times New Roman" w:cs="Times New Roman" w:eastAsia="Times New Roman" w:hAnsi="Times New Roman"/>
          <w:sz w:val="18"/>
          <w:szCs w:val="18"/>
          <w:color w:val="auto"/>
        </w:rPr>
        <w:t>DATED: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575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8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97" w:lineRule="exact"/>
        <w:rPr>
          <w:sz w:val="20"/>
          <w:szCs w:val="20"/>
          <w:color w:val="auto"/>
        </w:rPr>
      </w:pPr>
    </w:p>
    <w:p>
      <w:pPr>
        <w:ind w:left="20"/>
        <w:spacing w:after="0"/>
        <w:tabs>
          <w:tab w:leader="none" w:pos="4980" w:val="left"/>
          <w:tab w:leader="none" w:pos="6100" w:val="left"/>
        </w:tabs>
        <w:rPr>
          <w:sz w:val="20"/>
          <w:szCs w:val="20"/>
          <w:color w:val="auto"/>
        </w:rPr>
      </w:pPr>
      <w:r>
        <w:rPr>
          <w:rFonts w:ascii="Times New Roman" w:cs="Times New Roman" w:eastAsia="Times New Roman" w:hAnsi="Times New Roman"/>
          <w:sz w:val="18"/>
          <w:szCs w:val="18"/>
          <w:color w:val="auto"/>
        </w:rPr>
        <w:t>DATED: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575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20"/>
          </w:cols>
          <w:pgMar w:left="320" w:top="121" w:right="35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JANUARY 22, 2021</w:t>
      </w:r>
    </w:p>
    <w:p>
      <w:pPr>
        <w:spacing w:after="0" w:line="200" w:lineRule="exact"/>
        <w:rPr>
          <w:sz w:val="20"/>
          <w:szCs w:val="20"/>
          <w:color w:val="auto"/>
        </w:rPr>
      </w:pPr>
    </w:p>
    <w:p>
      <w:pPr>
        <w:spacing w:after="0" w:line="294" w:lineRule="exact"/>
        <w:rPr>
          <w:sz w:val="20"/>
          <w:szCs w:val="20"/>
          <w:color w:val="auto"/>
        </w:rPr>
      </w:pPr>
    </w:p>
    <w:p>
      <w:pPr>
        <w:jc w:val="both"/>
        <w:ind w:firstLine="286"/>
        <w:spacing w:after="0" w:line="256" w:lineRule="auto"/>
        <w:rPr>
          <w:sz w:val="20"/>
          <w:szCs w:val="20"/>
          <w:color w:val="auto"/>
        </w:rPr>
      </w:pPr>
      <w:r>
        <w:rPr>
          <w:rFonts w:ascii="Times New Roman" w:cs="Times New Roman" w:eastAsia="Times New Roman" w:hAnsi="Times New Roman"/>
          <w:sz w:val="22"/>
          <w:szCs w:val="22"/>
          <w:color w:val="auto"/>
        </w:rPr>
        <w:t>THIS SUPPLEMENTAL INDENTURE dated as of July 1, 2024,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NORTH CAROLINA LOGOS, LLC, a North Carolina limited liability company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original trustee, The Bank of New York Mellon Trust Company, N.A., an Indenture, dated as of January 22, 2021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3.625% Senior Notes due 2031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200"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60" w:lineRule="exact"/>
        <w:rPr>
          <w:rFonts w:ascii="Times New Roman" w:cs="Times New Roman" w:eastAsia="Times New Roman" w:hAnsi="Times New Roman"/>
          <w:sz w:val="22"/>
          <w:szCs w:val="22"/>
          <w:color w:val="auto"/>
        </w:rPr>
      </w:pPr>
    </w:p>
    <w:p>
      <w:pPr>
        <w:jc w:val="both"/>
        <w:ind w:firstLine="656"/>
        <w:spacing w:after="0" w:line="252" w:lineRule="auto"/>
        <w:tabs>
          <w:tab w:leader="none" w:pos="117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206"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ectPr>
          <w:pgSz w:w="11900" w:h="16838" w:orient="portrait"/>
          <w:cols w:equalWidth="0" w:num="1">
            <w:col w:w="11240"/>
          </w:cols>
          <w:pgMar w:left="320" w:top="126" w:right="339" w:bottom="1440" w:gutter="0" w:footer="0" w:header="0"/>
        </w:sectPr>
      </w:pPr>
    </w:p>
    <w:bookmarkStart w:id="52" w:name="page53"/>
    <w:bookmarkEnd w:id="52"/>
    <w:p>
      <w:pPr>
        <w:jc w:val="both"/>
        <w:ind w:firstLine="656"/>
        <w:spacing w:after="0" w:line="257" w:lineRule="auto"/>
        <w:tabs>
          <w:tab w:leader="none" w:pos="10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pacing w:after="0" w:line="213" w:lineRule="exact"/>
        <w:rPr>
          <w:rFonts w:ascii="Times New Roman" w:cs="Times New Roman" w:eastAsia="Times New Roman" w:hAnsi="Times New Roman"/>
          <w:sz w:val="22"/>
          <w:szCs w:val="22"/>
          <w:color w:val="auto"/>
        </w:rPr>
      </w:pPr>
    </w:p>
    <w:p>
      <w:pPr>
        <w:ind w:firstLine="656"/>
        <w:spacing w:after="0" w:line="271" w:lineRule="auto"/>
        <w:tabs>
          <w:tab w:leader="none" w:pos="106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84" w:lineRule="exact"/>
        <w:rPr>
          <w:rFonts w:ascii="Times New Roman" w:cs="Times New Roman" w:eastAsia="Times New Roman" w:hAnsi="Times New Roman"/>
          <w:sz w:val="22"/>
          <w:szCs w:val="22"/>
          <w:color w:val="auto"/>
        </w:rPr>
      </w:pPr>
    </w:p>
    <w:p>
      <w:pPr>
        <w:ind w:firstLine="656"/>
        <w:spacing w:after="0" w:line="271" w:lineRule="auto"/>
        <w:tabs>
          <w:tab w:leader="none" w:pos="117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84"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0" w:lineRule="exact"/>
        <w:rPr>
          <w:rFonts w:ascii="Times New Roman" w:cs="Times New Roman" w:eastAsia="Times New Roman" w:hAnsi="Times New Roman"/>
          <w:sz w:val="22"/>
          <w:szCs w:val="22"/>
          <w:color w:val="auto"/>
        </w:rPr>
      </w:pPr>
    </w:p>
    <w:p>
      <w:pPr>
        <w:ind w:right="20" w:firstLine="656"/>
        <w:spacing w:after="0" w:line="271" w:lineRule="auto"/>
        <w:tabs>
          <w:tab w:leader="none" w:pos="106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53" w:name="page54"/>
    <w:bookmarkEnd w:id="53"/>
    <w:p>
      <w:pPr>
        <w:ind w:firstLine="285"/>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20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25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NORTH CAROLINA LOGOS, LLC</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60"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L. Johnson </w:t>
      </w:r>
      <w:r>
        <w:rPr>
          <w:rFonts w:ascii="Times New Roman" w:cs="Times New Roman" w:eastAsia="Times New Roman" w:hAnsi="Times New Roman"/>
          <w:sz w:val="21"/>
          <w:szCs w:val="21"/>
          <w:color w:val="auto"/>
        </w:rPr>
        <w:t>___________________</w:t>
      </w:r>
    </w:p>
    <w:p>
      <w:pPr>
        <w:spacing w:after="0" w:line="2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2" w:right="339" w:bottom="1440" w:gutter="0" w:footer="0" w:header="0"/>
        </w:sectPr>
      </w:pPr>
    </w:p>
    <w:bookmarkStart w:id="54" w:name="page55"/>
    <w:bookmarkEnd w:id="54"/>
    <w:p>
      <w:pPr>
        <w:ind w:left="212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247"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L. Johnson </w:t>
      </w:r>
      <w:r>
        <w:rPr>
          <w:rFonts w:ascii="Times New Roman" w:cs="Times New Roman" w:eastAsia="Times New Roman" w:hAnsi="Times New Roman"/>
          <w:sz w:val="21"/>
          <w:szCs w:val="21"/>
          <w:color w:val="auto"/>
        </w:rPr>
        <w:t>___________________</w:t>
      </w:r>
    </w:p>
    <w:p>
      <w:pPr>
        <w:spacing w:after="0" w:line="29"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18" w:right="1440" w:bottom="1440" w:gutter="0" w:footer="0" w:header="0"/>
        </w:sectPr>
      </w:pPr>
    </w:p>
    <w:bookmarkStart w:id="55" w:name="page56"/>
    <w:bookmarkEnd w:id="55"/>
    <w:p>
      <w:pPr>
        <w:spacing w:after="0" w:line="221" w:lineRule="exact"/>
        <w:rPr>
          <w:sz w:val="20"/>
          <w:szCs w:val="20"/>
          <w:color w:val="auto"/>
        </w:rPr>
      </w:pPr>
    </w:p>
    <w:tbl>
      <w:tblPr>
        <w:tblLayout w:type="fixed"/>
        <w:tblInd w:w="2340" w:type="dxa"/>
        <w:tblCellMar>
          <w:top w:w="0" w:type="dxa"/>
          <w:left w:w="0" w:type="dxa"/>
          <w:bottom w:w="0" w:type="dxa"/>
          <w:right w:w="0" w:type="dxa"/>
        </w:tblCellMar>
      </w:tblPr>
      <w:tr>
        <w:trPr>
          <w:trHeight w:val="286"/>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8"/>
              </w:rPr>
              <w:t>GUARANTORS</w:t>
            </w:r>
            <w:r>
              <w:rPr>
                <w:rFonts w:ascii="Times New Roman" w:cs="Times New Roman" w:eastAsia="Times New Roman" w:hAnsi="Times New Roman"/>
                <w:sz w:val="22"/>
                <w:szCs w:val="22"/>
                <w:color w:val="auto"/>
                <w:w w:val="98"/>
              </w:rPr>
              <w:t>:</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74"/>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ALABAMA LOGOS, LLC</w:t>
            </w:r>
          </w:p>
        </w:tc>
        <w:tc>
          <w:tcPr>
            <w:tcW w:w="1880" w:type="dxa"/>
            <w:vAlign w:val="bottom"/>
          </w:tcPr>
          <w:p>
            <w:pPr>
              <w:spacing w:after="0"/>
              <w:rPr>
                <w:sz w:val="24"/>
                <w:szCs w:val="24"/>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ARIZONA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COLORADO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DELAWARE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GEORGIA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KANSAS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KENTUCKY LOGOS, LLC</w:t>
            </w:r>
          </w:p>
        </w:tc>
        <w:tc>
          <w:tcPr>
            <w:tcW w:w="1880" w:type="dxa"/>
            <w:vAlign w:val="bottom"/>
          </w:tcPr>
          <w:p>
            <w:pPr>
              <w:spacing w:after="0"/>
              <w:rPr>
                <w:sz w:val="23"/>
                <w:szCs w:val="23"/>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LOUISIANA INTERSTATE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MAINE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MICHIGAN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MINNESOTA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MISSISSIPPI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MISSOURI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MONTANA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NEBRASKA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NEVADA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HAMPSHIRE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JERSEY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MEXICO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OHIO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OKLAHOMA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SOUTH CAROLINA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TENNESSEE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UTAH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VIRGINIA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WASHINGTON LOGOS, L.L.C.</w:t>
            </w:r>
          </w:p>
        </w:tc>
        <w:tc>
          <w:tcPr>
            <w:tcW w:w="1880" w:type="dxa"/>
            <w:vAlign w:val="bottom"/>
          </w:tcPr>
          <w:p>
            <w:pPr>
              <w:spacing w:after="0"/>
              <w:rPr>
                <w:sz w:val="22"/>
                <w:szCs w:val="22"/>
                <w:color w:val="auto"/>
              </w:rPr>
            </w:pP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WISCONSIN LOGOS, LLC</w:t>
            </w:r>
          </w:p>
        </w:tc>
        <w:tc>
          <w:tcPr>
            <w:tcW w:w="1880" w:type="dxa"/>
            <w:vAlign w:val="bottom"/>
          </w:tcPr>
          <w:p>
            <w:pPr>
              <w:spacing w:after="0"/>
              <w:rPr>
                <w:sz w:val="24"/>
                <w:szCs w:val="24"/>
                <w:color w:val="auto"/>
              </w:rPr>
            </w:pPr>
          </w:p>
        </w:tc>
      </w:tr>
      <w:tr>
        <w:trPr>
          <w:trHeight w:val="474"/>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Interstate Logos, L.L.C., its Managing Member</w:t>
            </w:r>
          </w:p>
        </w:tc>
        <w:tc>
          <w:tcPr>
            <w:tcW w:w="1880" w:type="dxa"/>
            <w:vAlign w:val="bottom"/>
          </w:tcPr>
          <w:p>
            <w:pPr>
              <w:spacing w:after="0"/>
              <w:rPr>
                <w:sz w:val="24"/>
                <w:szCs w:val="24"/>
                <w:color w:val="auto"/>
              </w:rPr>
            </w:pPr>
          </w:p>
        </w:tc>
      </w:tr>
      <w:tr>
        <w:trPr>
          <w:trHeight w:val="270"/>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98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880" w:type="dxa"/>
            <w:vAlign w:val="bottom"/>
          </w:tcPr>
          <w:p>
            <w:pPr>
              <w:spacing w:after="0"/>
              <w:rPr>
                <w:sz w:val="24"/>
                <w:szCs w:val="24"/>
                <w:color w:val="auto"/>
              </w:rPr>
            </w:pPr>
          </w:p>
        </w:tc>
      </w:tr>
      <w:tr>
        <w:trPr>
          <w:trHeight w:val="663"/>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4340" w:type="dxa"/>
            <w:vAlign w:val="bottom"/>
            <w:gridSpan w:val="2"/>
          </w:tcPr>
          <w:p>
            <w:pPr>
              <w:ind w:left="420"/>
              <w:spacing w:after="0"/>
              <w:rPr>
                <w:sz w:val="20"/>
                <w:szCs w:val="20"/>
                <w:color w:val="auto"/>
              </w:rPr>
            </w:pPr>
            <w:r>
              <w:rPr>
                <w:rFonts w:ascii="Times New Roman" w:cs="Times New Roman" w:eastAsia="Times New Roman" w:hAnsi="Times New Roman"/>
                <w:sz w:val="22"/>
                <w:szCs w:val="22"/>
                <w:u w:val="single" w:color="auto"/>
                <w:color w:val="auto"/>
              </w:rPr>
              <w:t>/s/ Jay L. Johnson</w:t>
            </w:r>
            <w:r>
              <w:rPr>
                <w:rFonts w:ascii="Times New Roman" w:cs="Times New Roman" w:eastAsia="Times New Roman" w:hAnsi="Times New Roman"/>
                <w:sz w:val="22"/>
                <w:szCs w:val="22"/>
                <w:color w:val="auto"/>
              </w:rPr>
              <w:t xml:space="preserve"> ___________________</w:t>
            </w:r>
          </w:p>
        </w:tc>
        <w:tc>
          <w:tcPr>
            <w:tcW w:w="1880" w:type="dxa"/>
            <w:vAlign w:val="bottom"/>
          </w:tcPr>
          <w:p>
            <w:pPr>
              <w:spacing w:after="0"/>
              <w:rPr>
                <w:sz w:val="24"/>
                <w:szCs w:val="24"/>
                <w:color w:val="auto"/>
              </w:rPr>
            </w:pPr>
          </w:p>
        </w:tc>
      </w:tr>
      <w:tr>
        <w:trPr>
          <w:trHeight w:val="257"/>
        </w:trPr>
        <w:tc>
          <w:tcPr>
            <w:tcW w:w="76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880" w:type="dxa"/>
            <w:vAlign w:val="bottom"/>
          </w:tcPr>
          <w:p>
            <w:pPr>
              <w:spacing w:after="0"/>
              <w:rPr>
                <w:sz w:val="22"/>
                <w:szCs w:val="22"/>
                <w:color w:val="auto"/>
              </w:rPr>
            </w:pPr>
          </w:p>
        </w:tc>
      </w:tr>
      <w:tr>
        <w:trPr>
          <w:trHeight w:val="270"/>
        </w:trPr>
        <w:tc>
          <w:tcPr>
            <w:tcW w:w="76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Title:</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7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Treasurer</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320"/>
          </w:cols>
          <w:pgMar w:left="1440" w:top="1440" w:right="113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LAMAR AIRPORT ADVERTISING COMPANY</w:t>
            </w:r>
          </w:p>
        </w:tc>
        <w:tc>
          <w:tcPr>
            <w:tcW w:w="2060" w:type="dxa"/>
            <w:vAlign w:val="bottom"/>
          </w:tcPr>
          <w:p>
            <w:pPr>
              <w:spacing w:after="0"/>
              <w:rPr>
                <w:sz w:val="24"/>
                <w:szCs w:val="24"/>
                <w:color w:val="auto"/>
              </w:rPr>
            </w:pPr>
          </w:p>
        </w:tc>
      </w:tr>
      <w:tr>
        <w:trPr>
          <w:trHeight w:val="690"/>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06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33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Treasurer</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42"/>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SKYHIGH MURALS – COLOSSAL MEDIA, LLC</w:t>
            </w:r>
          </w:p>
        </w:tc>
        <w:tc>
          <w:tcPr>
            <w:tcW w:w="2060" w:type="dxa"/>
            <w:vAlign w:val="bottom"/>
          </w:tcPr>
          <w:p>
            <w:pPr>
              <w:spacing w:after="0"/>
              <w:rPr>
                <w:sz w:val="24"/>
                <w:szCs w:val="24"/>
                <w:color w:val="auto"/>
              </w:rPr>
            </w:pPr>
          </w:p>
        </w:tc>
      </w:tr>
      <w:tr>
        <w:trPr>
          <w:trHeight w:val="90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06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5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7"/>
              </w:rPr>
              <w:t>Treasurer</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TRS Holdings,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43"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30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02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40" w:right="599" w:bottom="1440" w:gutter="0" w:footer="0" w:header="0"/>
        </w:sectPr>
      </w:pPr>
    </w:p>
    <w:bookmarkStart w:id="57" w:name="page58"/>
    <w:bookmarkEnd w:id="57"/>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CENTRAL OUTDOOR,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SOUTHWEST,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LAMAR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20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00" w:type="dxa"/>
            <w:vAlign w:val="bottom"/>
          </w:tcPr>
          <w:p>
            <w:pPr>
              <w:spacing w:after="0"/>
              <w:rPr>
                <w:sz w:val="22"/>
                <w:szCs w:val="22"/>
                <w:color w:val="auto"/>
              </w:rPr>
            </w:pPr>
          </w:p>
        </w:tc>
      </w:tr>
      <w:tr>
        <w:trPr>
          <w:trHeight w:val="257"/>
        </w:trPr>
        <w:tc>
          <w:tcPr>
            <w:tcW w:w="52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138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w w:val="99"/>
              </w:rPr>
              <w:t>Treasurer</w:t>
            </w:r>
          </w:p>
        </w:tc>
        <w:tc>
          <w:tcPr>
            <w:tcW w:w="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INVESTMENTS,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SERVICE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TRS Holdings,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1"/>
                <w:szCs w:val="21"/>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58" w:name="page59"/>
    <w:bookmarkEnd w:id="58"/>
    <w:p>
      <w:pPr>
        <w:ind w:left="280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ASHBY STREET OUTDOOR CC, LLC</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Ashby Street Outdoor Holdings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Media Corp., its Managing Member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Jay L. Johnson</w:t>
      </w:r>
      <w:r>
        <w:rPr>
          <w:rFonts w:ascii="Times New Roman" w:cs="Times New Roman" w:eastAsia="Times New Roman" w:hAnsi="Times New Roman"/>
          <w:sz w:val="22"/>
          <w:szCs w:val="22"/>
          <w:color w:val="auto"/>
        </w:rPr>
        <w:t xml:space="preserve"> ___________________</w:t>
      </w:r>
    </w:p>
    <w:p>
      <w:pPr>
        <w:spacing w:after="0" w:line="29" w:lineRule="exact"/>
        <w:rPr>
          <w:sz w:val="20"/>
          <w:szCs w:val="20"/>
          <w:color w:val="auto"/>
        </w:rPr>
      </w:pPr>
    </w:p>
    <w:p>
      <w:pPr>
        <w:ind w:left="3180"/>
        <w:spacing w:after="0"/>
        <w:tabs>
          <w:tab w:leader="none" w:pos="3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LAMAR TEXAS LIMITED PARTNERSHIP</w:t>
            </w:r>
          </w:p>
        </w:tc>
        <w:tc>
          <w:tcPr>
            <w:tcW w:w="1920" w:type="dxa"/>
            <w:vAlign w:val="bottom"/>
          </w:tcPr>
          <w:p>
            <w:pPr>
              <w:spacing w:after="0"/>
              <w:rPr>
                <w:sz w:val="24"/>
                <w:szCs w:val="24"/>
                <w:color w:val="auto"/>
              </w:rPr>
            </w:pPr>
          </w:p>
        </w:tc>
      </w:tr>
      <w:tr>
        <w:trPr>
          <w:trHeight w:val="474"/>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The Lamar Company, L.L.C., its General Partner</w:t>
            </w:r>
          </w:p>
        </w:tc>
        <w:tc>
          <w:tcPr>
            <w:tcW w:w="1920" w:type="dxa"/>
            <w:vAlign w:val="bottom"/>
          </w:tcPr>
          <w:p>
            <w:pPr>
              <w:spacing w:after="0"/>
              <w:rPr>
                <w:sz w:val="24"/>
                <w:szCs w:val="24"/>
                <w:color w:val="auto"/>
              </w:rPr>
            </w:pPr>
          </w:p>
        </w:tc>
      </w:t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70"/>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92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192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92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59" w:name="page60"/>
    <w:bookmarkEnd w:id="59"/>
    <w:p>
      <w:pPr>
        <w:ind w:left="2780"/>
        <w:spacing w:after="0"/>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LOUISIANA,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MICHIGAN,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SOUTH DAKOTA,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YOUNGSTOWN,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ELECTRICAL,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FLORIDA,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NORTH,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SOUTH,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0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60" w:name="page61"/>
    <w:bookmarkEnd w:id="60"/>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FARMS,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tbl>
      <w:tblPr>
        <w:tblLayout w:type="fixed"/>
        <w:tblInd w:w="2780" w:type="dxa"/>
        <w:tblCellMar>
          <w:top w:w="0" w:type="dxa"/>
          <w:left w:w="0" w:type="dxa"/>
          <w:bottom w:w="0" w:type="dxa"/>
          <w:right w:w="0" w:type="dxa"/>
        </w:tblCellMar>
      </w:tblPr>
      <w:tr>
        <w:trPr>
          <w:trHeight w:val="250"/>
        </w:trPr>
        <w:tc>
          <w:tcPr>
            <w:tcW w:w="3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49"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0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GP COMPANY,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LP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00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0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42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Name: Jay L. Johnson</w:t>
            </w:r>
          </w:p>
        </w:tc>
        <w:tc>
          <w:tcPr>
            <w:tcW w:w="20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Treasurer</w:t>
            </w:r>
          </w:p>
        </w:tc>
        <w:tc>
          <w:tcPr>
            <w:tcW w:w="2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61" w:name="page62"/>
    <w:bookmarkEnd w:id="61"/>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OUTDOOR COMPANY, L.P.</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2"/>
                <w:szCs w:val="22"/>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HOLDING COMPANY,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Outdoor Company, L.P.,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1"/>
                <w:szCs w:val="21"/>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MARKETING SYSTEMS,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PROMOTIONS WEST,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00" w:type="dxa"/>
            <w:vAlign w:val="bottom"/>
          </w:tcPr>
          <w:p>
            <w:pPr>
              <w:spacing w:after="0"/>
              <w:rPr>
                <w:sz w:val="24"/>
                <w:szCs w:val="24"/>
                <w:color w:val="auto"/>
              </w:rPr>
            </w:pPr>
          </w:p>
        </w:tc>
      </w:tr>
      <w:tr>
        <w:trPr>
          <w:trHeight w:val="65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spacing w:after="0" w:line="2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1"/>
                <w:szCs w:val="21"/>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63" w:name="page64"/>
    <w:bookmarkEnd w:id="63"/>
    <w:p>
      <w:pPr>
        <w:ind w:left="278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0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5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By:</w:t>
            </w:r>
          </w:p>
        </w:tc>
        <w:tc>
          <w:tcPr>
            <w:tcW w:w="5960" w:type="dxa"/>
            <w:vAlign w:val="bottom"/>
            <w:gridSpan w:val="3"/>
          </w:tcPr>
          <w:p>
            <w:pPr>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40" w:type="dxa"/>
            <w:vAlign w:val="bottom"/>
          </w:tcPr>
          <w:p>
            <w:pPr>
              <w:spacing w:after="0"/>
              <w:rPr>
                <w:sz w:val="24"/>
                <w:szCs w:val="24"/>
                <w:color w:val="auto"/>
              </w:rPr>
            </w:pPr>
          </w:p>
        </w:tc>
      </w:tr>
      <w:tr>
        <w:trPr>
          <w:trHeight w:val="650"/>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4"/>
                <w:szCs w:val="24"/>
                <w:color w:val="auto"/>
              </w:rPr>
            </w:pP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/s/ Jay L. Johnson ___________________</w:t>
            </w:r>
          </w:p>
        </w:tc>
        <w:tc>
          <w:tcPr>
            <w:tcW w:w="2140" w:type="dxa"/>
            <w:vAlign w:val="bottom"/>
          </w:tcPr>
          <w:p>
            <w:pPr>
              <w:spacing w:after="0"/>
              <w:rPr>
                <w:sz w:val="24"/>
                <w:szCs w:val="24"/>
                <w:color w:val="auto"/>
              </w:rPr>
            </w:pPr>
          </w:p>
        </w:tc>
      </w:tr>
      <w:tr>
        <w:trPr>
          <w:trHeight w:val="263"/>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160" w:type="dxa"/>
            <w:vAlign w:val="bottom"/>
          </w:tcPr>
          <w:p>
            <w:pPr>
              <w:spacing w:after="0"/>
              <w:rPr>
                <w:sz w:val="22"/>
                <w:szCs w:val="22"/>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Jay L. Johnson</w:t>
            </w:r>
          </w:p>
        </w:tc>
        <w:tc>
          <w:tcPr>
            <w:tcW w:w="2140" w:type="dxa"/>
            <w:vAlign w:val="bottom"/>
          </w:tcPr>
          <w:p>
            <w:pPr>
              <w:spacing w:after="0"/>
              <w:rPr>
                <w:sz w:val="22"/>
                <w:szCs w:val="22"/>
                <w:color w:val="auto"/>
              </w:rPr>
            </w:pPr>
          </w:p>
        </w:tc>
      </w:tr>
      <w:tr>
        <w:trPr>
          <w:trHeight w:val="256"/>
        </w:trPr>
        <w:tc>
          <w:tcPr>
            <w:tcW w:w="440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14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440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Treasurer</w:t>
            </w:r>
          </w:p>
        </w:tc>
        <w:tc>
          <w:tcPr>
            <w:tcW w:w="2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64" w:name="page65"/>
    <w:bookmarkEnd w:id="64"/>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47"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Class A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2"/>
                <w:szCs w:val="22"/>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0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65" w:name="page66"/>
    <w:bookmarkEnd w:id="65"/>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1,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2,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MEDIA/LAMAR, LLC</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3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82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82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8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82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82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8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40" w:right="579" w:bottom="1440" w:gutter="0" w:footer="0" w:header="0"/>
        </w:sectPr>
      </w:pPr>
    </w:p>
    <w:bookmarkStart w:id="66" w:name="page67"/>
    <w:bookmarkEnd w:id="66"/>
    <w:p>
      <w:pPr>
        <w:ind w:left="280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82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82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8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82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82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8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22" w:right="579" w:bottom="1440" w:gutter="0" w:footer="0" w:header="0"/>
        </w:sectPr>
      </w:pPr>
    </w:p>
    <w:bookmarkStart w:id="67" w:name="page68"/>
    <w:bookmarkEnd w:id="67"/>
    <w:p>
      <w:pPr>
        <w:ind w:left="2800"/>
        <w:spacing w:after="0"/>
        <w:rPr>
          <w:sz w:val="20"/>
          <w:szCs w:val="20"/>
          <w:color w:val="auto"/>
        </w:rPr>
      </w:pPr>
      <w:r>
        <w:rPr>
          <w:rFonts w:ascii="Times New Roman" w:cs="Times New Roman" w:eastAsia="Times New Roman" w:hAnsi="Times New Roman"/>
          <w:sz w:val="22"/>
          <w:szCs w:val="22"/>
          <w:color w:val="auto"/>
        </w:rPr>
        <w:t>DOUGLAS OUTDOOR ADVERTISING OF GA.,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Magic Media/Lamar,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82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82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8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MCC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FMO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OLYMPUS MEDIA/INDIANA,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LLC, its Managing</w:t>
      </w:r>
    </w:p>
    <w:p>
      <w:pPr>
        <w:spacing w:after="0" w:line="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Member</w:t>
      </w:r>
    </w:p>
    <w:p>
      <w:pPr>
        <w:spacing w:after="0" w:line="1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4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94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77"/>
        </w:trPr>
        <w:tc>
          <w:tcPr>
            <w:tcW w:w="110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Name:</w:t>
            </w:r>
          </w:p>
        </w:tc>
        <w:tc>
          <w:tcPr>
            <w:tcW w:w="33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940" w:type="dxa"/>
            <w:vAlign w:val="bottom"/>
          </w:tcPr>
          <w:p>
            <w:pPr>
              <w:spacing w:after="0"/>
              <w:rPr>
                <w:sz w:val="24"/>
                <w:szCs w:val="24"/>
                <w:color w:val="auto"/>
              </w:rPr>
            </w:pPr>
          </w:p>
        </w:tc>
      </w:tr>
      <w:tr>
        <w:trPr>
          <w:trHeight w:val="282"/>
        </w:trPr>
        <w:tc>
          <w:tcPr>
            <w:tcW w:w="110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Title:</w:t>
            </w:r>
          </w:p>
        </w:tc>
        <w:tc>
          <w:tcPr>
            <w:tcW w:w="33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94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20"/>
          </w:cols>
          <w:pgMar w:left="1440" w:top="1422" w:right="339" w:bottom="1440" w:gutter="0" w:footer="0" w:header="0"/>
        </w:sectPr>
      </w:pPr>
    </w:p>
    <w:bookmarkStart w:id="68" w:name="page69"/>
    <w:bookmarkEnd w:id="68"/>
    <w:p>
      <w:pPr>
        <w:ind w:left="278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2"/>
                <w:szCs w:val="22"/>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spacing w:after="0" w:line="260"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302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02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22" w:right="599" w:bottom="1440" w:gutter="0" w:footer="0" w:header="0"/>
        </w:sectPr>
      </w:pPr>
    </w:p>
    <w:bookmarkStart w:id="69" w:name="page70"/>
    <w:bookmarkEnd w:id="69"/>
    <w:p>
      <w:pPr>
        <w:spacing w:after="0" w:line="200" w:lineRule="exact"/>
        <w:rPr>
          <w:sz w:val="20"/>
          <w:szCs w:val="20"/>
          <w:color w:val="auto"/>
        </w:rPr>
      </w:pPr>
    </w:p>
    <w:p>
      <w:pPr>
        <w:spacing w:after="0" w:line="34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51" w:lineRule="exact"/>
        <w:rPr>
          <w:sz w:val="20"/>
          <w:szCs w:val="20"/>
          <w:color w:val="auto"/>
        </w:rPr>
      </w:pPr>
    </w:p>
    <w:p>
      <w:pPr>
        <w:ind w:left="2120"/>
        <w:spacing w:after="0" w:line="271"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4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Wallace L. Duke______________</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 Wallace L. Duke</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9740"/>
          </w:cols>
          <w:pgMar w:left="1440" w:top="1440" w:right="71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2"/>
          <w:szCs w:val="22"/>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FEBRUARY 6, 2020</w:t>
      </w:r>
    </w:p>
    <w:p>
      <w:pPr>
        <w:spacing w:after="0" w:line="200" w:lineRule="exact"/>
        <w:rPr>
          <w:sz w:val="20"/>
          <w:szCs w:val="20"/>
          <w:color w:val="auto"/>
        </w:rPr>
      </w:pPr>
    </w:p>
    <w:p>
      <w:pPr>
        <w:spacing w:after="0" w:line="294" w:lineRule="exact"/>
        <w:rPr>
          <w:sz w:val="20"/>
          <w:szCs w:val="20"/>
          <w:color w:val="auto"/>
        </w:rPr>
      </w:pPr>
    </w:p>
    <w:p>
      <w:pPr>
        <w:jc w:val="both"/>
        <w:ind w:firstLine="286"/>
        <w:spacing w:after="0" w:line="256" w:lineRule="auto"/>
        <w:rPr>
          <w:sz w:val="20"/>
          <w:szCs w:val="20"/>
          <w:color w:val="auto"/>
        </w:rPr>
      </w:pPr>
      <w:r>
        <w:rPr>
          <w:rFonts w:ascii="Times New Roman" w:cs="Times New Roman" w:eastAsia="Times New Roman" w:hAnsi="Times New Roman"/>
          <w:sz w:val="22"/>
          <w:szCs w:val="22"/>
          <w:color w:val="auto"/>
        </w:rPr>
        <w:t>THIS SUPPLEMENTAL INDENTURE dated as of July 1, 2024,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NORTH CAROLINA LOGOS, LLC, a North Carolina limited liability company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original trustee, The Bank of New York Mellon Trust Company, N.A., an Indenture, dated as of February 6, 2020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3.750% Senior Notes due 2028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200"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60" w:lineRule="exact"/>
        <w:rPr>
          <w:rFonts w:ascii="Times New Roman" w:cs="Times New Roman" w:eastAsia="Times New Roman" w:hAnsi="Times New Roman"/>
          <w:sz w:val="22"/>
          <w:szCs w:val="22"/>
          <w:color w:val="auto"/>
        </w:rPr>
      </w:pPr>
    </w:p>
    <w:p>
      <w:pPr>
        <w:jc w:val="both"/>
        <w:ind w:firstLine="656"/>
        <w:spacing w:after="0" w:line="252" w:lineRule="auto"/>
        <w:tabs>
          <w:tab w:leader="none" w:pos="117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206"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ectPr>
          <w:pgSz w:w="11900" w:h="16838" w:orient="portrait"/>
          <w:cols w:equalWidth="0" w:num="1">
            <w:col w:w="11240"/>
          </w:cols>
          <w:pgMar w:left="320" w:top="126" w:right="339" w:bottom="1440" w:gutter="0" w:footer="0" w:header="0"/>
        </w:sectPr>
      </w:pPr>
    </w:p>
    <w:bookmarkStart w:id="71" w:name="page72"/>
    <w:bookmarkEnd w:id="71"/>
    <w:p>
      <w:pPr>
        <w:jc w:val="both"/>
        <w:ind w:firstLine="656"/>
        <w:spacing w:after="0" w:line="257" w:lineRule="auto"/>
        <w:tabs>
          <w:tab w:leader="none" w:pos="10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pacing w:after="0" w:line="213" w:lineRule="exact"/>
        <w:rPr>
          <w:rFonts w:ascii="Times New Roman" w:cs="Times New Roman" w:eastAsia="Times New Roman" w:hAnsi="Times New Roman"/>
          <w:sz w:val="22"/>
          <w:szCs w:val="22"/>
          <w:color w:val="auto"/>
        </w:rPr>
      </w:pPr>
    </w:p>
    <w:p>
      <w:pPr>
        <w:ind w:firstLine="656"/>
        <w:spacing w:after="0" w:line="271" w:lineRule="auto"/>
        <w:tabs>
          <w:tab w:leader="none" w:pos="106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84" w:lineRule="exact"/>
        <w:rPr>
          <w:rFonts w:ascii="Times New Roman" w:cs="Times New Roman" w:eastAsia="Times New Roman" w:hAnsi="Times New Roman"/>
          <w:sz w:val="22"/>
          <w:szCs w:val="22"/>
          <w:color w:val="auto"/>
        </w:rPr>
      </w:pPr>
    </w:p>
    <w:p>
      <w:pPr>
        <w:ind w:firstLine="656"/>
        <w:spacing w:after="0" w:line="271" w:lineRule="auto"/>
        <w:tabs>
          <w:tab w:leader="none" w:pos="117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84"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0" w:lineRule="exact"/>
        <w:rPr>
          <w:rFonts w:ascii="Times New Roman" w:cs="Times New Roman" w:eastAsia="Times New Roman" w:hAnsi="Times New Roman"/>
          <w:sz w:val="22"/>
          <w:szCs w:val="22"/>
          <w:color w:val="auto"/>
        </w:rPr>
      </w:pPr>
    </w:p>
    <w:p>
      <w:pPr>
        <w:ind w:right="20" w:firstLine="656"/>
        <w:spacing w:after="0" w:line="271" w:lineRule="auto"/>
        <w:tabs>
          <w:tab w:leader="none" w:pos="106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72" w:name="page73"/>
    <w:bookmarkEnd w:id="72"/>
    <w:p>
      <w:pPr>
        <w:ind w:firstLine="285"/>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20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25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NORTH CAROLINA LOGOS, LLC</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60"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L. Johnson </w:t>
      </w:r>
      <w:r>
        <w:rPr>
          <w:rFonts w:ascii="Times New Roman" w:cs="Times New Roman" w:eastAsia="Times New Roman" w:hAnsi="Times New Roman"/>
          <w:sz w:val="21"/>
          <w:szCs w:val="21"/>
          <w:color w:val="auto"/>
        </w:rPr>
        <w:t>___________________</w:t>
      </w:r>
    </w:p>
    <w:p>
      <w:pPr>
        <w:spacing w:after="0" w:line="2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2" w:right="339" w:bottom="1440" w:gutter="0" w:footer="0" w:header="0"/>
        </w:sectPr>
      </w:pPr>
    </w:p>
    <w:bookmarkStart w:id="73" w:name="page74"/>
    <w:bookmarkEnd w:id="73"/>
    <w:p>
      <w:pPr>
        <w:ind w:left="212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247"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L. Johnson </w:t>
      </w:r>
      <w:r>
        <w:rPr>
          <w:rFonts w:ascii="Times New Roman" w:cs="Times New Roman" w:eastAsia="Times New Roman" w:hAnsi="Times New Roman"/>
          <w:sz w:val="21"/>
          <w:szCs w:val="21"/>
          <w:color w:val="auto"/>
        </w:rPr>
        <w:t>___________________</w:t>
      </w:r>
    </w:p>
    <w:p>
      <w:pPr>
        <w:spacing w:after="0" w:line="29"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18" w:right="1440" w:bottom="1440" w:gutter="0" w:footer="0" w:header="0"/>
        </w:sectPr>
      </w:pPr>
    </w:p>
    <w:bookmarkStart w:id="74" w:name="page75"/>
    <w:bookmarkEnd w:id="74"/>
    <w:p>
      <w:pPr>
        <w:spacing w:after="0" w:line="221" w:lineRule="exact"/>
        <w:rPr>
          <w:sz w:val="20"/>
          <w:szCs w:val="20"/>
          <w:color w:val="auto"/>
        </w:rPr>
      </w:pPr>
    </w:p>
    <w:tbl>
      <w:tblPr>
        <w:tblLayout w:type="fixed"/>
        <w:tblInd w:w="2340" w:type="dxa"/>
        <w:tblCellMar>
          <w:top w:w="0" w:type="dxa"/>
          <w:left w:w="0" w:type="dxa"/>
          <w:bottom w:w="0" w:type="dxa"/>
          <w:right w:w="0" w:type="dxa"/>
        </w:tblCellMar>
      </w:tblPr>
      <w:tr>
        <w:trPr>
          <w:trHeight w:val="286"/>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8"/>
              </w:rPr>
              <w:t>GUARANTORS</w:t>
            </w:r>
            <w:r>
              <w:rPr>
                <w:rFonts w:ascii="Times New Roman" w:cs="Times New Roman" w:eastAsia="Times New Roman" w:hAnsi="Times New Roman"/>
                <w:sz w:val="22"/>
                <w:szCs w:val="22"/>
                <w:color w:val="auto"/>
                <w:w w:val="98"/>
              </w:rPr>
              <w:t>:</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74"/>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ALABAMA LOGOS, LLC</w:t>
            </w:r>
          </w:p>
        </w:tc>
        <w:tc>
          <w:tcPr>
            <w:tcW w:w="1880" w:type="dxa"/>
            <w:vAlign w:val="bottom"/>
          </w:tcPr>
          <w:p>
            <w:pPr>
              <w:spacing w:after="0"/>
              <w:rPr>
                <w:sz w:val="24"/>
                <w:szCs w:val="24"/>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ARIZONA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COLORADO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DELAWARE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GEORGIA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KANSAS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KENTUCKY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LOUISIANA INTERSTATE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MAINE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MICHIGAN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MINNESOTA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MISSISSIPPI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MISSOURI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MONTANA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NEBRASKA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NEVADA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HAMPSHIRE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JERSEY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MEXICO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OHIO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OKLAHOMA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SOUTH CAROLINA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TENNESSEE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UTAH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VIRGINIA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WASHINGTON LOGOS, L.L.C.</w:t>
            </w:r>
          </w:p>
        </w:tc>
        <w:tc>
          <w:tcPr>
            <w:tcW w:w="1880" w:type="dxa"/>
            <w:vAlign w:val="bottom"/>
          </w:tcPr>
          <w:p>
            <w:pPr>
              <w:spacing w:after="0"/>
              <w:rPr>
                <w:sz w:val="22"/>
                <w:szCs w:val="22"/>
                <w:color w:val="auto"/>
              </w:rPr>
            </w:pP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WISCONSIN LOGOS, LLC</w:t>
            </w:r>
          </w:p>
        </w:tc>
        <w:tc>
          <w:tcPr>
            <w:tcW w:w="1880" w:type="dxa"/>
            <w:vAlign w:val="bottom"/>
          </w:tcPr>
          <w:p>
            <w:pPr>
              <w:spacing w:after="0"/>
              <w:rPr>
                <w:sz w:val="24"/>
                <w:szCs w:val="24"/>
                <w:color w:val="auto"/>
              </w:rPr>
            </w:pPr>
          </w:p>
        </w:tc>
      </w:tr>
      <w:tr>
        <w:trPr>
          <w:trHeight w:val="474"/>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Interstate Logos, L.L.C., its Managing Member</w:t>
            </w:r>
          </w:p>
        </w:tc>
        <w:tc>
          <w:tcPr>
            <w:tcW w:w="1880" w:type="dxa"/>
            <w:vAlign w:val="bottom"/>
          </w:tcPr>
          <w:p>
            <w:pPr>
              <w:spacing w:after="0"/>
              <w:rPr>
                <w:sz w:val="24"/>
                <w:szCs w:val="24"/>
                <w:color w:val="auto"/>
              </w:rPr>
            </w:pPr>
          </w:p>
        </w:tc>
      </w:tr>
      <w:tr>
        <w:trPr>
          <w:trHeight w:val="270"/>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98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880" w:type="dxa"/>
            <w:vAlign w:val="bottom"/>
          </w:tcPr>
          <w:p>
            <w:pPr>
              <w:spacing w:after="0"/>
              <w:rPr>
                <w:sz w:val="24"/>
                <w:szCs w:val="24"/>
                <w:color w:val="auto"/>
              </w:rPr>
            </w:pPr>
          </w:p>
        </w:tc>
      </w:tr>
      <w:tr>
        <w:trPr>
          <w:trHeight w:val="663"/>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4340" w:type="dxa"/>
            <w:vAlign w:val="bottom"/>
            <w:gridSpan w:val="2"/>
          </w:tcPr>
          <w:p>
            <w:pPr>
              <w:ind w:left="420"/>
              <w:spacing w:after="0"/>
              <w:rPr>
                <w:sz w:val="20"/>
                <w:szCs w:val="20"/>
                <w:color w:val="auto"/>
              </w:rPr>
            </w:pPr>
            <w:r>
              <w:rPr>
                <w:rFonts w:ascii="Times New Roman" w:cs="Times New Roman" w:eastAsia="Times New Roman" w:hAnsi="Times New Roman"/>
                <w:sz w:val="22"/>
                <w:szCs w:val="22"/>
                <w:u w:val="single" w:color="auto"/>
                <w:color w:val="auto"/>
              </w:rPr>
              <w:t>/s/ Jay L. Johnson</w:t>
            </w:r>
            <w:r>
              <w:rPr>
                <w:rFonts w:ascii="Times New Roman" w:cs="Times New Roman" w:eastAsia="Times New Roman" w:hAnsi="Times New Roman"/>
                <w:sz w:val="22"/>
                <w:szCs w:val="22"/>
                <w:color w:val="auto"/>
              </w:rPr>
              <w:t xml:space="preserve"> ___________________</w:t>
            </w:r>
          </w:p>
        </w:tc>
        <w:tc>
          <w:tcPr>
            <w:tcW w:w="1880" w:type="dxa"/>
            <w:vAlign w:val="bottom"/>
          </w:tcPr>
          <w:p>
            <w:pPr>
              <w:spacing w:after="0"/>
              <w:rPr>
                <w:sz w:val="24"/>
                <w:szCs w:val="24"/>
                <w:color w:val="auto"/>
              </w:rPr>
            </w:pPr>
          </w:p>
        </w:tc>
      </w:tr>
      <w:tr>
        <w:trPr>
          <w:trHeight w:val="256"/>
        </w:trPr>
        <w:tc>
          <w:tcPr>
            <w:tcW w:w="76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880" w:type="dxa"/>
            <w:vAlign w:val="bottom"/>
          </w:tcPr>
          <w:p>
            <w:pPr>
              <w:spacing w:after="0"/>
              <w:rPr>
                <w:sz w:val="22"/>
                <w:szCs w:val="22"/>
                <w:color w:val="auto"/>
              </w:rPr>
            </w:pPr>
          </w:p>
        </w:tc>
      </w:tr>
      <w:tr>
        <w:trPr>
          <w:trHeight w:val="270"/>
        </w:trPr>
        <w:tc>
          <w:tcPr>
            <w:tcW w:w="76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Title:</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7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Treasurer</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320"/>
          </w:cols>
          <w:pgMar w:left="1440" w:top="1440" w:right="1139" w:bottom="1440" w:gutter="0" w:footer="0" w:header="0"/>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LAMAR AIRPORT ADVERTISING COMPANY</w:t>
            </w:r>
          </w:p>
        </w:tc>
        <w:tc>
          <w:tcPr>
            <w:tcW w:w="2060" w:type="dxa"/>
            <w:vAlign w:val="bottom"/>
          </w:tcPr>
          <w:p>
            <w:pPr>
              <w:spacing w:after="0"/>
              <w:rPr>
                <w:sz w:val="24"/>
                <w:szCs w:val="24"/>
                <w:color w:val="auto"/>
              </w:rPr>
            </w:pPr>
          </w:p>
        </w:tc>
      </w:tr>
      <w:tr>
        <w:trPr>
          <w:trHeight w:val="690"/>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06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33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Treasurer</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43"/>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SKYHIGH MURALS – COLOSSAL MEDIA, LLC</w:t>
            </w:r>
          </w:p>
        </w:tc>
        <w:tc>
          <w:tcPr>
            <w:tcW w:w="2060" w:type="dxa"/>
            <w:vAlign w:val="bottom"/>
          </w:tcPr>
          <w:p>
            <w:pPr>
              <w:spacing w:after="0"/>
              <w:rPr>
                <w:sz w:val="24"/>
                <w:szCs w:val="24"/>
                <w:color w:val="auto"/>
              </w:rPr>
            </w:pPr>
          </w:p>
        </w:tc>
      </w:tr>
      <w:tr>
        <w:trPr>
          <w:trHeight w:val="90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06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5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7"/>
              </w:rPr>
              <w:t>Treasurer</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TRS Holdings,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43"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30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02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40" w:right="599" w:bottom="1440" w:gutter="0" w:footer="0" w:header="0"/>
        </w:sectPr>
      </w:pPr>
    </w:p>
    <w:bookmarkStart w:id="76" w:name="page77"/>
    <w:bookmarkEnd w:id="76"/>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CENTRAL OUTDOOR,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SOUTHWEST,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LAMAR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20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00" w:type="dxa"/>
            <w:vAlign w:val="bottom"/>
          </w:tcPr>
          <w:p>
            <w:pPr>
              <w:spacing w:after="0"/>
              <w:rPr>
                <w:sz w:val="22"/>
                <w:szCs w:val="22"/>
                <w:color w:val="auto"/>
              </w:rPr>
            </w:pPr>
          </w:p>
        </w:tc>
      </w:tr>
      <w:tr>
        <w:trPr>
          <w:trHeight w:val="257"/>
        </w:trPr>
        <w:tc>
          <w:tcPr>
            <w:tcW w:w="52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138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w w:val="99"/>
              </w:rPr>
              <w:t>Treasurer</w:t>
            </w:r>
          </w:p>
        </w:tc>
        <w:tc>
          <w:tcPr>
            <w:tcW w:w="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INVESTMENTS,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SERVICE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TRS Holdings,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1"/>
                <w:szCs w:val="21"/>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77" w:name="page78"/>
    <w:bookmarkEnd w:id="77"/>
    <w:p>
      <w:pPr>
        <w:ind w:left="280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ASHBY STREET OUTDOOR CC, LLC</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Ashby Street Outdoor Holdings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Media Corp., its Managing Member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Jay L. Johnson</w:t>
      </w:r>
      <w:r>
        <w:rPr>
          <w:rFonts w:ascii="Times New Roman" w:cs="Times New Roman" w:eastAsia="Times New Roman" w:hAnsi="Times New Roman"/>
          <w:sz w:val="22"/>
          <w:szCs w:val="22"/>
          <w:color w:val="auto"/>
        </w:rPr>
        <w:t xml:space="preserve"> ___________________</w:t>
      </w:r>
    </w:p>
    <w:p>
      <w:pPr>
        <w:spacing w:after="0" w:line="29" w:lineRule="exact"/>
        <w:rPr>
          <w:sz w:val="20"/>
          <w:szCs w:val="20"/>
          <w:color w:val="auto"/>
        </w:rPr>
      </w:pPr>
    </w:p>
    <w:p>
      <w:pPr>
        <w:ind w:left="3180"/>
        <w:spacing w:after="0"/>
        <w:tabs>
          <w:tab w:leader="none" w:pos="3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LAMAR TEXAS LIMITED PARTNERSHIP</w:t>
            </w:r>
          </w:p>
        </w:tc>
        <w:tc>
          <w:tcPr>
            <w:tcW w:w="1920" w:type="dxa"/>
            <w:vAlign w:val="bottom"/>
          </w:tcPr>
          <w:p>
            <w:pPr>
              <w:spacing w:after="0"/>
              <w:rPr>
                <w:sz w:val="24"/>
                <w:szCs w:val="24"/>
                <w:color w:val="auto"/>
              </w:rPr>
            </w:pPr>
          </w:p>
        </w:tc>
      </w:tr>
      <w:tr>
        <w:trPr>
          <w:trHeight w:val="474"/>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The Lamar Company, L.L.C., its General Partner</w:t>
            </w:r>
          </w:p>
        </w:tc>
        <w:tc>
          <w:tcPr>
            <w:tcW w:w="1920" w:type="dxa"/>
            <w:vAlign w:val="bottom"/>
          </w:tcPr>
          <w:p>
            <w:pPr>
              <w:spacing w:after="0"/>
              <w:rPr>
                <w:sz w:val="24"/>
                <w:szCs w:val="24"/>
                <w:color w:val="auto"/>
              </w:rPr>
            </w:pPr>
          </w:p>
        </w:tc>
      </w:tr>
      <w:tr>
        <w:trPr>
          <w:trHeight w:val="25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70"/>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92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192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920" w:type="dxa"/>
            <w:vAlign w:val="bottom"/>
          </w:tcPr>
          <w:p>
            <w:pPr>
              <w:spacing w:after="0"/>
              <w:rPr>
                <w:sz w:val="22"/>
                <w:szCs w:val="22"/>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78" w:name="page79"/>
    <w:bookmarkEnd w:id="78"/>
    <w:p>
      <w:pPr>
        <w:ind w:left="2780"/>
        <w:spacing w:after="0"/>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LOUISIANA,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MICHIGAN,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SOUTH DAKOTA,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YOUNGSTOWN,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ELECTRICAL,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FLORIDA,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NORTH,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SOUTH,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0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79" w:name="page80"/>
    <w:bookmarkEnd w:id="79"/>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FARMS,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tbl>
      <w:tblPr>
        <w:tblLayout w:type="fixed"/>
        <w:tblInd w:w="2780" w:type="dxa"/>
        <w:tblCellMar>
          <w:top w:w="0" w:type="dxa"/>
          <w:left w:w="0" w:type="dxa"/>
          <w:bottom w:w="0" w:type="dxa"/>
          <w:right w:w="0" w:type="dxa"/>
        </w:tblCellMar>
      </w:tblPr>
      <w:tr>
        <w:trPr>
          <w:trHeight w:val="250"/>
        </w:trPr>
        <w:tc>
          <w:tcPr>
            <w:tcW w:w="3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49"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0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GP COMPANY,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LP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00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0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42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Name: Jay L. Johnson</w:t>
            </w:r>
          </w:p>
        </w:tc>
        <w:tc>
          <w:tcPr>
            <w:tcW w:w="20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Treasurer</w:t>
            </w:r>
          </w:p>
        </w:tc>
        <w:tc>
          <w:tcPr>
            <w:tcW w:w="2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80" w:name="page81"/>
    <w:bookmarkEnd w:id="80"/>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OUTDOOR COMPANY, L.P.</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2"/>
                <w:szCs w:val="22"/>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HOLDING COMPANY,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Outdoor Company, L.P.,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1"/>
                <w:szCs w:val="21"/>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MARKETING SYSTEMS,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PROMOTIONS WEST,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00" w:type="dxa"/>
            <w:vAlign w:val="bottom"/>
          </w:tcPr>
          <w:p>
            <w:pPr>
              <w:spacing w:after="0"/>
              <w:rPr>
                <w:sz w:val="24"/>
                <w:szCs w:val="24"/>
                <w:color w:val="auto"/>
              </w:rPr>
            </w:pPr>
          </w:p>
        </w:tc>
      </w:tr>
      <w:tr>
        <w:trPr>
          <w:trHeight w:val="65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spacing w:after="0" w:line="2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1"/>
                <w:szCs w:val="21"/>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82" w:name="page83"/>
    <w:bookmarkEnd w:id="82"/>
    <w:p>
      <w:pPr>
        <w:ind w:left="278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0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5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By:</w:t>
            </w:r>
          </w:p>
        </w:tc>
        <w:tc>
          <w:tcPr>
            <w:tcW w:w="5960" w:type="dxa"/>
            <w:vAlign w:val="bottom"/>
            <w:gridSpan w:val="3"/>
          </w:tcPr>
          <w:p>
            <w:pPr>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40" w:type="dxa"/>
            <w:vAlign w:val="bottom"/>
          </w:tcPr>
          <w:p>
            <w:pPr>
              <w:spacing w:after="0"/>
              <w:rPr>
                <w:sz w:val="24"/>
                <w:szCs w:val="24"/>
                <w:color w:val="auto"/>
              </w:rPr>
            </w:pPr>
          </w:p>
        </w:tc>
      </w:tr>
      <w:tr>
        <w:trPr>
          <w:trHeight w:val="650"/>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4"/>
                <w:szCs w:val="24"/>
                <w:color w:val="auto"/>
              </w:rPr>
            </w:pP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/s/ Jay L. Johnson ___________________</w:t>
            </w:r>
          </w:p>
        </w:tc>
        <w:tc>
          <w:tcPr>
            <w:tcW w:w="2140" w:type="dxa"/>
            <w:vAlign w:val="bottom"/>
          </w:tcPr>
          <w:p>
            <w:pPr>
              <w:spacing w:after="0"/>
              <w:rPr>
                <w:sz w:val="24"/>
                <w:szCs w:val="24"/>
                <w:color w:val="auto"/>
              </w:rPr>
            </w:pPr>
          </w:p>
        </w:tc>
      </w:tr>
      <w:tr>
        <w:trPr>
          <w:trHeight w:val="263"/>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160" w:type="dxa"/>
            <w:vAlign w:val="bottom"/>
          </w:tcPr>
          <w:p>
            <w:pPr>
              <w:spacing w:after="0"/>
              <w:rPr>
                <w:sz w:val="22"/>
                <w:szCs w:val="22"/>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Jay L. Johnson</w:t>
            </w:r>
          </w:p>
        </w:tc>
        <w:tc>
          <w:tcPr>
            <w:tcW w:w="2140" w:type="dxa"/>
            <w:vAlign w:val="bottom"/>
          </w:tcPr>
          <w:p>
            <w:pPr>
              <w:spacing w:after="0"/>
              <w:rPr>
                <w:sz w:val="22"/>
                <w:szCs w:val="22"/>
                <w:color w:val="auto"/>
              </w:rPr>
            </w:pPr>
          </w:p>
        </w:tc>
      </w:tr>
      <w:tr>
        <w:trPr>
          <w:trHeight w:val="256"/>
        </w:trPr>
        <w:tc>
          <w:tcPr>
            <w:tcW w:w="440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14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440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Treasurer</w:t>
            </w:r>
          </w:p>
        </w:tc>
        <w:tc>
          <w:tcPr>
            <w:tcW w:w="2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83" w:name="page84"/>
    <w:bookmarkEnd w:id="83"/>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47"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Class A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By: Lamar Media Corp., its Managing Member</w:t>
      </w:r>
    </w:p>
    <w:p>
      <w:pPr>
        <w:spacing w:after="0" w:line="200" w:lineRule="exact"/>
        <w:rPr>
          <w:sz w:val="20"/>
          <w:szCs w:val="20"/>
          <w:color w:val="auto"/>
        </w:rPr>
      </w:pPr>
    </w:p>
    <w:p>
      <w:pPr>
        <w:spacing w:after="0" w:line="212"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2"/>
                <w:szCs w:val="22"/>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0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84" w:name="page85"/>
    <w:bookmarkEnd w:id="84"/>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1,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2,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MEDIA/LAMAR, LLC</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3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82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82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8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82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82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8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40" w:right="579" w:bottom="1440" w:gutter="0" w:footer="0" w:header="0"/>
        </w:sectPr>
      </w:pPr>
    </w:p>
    <w:bookmarkStart w:id="85" w:name="page86"/>
    <w:bookmarkEnd w:id="85"/>
    <w:p>
      <w:pPr>
        <w:ind w:left="280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82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82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8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82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82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8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22" w:right="579" w:bottom="1440" w:gutter="0" w:footer="0" w:header="0"/>
        </w:sectPr>
      </w:pPr>
    </w:p>
    <w:bookmarkStart w:id="86" w:name="page87"/>
    <w:bookmarkEnd w:id="86"/>
    <w:p>
      <w:pPr>
        <w:ind w:left="2800"/>
        <w:spacing w:after="0"/>
        <w:rPr>
          <w:sz w:val="20"/>
          <w:szCs w:val="20"/>
          <w:color w:val="auto"/>
        </w:rPr>
      </w:pPr>
      <w:r>
        <w:rPr>
          <w:rFonts w:ascii="Times New Roman" w:cs="Times New Roman" w:eastAsia="Times New Roman" w:hAnsi="Times New Roman"/>
          <w:sz w:val="22"/>
          <w:szCs w:val="22"/>
          <w:color w:val="auto"/>
        </w:rPr>
        <w:t>DOUGLAS OUTDOOR ADVERTISING OF GA.,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Magic Media/Lamar,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82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82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8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MCC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FMO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OLYMPUS MEDIA/INDIANA,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LLC, its Managing</w:t>
      </w:r>
    </w:p>
    <w:p>
      <w:pPr>
        <w:spacing w:after="0" w:line="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Member</w:t>
      </w:r>
    </w:p>
    <w:p>
      <w:pPr>
        <w:spacing w:after="0" w:line="1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4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94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77"/>
        </w:trPr>
        <w:tc>
          <w:tcPr>
            <w:tcW w:w="110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Name:</w:t>
            </w:r>
          </w:p>
        </w:tc>
        <w:tc>
          <w:tcPr>
            <w:tcW w:w="33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940" w:type="dxa"/>
            <w:vAlign w:val="bottom"/>
          </w:tcPr>
          <w:p>
            <w:pPr>
              <w:spacing w:after="0"/>
              <w:rPr>
                <w:sz w:val="24"/>
                <w:szCs w:val="24"/>
                <w:color w:val="auto"/>
              </w:rPr>
            </w:pPr>
          </w:p>
        </w:tc>
      </w:tr>
      <w:tr>
        <w:trPr>
          <w:trHeight w:val="282"/>
        </w:trPr>
        <w:tc>
          <w:tcPr>
            <w:tcW w:w="110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Title:</w:t>
            </w:r>
          </w:p>
        </w:tc>
        <w:tc>
          <w:tcPr>
            <w:tcW w:w="33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94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20"/>
          </w:cols>
          <w:pgMar w:left="1440" w:top="1422" w:right="339" w:bottom="1440" w:gutter="0" w:footer="0" w:header="0"/>
        </w:sectPr>
      </w:pPr>
    </w:p>
    <w:bookmarkStart w:id="87" w:name="page88"/>
    <w:bookmarkEnd w:id="87"/>
    <w:p>
      <w:pPr>
        <w:ind w:left="278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2"/>
                <w:szCs w:val="22"/>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spacing w:after="0" w:line="260"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3"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302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02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22" w:right="599" w:bottom="1440" w:gutter="0" w:footer="0" w:header="0"/>
        </w:sectPr>
      </w:pPr>
    </w:p>
    <w:bookmarkStart w:id="88" w:name="page89"/>
    <w:bookmarkEnd w:id="88"/>
    <w:p>
      <w:pPr>
        <w:spacing w:after="0" w:line="200" w:lineRule="exact"/>
        <w:rPr>
          <w:sz w:val="20"/>
          <w:szCs w:val="20"/>
          <w:color w:val="auto"/>
        </w:rPr>
      </w:pPr>
    </w:p>
    <w:p>
      <w:pPr>
        <w:spacing w:after="0" w:line="34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51" w:lineRule="exact"/>
        <w:rPr>
          <w:sz w:val="20"/>
          <w:szCs w:val="20"/>
          <w:color w:val="auto"/>
        </w:rPr>
      </w:pPr>
    </w:p>
    <w:p>
      <w:pPr>
        <w:ind w:left="2120"/>
        <w:spacing w:after="0" w:line="271"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4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Wallace L. Duke______________</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 Wallace L. Duke</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9740"/>
          </w:cols>
          <w:pgMar w:left="1440" w:top="1440" w:right="71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2"/>
          <w:szCs w:val="22"/>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FEBRUARY 6, 2020</w:t>
      </w:r>
    </w:p>
    <w:p>
      <w:pPr>
        <w:spacing w:after="0" w:line="200" w:lineRule="exact"/>
        <w:rPr>
          <w:sz w:val="20"/>
          <w:szCs w:val="20"/>
          <w:color w:val="auto"/>
        </w:rPr>
      </w:pPr>
    </w:p>
    <w:p>
      <w:pPr>
        <w:spacing w:after="0" w:line="294" w:lineRule="exact"/>
        <w:rPr>
          <w:sz w:val="20"/>
          <w:szCs w:val="20"/>
          <w:color w:val="auto"/>
        </w:rPr>
      </w:pPr>
    </w:p>
    <w:p>
      <w:pPr>
        <w:jc w:val="both"/>
        <w:ind w:firstLine="286"/>
        <w:spacing w:after="0" w:line="256" w:lineRule="auto"/>
        <w:rPr>
          <w:sz w:val="20"/>
          <w:szCs w:val="20"/>
          <w:color w:val="auto"/>
        </w:rPr>
      </w:pPr>
      <w:r>
        <w:rPr>
          <w:rFonts w:ascii="Times New Roman" w:cs="Times New Roman" w:eastAsia="Times New Roman" w:hAnsi="Times New Roman"/>
          <w:sz w:val="22"/>
          <w:szCs w:val="22"/>
          <w:color w:val="auto"/>
        </w:rPr>
        <w:t>THIS SUPPLEMENTAL INDENTURE dated as of July 1, 2024,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NORTH CAROLINA LOGOS, LLC, a North Carolina limited liability company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original trustee, The Bank of New York Mellon Trust Company, N.A., an Indenture, dated as of February 6, 2020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4.000% Senior Notes due 2030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200"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60" w:lineRule="exact"/>
        <w:rPr>
          <w:rFonts w:ascii="Times New Roman" w:cs="Times New Roman" w:eastAsia="Times New Roman" w:hAnsi="Times New Roman"/>
          <w:sz w:val="22"/>
          <w:szCs w:val="22"/>
          <w:color w:val="auto"/>
        </w:rPr>
      </w:pPr>
    </w:p>
    <w:p>
      <w:pPr>
        <w:jc w:val="both"/>
        <w:ind w:firstLine="656"/>
        <w:spacing w:after="0" w:line="252" w:lineRule="auto"/>
        <w:tabs>
          <w:tab w:leader="none" w:pos="117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206"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ectPr>
          <w:pgSz w:w="11900" w:h="16838" w:orient="portrait"/>
          <w:cols w:equalWidth="0" w:num="1">
            <w:col w:w="11240"/>
          </w:cols>
          <w:pgMar w:left="320" w:top="126" w:right="339" w:bottom="1440" w:gutter="0" w:footer="0" w:header="0"/>
        </w:sectPr>
      </w:pPr>
    </w:p>
    <w:bookmarkStart w:id="90" w:name="page91"/>
    <w:bookmarkEnd w:id="90"/>
    <w:p>
      <w:pPr>
        <w:jc w:val="both"/>
        <w:ind w:firstLine="656"/>
        <w:spacing w:after="0" w:line="257" w:lineRule="auto"/>
        <w:tabs>
          <w:tab w:leader="none" w:pos="10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pacing w:after="0" w:line="213" w:lineRule="exact"/>
        <w:rPr>
          <w:rFonts w:ascii="Times New Roman" w:cs="Times New Roman" w:eastAsia="Times New Roman" w:hAnsi="Times New Roman"/>
          <w:sz w:val="22"/>
          <w:szCs w:val="22"/>
          <w:color w:val="auto"/>
        </w:rPr>
      </w:pPr>
    </w:p>
    <w:p>
      <w:pPr>
        <w:ind w:firstLine="656"/>
        <w:spacing w:after="0" w:line="271" w:lineRule="auto"/>
        <w:tabs>
          <w:tab w:leader="none" w:pos="106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84" w:lineRule="exact"/>
        <w:rPr>
          <w:rFonts w:ascii="Times New Roman" w:cs="Times New Roman" w:eastAsia="Times New Roman" w:hAnsi="Times New Roman"/>
          <w:sz w:val="22"/>
          <w:szCs w:val="22"/>
          <w:color w:val="auto"/>
        </w:rPr>
      </w:pPr>
    </w:p>
    <w:p>
      <w:pPr>
        <w:ind w:firstLine="656"/>
        <w:spacing w:after="0" w:line="271" w:lineRule="auto"/>
        <w:tabs>
          <w:tab w:leader="none" w:pos="117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84"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0" w:lineRule="exact"/>
        <w:rPr>
          <w:rFonts w:ascii="Times New Roman" w:cs="Times New Roman" w:eastAsia="Times New Roman" w:hAnsi="Times New Roman"/>
          <w:sz w:val="22"/>
          <w:szCs w:val="22"/>
          <w:color w:val="auto"/>
        </w:rPr>
      </w:pPr>
    </w:p>
    <w:p>
      <w:pPr>
        <w:ind w:right="20" w:firstLine="656"/>
        <w:spacing w:after="0" w:line="271" w:lineRule="auto"/>
        <w:tabs>
          <w:tab w:leader="none" w:pos="106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91" w:name="page92"/>
    <w:bookmarkEnd w:id="91"/>
    <w:p>
      <w:pPr>
        <w:ind w:firstLine="285"/>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20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25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NORTH CAROLINA LOGOS, LLC</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60"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L. Johnson </w:t>
      </w:r>
      <w:r>
        <w:rPr>
          <w:rFonts w:ascii="Times New Roman" w:cs="Times New Roman" w:eastAsia="Times New Roman" w:hAnsi="Times New Roman"/>
          <w:sz w:val="21"/>
          <w:szCs w:val="21"/>
          <w:color w:val="auto"/>
        </w:rPr>
        <w:t>___________________</w:t>
      </w:r>
    </w:p>
    <w:p>
      <w:pPr>
        <w:spacing w:after="0" w:line="2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2" w:right="339" w:bottom="1440" w:gutter="0" w:footer="0" w:header="0"/>
        </w:sectPr>
      </w:pPr>
    </w:p>
    <w:bookmarkStart w:id="92" w:name="page93"/>
    <w:bookmarkEnd w:id="92"/>
    <w:p>
      <w:pPr>
        <w:ind w:left="212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247"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L. Johnson </w:t>
      </w:r>
      <w:r>
        <w:rPr>
          <w:rFonts w:ascii="Times New Roman" w:cs="Times New Roman" w:eastAsia="Times New Roman" w:hAnsi="Times New Roman"/>
          <w:sz w:val="21"/>
          <w:szCs w:val="21"/>
          <w:color w:val="auto"/>
        </w:rPr>
        <w:t>___________________</w:t>
      </w:r>
    </w:p>
    <w:p>
      <w:pPr>
        <w:spacing w:after="0" w:line="29"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18" w:right="1440" w:bottom="1440" w:gutter="0" w:footer="0" w:header="0"/>
        </w:sectPr>
      </w:pPr>
    </w:p>
    <w:bookmarkStart w:id="93" w:name="page94"/>
    <w:bookmarkEnd w:id="93"/>
    <w:p>
      <w:pPr>
        <w:spacing w:after="0" w:line="221" w:lineRule="exact"/>
        <w:rPr>
          <w:sz w:val="20"/>
          <w:szCs w:val="20"/>
          <w:color w:val="auto"/>
        </w:rPr>
      </w:pPr>
    </w:p>
    <w:tbl>
      <w:tblPr>
        <w:tblLayout w:type="fixed"/>
        <w:tblInd w:w="2340" w:type="dxa"/>
        <w:tblCellMar>
          <w:top w:w="0" w:type="dxa"/>
          <w:left w:w="0" w:type="dxa"/>
          <w:bottom w:w="0" w:type="dxa"/>
          <w:right w:w="0" w:type="dxa"/>
        </w:tblCellMar>
      </w:tblPr>
      <w:tr>
        <w:trPr>
          <w:trHeight w:val="286"/>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8"/>
              </w:rPr>
              <w:t>GUARANTORS</w:t>
            </w:r>
            <w:r>
              <w:rPr>
                <w:rFonts w:ascii="Times New Roman" w:cs="Times New Roman" w:eastAsia="Times New Roman" w:hAnsi="Times New Roman"/>
                <w:sz w:val="22"/>
                <w:szCs w:val="22"/>
                <w:color w:val="auto"/>
                <w:w w:val="98"/>
              </w:rPr>
              <w:t>:</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74"/>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ALABAMA LOGOS, LLC</w:t>
            </w:r>
          </w:p>
        </w:tc>
        <w:tc>
          <w:tcPr>
            <w:tcW w:w="1880" w:type="dxa"/>
            <w:vAlign w:val="bottom"/>
          </w:tcPr>
          <w:p>
            <w:pPr>
              <w:spacing w:after="0"/>
              <w:rPr>
                <w:sz w:val="24"/>
                <w:szCs w:val="24"/>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ARIZONA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COLORADO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DELAWARE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GEORGIA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KANSAS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KENTUCKY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LOUISIANA INTERSTATE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MAINE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MICHIGAN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MINNESOTA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MISSISSIPPI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MISSOURI LOGOS, LLC</w:t>
            </w:r>
          </w:p>
        </w:tc>
        <w:tc>
          <w:tcPr>
            <w:tcW w:w="1880" w:type="dxa"/>
            <w:vAlign w:val="bottom"/>
          </w:tcPr>
          <w:p>
            <w:pPr>
              <w:spacing w:after="0"/>
              <w:rPr>
                <w:sz w:val="23"/>
                <w:szCs w:val="23"/>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MONTANA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NEBRASKA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NEVADA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HAMPSHIRE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JERSEY LOGOS, L.L.C.</w:t>
            </w:r>
          </w:p>
        </w:tc>
        <w:tc>
          <w:tcPr>
            <w:tcW w:w="1880" w:type="dxa"/>
            <w:vAlign w:val="bottom"/>
          </w:tcPr>
          <w:p>
            <w:pPr>
              <w:spacing w:after="0"/>
              <w:rPr>
                <w:sz w:val="23"/>
                <w:szCs w:val="23"/>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MEXICO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OHIO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OKLAHOMA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SOUTH CAROLINA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TENNESSEE LOGOS, LLC</w:t>
            </w:r>
          </w:p>
        </w:tc>
        <w:tc>
          <w:tcPr>
            <w:tcW w:w="1880" w:type="dxa"/>
            <w:vAlign w:val="bottom"/>
          </w:tcPr>
          <w:p>
            <w:pPr>
              <w:spacing w:after="0"/>
              <w:rPr>
                <w:sz w:val="23"/>
                <w:szCs w:val="23"/>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UTAH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VIRGINIA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WASHINGTON LOGOS, L.L.C.</w:t>
            </w:r>
          </w:p>
        </w:tc>
        <w:tc>
          <w:tcPr>
            <w:tcW w:w="1880" w:type="dxa"/>
            <w:vAlign w:val="bottom"/>
          </w:tcPr>
          <w:p>
            <w:pPr>
              <w:spacing w:after="0"/>
              <w:rPr>
                <w:sz w:val="22"/>
                <w:szCs w:val="22"/>
                <w:color w:val="auto"/>
              </w:rPr>
            </w:pP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WISCONSIN LOGOS, LLC</w:t>
            </w:r>
          </w:p>
        </w:tc>
        <w:tc>
          <w:tcPr>
            <w:tcW w:w="1880" w:type="dxa"/>
            <w:vAlign w:val="bottom"/>
          </w:tcPr>
          <w:p>
            <w:pPr>
              <w:spacing w:after="0"/>
              <w:rPr>
                <w:sz w:val="24"/>
                <w:szCs w:val="24"/>
                <w:color w:val="auto"/>
              </w:rPr>
            </w:pPr>
          </w:p>
        </w:tc>
      </w:tr>
      <w:tr>
        <w:trPr>
          <w:trHeight w:val="474"/>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Interstate Logos, L.L.C., its Managing Member</w:t>
            </w:r>
          </w:p>
        </w:tc>
        <w:tc>
          <w:tcPr>
            <w:tcW w:w="1880" w:type="dxa"/>
            <w:vAlign w:val="bottom"/>
          </w:tcPr>
          <w:p>
            <w:pPr>
              <w:spacing w:after="0"/>
              <w:rPr>
                <w:sz w:val="24"/>
                <w:szCs w:val="24"/>
                <w:color w:val="auto"/>
              </w:rPr>
            </w:pPr>
          </w:p>
        </w:tc>
      </w:tr>
      <w:tr>
        <w:trPr>
          <w:trHeight w:val="270"/>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98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880" w:type="dxa"/>
            <w:vAlign w:val="bottom"/>
          </w:tcPr>
          <w:p>
            <w:pPr>
              <w:spacing w:after="0"/>
              <w:rPr>
                <w:sz w:val="24"/>
                <w:szCs w:val="24"/>
                <w:color w:val="auto"/>
              </w:rPr>
            </w:pPr>
          </w:p>
        </w:tc>
      </w:tr>
      <w:tr>
        <w:trPr>
          <w:trHeight w:val="663"/>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4340" w:type="dxa"/>
            <w:vAlign w:val="bottom"/>
            <w:gridSpan w:val="2"/>
          </w:tcPr>
          <w:p>
            <w:pPr>
              <w:ind w:left="420"/>
              <w:spacing w:after="0"/>
              <w:rPr>
                <w:sz w:val="20"/>
                <w:szCs w:val="20"/>
                <w:color w:val="auto"/>
              </w:rPr>
            </w:pPr>
            <w:r>
              <w:rPr>
                <w:rFonts w:ascii="Times New Roman" w:cs="Times New Roman" w:eastAsia="Times New Roman" w:hAnsi="Times New Roman"/>
                <w:sz w:val="22"/>
                <w:szCs w:val="22"/>
                <w:u w:val="single" w:color="auto"/>
                <w:color w:val="auto"/>
              </w:rPr>
              <w:t>/s/ Jay L. Johnson</w:t>
            </w:r>
            <w:r>
              <w:rPr>
                <w:rFonts w:ascii="Times New Roman" w:cs="Times New Roman" w:eastAsia="Times New Roman" w:hAnsi="Times New Roman"/>
                <w:sz w:val="22"/>
                <w:szCs w:val="22"/>
                <w:color w:val="auto"/>
              </w:rPr>
              <w:t xml:space="preserve"> ___________________</w:t>
            </w:r>
          </w:p>
        </w:tc>
        <w:tc>
          <w:tcPr>
            <w:tcW w:w="1880" w:type="dxa"/>
            <w:vAlign w:val="bottom"/>
          </w:tcPr>
          <w:p>
            <w:pPr>
              <w:spacing w:after="0"/>
              <w:rPr>
                <w:sz w:val="24"/>
                <w:szCs w:val="24"/>
                <w:color w:val="auto"/>
              </w:rPr>
            </w:pPr>
          </w:p>
        </w:tc>
      </w:tr>
      <w:tr>
        <w:trPr>
          <w:trHeight w:val="257"/>
        </w:trPr>
        <w:tc>
          <w:tcPr>
            <w:tcW w:w="76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880" w:type="dxa"/>
            <w:vAlign w:val="bottom"/>
          </w:tcPr>
          <w:p>
            <w:pPr>
              <w:spacing w:after="0"/>
              <w:rPr>
                <w:sz w:val="22"/>
                <w:szCs w:val="22"/>
                <w:color w:val="auto"/>
              </w:rPr>
            </w:pPr>
          </w:p>
        </w:tc>
      </w:tr>
      <w:tr>
        <w:trPr>
          <w:trHeight w:val="270"/>
        </w:trPr>
        <w:tc>
          <w:tcPr>
            <w:tcW w:w="76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Title:</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7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Treasurer</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320"/>
          </w:cols>
          <w:pgMar w:left="1440" w:top="1440" w:right="113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LAMAR AIRPORT ADVERTISING COMPANY</w:t>
            </w:r>
          </w:p>
        </w:tc>
        <w:tc>
          <w:tcPr>
            <w:tcW w:w="2060" w:type="dxa"/>
            <w:vAlign w:val="bottom"/>
          </w:tcPr>
          <w:p>
            <w:pPr>
              <w:spacing w:after="0"/>
              <w:rPr>
                <w:sz w:val="24"/>
                <w:szCs w:val="24"/>
                <w:color w:val="auto"/>
              </w:rPr>
            </w:pPr>
          </w:p>
        </w:tc>
      </w:tr>
      <w:tr>
        <w:trPr>
          <w:trHeight w:val="690"/>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06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33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Treasurer</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43"/>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SKYHIGH MURALS – COLOSSAL MEDIA, LLC</w:t>
            </w:r>
          </w:p>
        </w:tc>
        <w:tc>
          <w:tcPr>
            <w:tcW w:w="2060" w:type="dxa"/>
            <w:vAlign w:val="bottom"/>
          </w:tcPr>
          <w:p>
            <w:pPr>
              <w:spacing w:after="0"/>
              <w:rPr>
                <w:sz w:val="24"/>
                <w:szCs w:val="24"/>
                <w:color w:val="auto"/>
              </w:rPr>
            </w:pPr>
          </w:p>
        </w:tc>
      </w:tr>
      <w:tr>
        <w:trPr>
          <w:trHeight w:val="90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06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06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5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7"/>
              </w:rPr>
              <w:t>Treasurer</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TRS Holdings,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43"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30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02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40" w:right="599" w:bottom="1440" w:gutter="0" w:footer="0" w:header="0"/>
        </w:sectPr>
      </w:pPr>
    </w:p>
    <w:bookmarkStart w:id="95" w:name="page96"/>
    <w:bookmarkEnd w:id="95"/>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CENTRAL OUTDOOR,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SOUTHWEST,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LAMAR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20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00" w:type="dxa"/>
            <w:vAlign w:val="bottom"/>
          </w:tcPr>
          <w:p>
            <w:pPr>
              <w:spacing w:after="0"/>
              <w:rPr>
                <w:sz w:val="22"/>
                <w:szCs w:val="22"/>
                <w:color w:val="auto"/>
              </w:rPr>
            </w:pPr>
          </w:p>
        </w:tc>
      </w:tr>
      <w:tr>
        <w:trPr>
          <w:trHeight w:val="256"/>
        </w:trPr>
        <w:tc>
          <w:tcPr>
            <w:tcW w:w="52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138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w w:val="99"/>
              </w:rPr>
              <w:t>Treasurer</w:t>
            </w:r>
          </w:p>
        </w:tc>
        <w:tc>
          <w:tcPr>
            <w:tcW w:w="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INVESTMENTS,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SERVICE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TRS Holdings,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1"/>
                <w:szCs w:val="21"/>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96" w:name="page97"/>
    <w:bookmarkEnd w:id="96"/>
    <w:p>
      <w:pPr>
        <w:ind w:left="280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ASHBY STREET OUTDOOR CC, LLC</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Ashby Street Outdoor Holdings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Media Corp., its Managing Member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Jay L. Johnson</w:t>
      </w:r>
      <w:r>
        <w:rPr>
          <w:rFonts w:ascii="Times New Roman" w:cs="Times New Roman" w:eastAsia="Times New Roman" w:hAnsi="Times New Roman"/>
          <w:sz w:val="22"/>
          <w:szCs w:val="22"/>
          <w:color w:val="auto"/>
        </w:rPr>
        <w:t xml:space="preserve"> ___________________</w:t>
      </w:r>
    </w:p>
    <w:p>
      <w:pPr>
        <w:spacing w:after="0" w:line="29" w:lineRule="exact"/>
        <w:rPr>
          <w:sz w:val="20"/>
          <w:szCs w:val="20"/>
          <w:color w:val="auto"/>
        </w:rPr>
      </w:pPr>
    </w:p>
    <w:p>
      <w:pPr>
        <w:ind w:left="3180"/>
        <w:spacing w:after="0"/>
        <w:tabs>
          <w:tab w:leader="none" w:pos="3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LAMAR TEXAS LIMITED PARTNERSHIP</w:t>
            </w:r>
          </w:p>
        </w:tc>
        <w:tc>
          <w:tcPr>
            <w:tcW w:w="1920" w:type="dxa"/>
            <w:vAlign w:val="bottom"/>
          </w:tcPr>
          <w:p>
            <w:pPr>
              <w:spacing w:after="0"/>
              <w:rPr>
                <w:sz w:val="24"/>
                <w:szCs w:val="24"/>
                <w:color w:val="auto"/>
              </w:rPr>
            </w:pPr>
          </w:p>
        </w:tc>
      </w:tr>
      <w:tr>
        <w:trPr>
          <w:trHeight w:val="474"/>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The Lamar Company, L.L.C., its General Partner</w:t>
            </w:r>
          </w:p>
        </w:tc>
        <w:tc>
          <w:tcPr>
            <w:tcW w:w="1920" w:type="dxa"/>
            <w:vAlign w:val="bottom"/>
          </w:tcPr>
          <w:p>
            <w:pPr>
              <w:spacing w:after="0"/>
              <w:rPr>
                <w:sz w:val="24"/>
                <w:szCs w:val="24"/>
                <w:color w:val="auto"/>
              </w:rPr>
            </w:pPr>
          </w:p>
        </w:tc>
      </w:tr>
      <w:tr>
        <w:trPr>
          <w:trHeight w:val="25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70"/>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92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192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92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97" w:name="page98"/>
    <w:bookmarkEnd w:id="97"/>
    <w:p>
      <w:pPr>
        <w:ind w:left="2780"/>
        <w:spacing w:after="0"/>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LOUISIANA,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MICHIGAN,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SOUTH DAKOTA,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YOUNGSTOWN,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ELECTRICAL,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FLORIDA,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NORTH,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SOUTH,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0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98" w:name="page99"/>
    <w:bookmarkEnd w:id="98"/>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FARMS,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tbl>
      <w:tblPr>
        <w:tblLayout w:type="fixed"/>
        <w:tblInd w:w="2780" w:type="dxa"/>
        <w:tblCellMar>
          <w:top w:w="0" w:type="dxa"/>
          <w:left w:w="0" w:type="dxa"/>
          <w:bottom w:w="0" w:type="dxa"/>
          <w:right w:w="0" w:type="dxa"/>
        </w:tblCellMar>
      </w:tblPr>
      <w:tr>
        <w:trPr>
          <w:trHeight w:val="250"/>
        </w:trPr>
        <w:tc>
          <w:tcPr>
            <w:tcW w:w="3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49"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0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GP COMPANY,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LP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00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0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42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Name: Jay L. Johnson</w:t>
            </w:r>
          </w:p>
        </w:tc>
        <w:tc>
          <w:tcPr>
            <w:tcW w:w="20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Treasurer</w:t>
            </w:r>
          </w:p>
        </w:tc>
        <w:tc>
          <w:tcPr>
            <w:tcW w:w="2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99" w:name="page100"/>
    <w:bookmarkEnd w:id="99"/>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OUTDOOR COMPANY, L.P.</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2"/>
                <w:szCs w:val="22"/>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HOLDING COMPANY,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Outdoor Company, L.P.,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1"/>
                <w:szCs w:val="21"/>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MARKETING SYSTEMS,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PROMOTIONS WEST,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00" w:type="dxa"/>
            <w:vAlign w:val="bottom"/>
          </w:tcPr>
          <w:p>
            <w:pPr>
              <w:spacing w:after="0"/>
              <w:rPr>
                <w:sz w:val="24"/>
                <w:szCs w:val="24"/>
                <w:color w:val="auto"/>
              </w:rPr>
            </w:pPr>
          </w:p>
        </w:tc>
      </w:tr>
      <w:tr>
        <w:trPr>
          <w:trHeight w:val="649"/>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spacing w:after="0" w:line="2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1"/>
                <w:szCs w:val="21"/>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01" w:name="page102"/>
    <w:bookmarkEnd w:id="101"/>
    <w:p>
      <w:pPr>
        <w:ind w:left="278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0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5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By:</w:t>
            </w:r>
          </w:p>
        </w:tc>
        <w:tc>
          <w:tcPr>
            <w:tcW w:w="5960" w:type="dxa"/>
            <w:vAlign w:val="bottom"/>
            <w:gridSpan w:val="3"/>
          </w:tcPr>
          <w:p>
            <w:pPr>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40" w:type="dxa"/>
            <w:vAlign w:val="bottom"/>
          </w:tcPr>
          <w:p>
            <w:pPr>
              <w:spacing w:after="0"/>
              <w:rPr>
                <w:sz w:val="24"/>
                <w:szCs w:val="24"/>
                <w:color w:val="auto"/>
              </w:rPr>
            </w:pPr>
          </w:p>
        </w:tc>
      </w:tr>
      <w:tr>
        <w:trPr>
          <w:trHeight w:val="650"/>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4"/>
                <w:szCs w:val="24"/>
                <w:color w:val="auto"/>
              </w:rPr>
            </w:pP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/s/ Jay L. Johnson ___________________</w:t>
            </w:r>
          </w:p>
        </w:tc>
        <w:tc>
          <w:tcPr>
            <w:tcW w:w="2140" w:type="dxa"/>
            <w:vAlign w:val="bottom"/>
          </w:tcPr>
          <w:p>
            <w:pPr>
              <w:spacing w:after="0"/>
              <w:rPr>
                <w:sz w:val="24"/>
                <w:szCs w:val="24"/>
                <w:color w:val="auto"/>
              </w:rPr>
            </w:pPr>
          </w:p>
        </w:tc>
      </w:tr>
      <w:tr>
        <w:trPr>
          <w:trHeight w:val="263"/>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160" w:type="dxa"/>
            <w:vAlign w:val="bottom"/>
          </w:tcPr>
          <w:p>
            <w:pPr>
              <w:spacing w:after="0"/>
              <w:rPr>
                <w:sz w:val="22"/>
                <w:szCs w:val="22"/>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Jay L. Johnson</w:t>
            </w:r>
          </w:p>
        </w:tc>
        <w:tc>
          <w:tcPr>
            <w:tcW w:w="2140" w:type="dxa"/>
            <w:vAlign w:val="bottom"/>
          </w:tcPr>
          <w:p>
            <w:pPr>
              <w:spacing w:after="0"/>
              <w:rPr>
                <w:sz w:val="22"/>
                <w:szCs w:val="22"/>
                <w:color w:val="auto"/>
              </w:rPr>
            </w:pPr>
          </w:p>
        </w:tc>
      </w:tr>
      <w:tr>
        <w:trPr>
          <w:trHeight w:val="257"/>
        </w:trPr>
        <w:tc>
          <w:tcPr>
            <w:tcW w:w="440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14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440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Treasurer</w:t>
            </w:r>
          </w:p>
        </w:tc>
        <w:tc>
          <w:tcPr>
            <w:tcW w:w="2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102" w:name="page103"/>
    <w:bookmarkEnd w:id="102"/>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47"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Class A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2"/>
                <w:szCs w:val="22"/>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0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03" w:name="page104"/>
    <w:bookmarkEnd w:id="103"/>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1,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2,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MEDIA/LAMAR, LLC</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3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82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82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8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82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82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8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40" w:right="579" w:bottom="1440" w:gutter="0" w:footer="0" w:header="0"/>
        </w:sectPr>
      </w:pPr>
    </w:p>
    <w:bookmarkStart w:id="104" w:name="page105"/>
    <w:bookmarkEnd w:id="104"/>
    <w:p>
      <w:pPr>
        <w:ind w:left="280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82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82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8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82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82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8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22" w:right="579" w:bottom="1440" w:gutter="0" w:footer="0" w:header="0"/>
        </w:sectPr>
      </w:pPr>
    </w:p>
    <w:bookmarkStart w:id="105" w:name="page106"/>
    <w:bookmarkEnd w:id="105"/>
    <w:p>
      <w:pPr>
        <w:ind w:left="2800"/>
        <w:spacing w:after="0"/>
        <w:rPr>
          <w:sz w:val="20"/>
          <w:szCs w:val="20"/>
          <w:color w:val="auto"/>
        </w:rPr>
      </w:pPr>
      <w:r>
        <w:rPr>
          <w:rFonts w:ascii="Times New Roman" w:cs="Times New Roman" w:eastAsia="Times New Roman" w:hAnsi="Times New Roman"/>
          <w:sz w:val="22"/>
          <w:szCs w:val="22"/>
          <w:color w:val="auto"/>
        </w:rPr>
        <w:t>DOUGLAS OUTDOOR ADVERTISING OF GA.,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Magic Media/Lamar,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82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82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8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MCC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FMO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OLYMPUS MEDIA/INDIANA,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LLC, its Managing</w:t>
      </w:r>
    </w:p>
    <w:p>
      <w:pPr>
        <w:spacing w:after="0" w:line="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Member</w:t>
      </w:r>
    </w:p>
    <w:p>
      <w:pPr>
        <w:spacing w:after="0" w:line="1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4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94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77"/>
        </w:trPr>
        <w:tc>
          <w:tcPr>
            <w:tcW w:w="110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Name:</w:t>
            </w:r>
          </w:p>
        </w:tc>
        <w:tc>
          <w:tcPr>
            <w:tcW w:w="33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940" w:type="dxa"/>
            <w:vAlign w:val="bottom"/>
          </w:tcPr>
          <w:p>
            <w:pPr>
              <w:spacing w:after="0"/>
              <w:rPr>
                <w:sz w:val="24"/>
                <w:szCs w:val="24"/>
                <w:color w:val="auto"/>
              </w:rPr>
            </w:pPr>
          </w:p>
        </w:tc>
      </w:tr>
      <w:tr>
        <w:trPr>
          <w:trHeight w:val="282"/>
        </w:trPr>
        <w:tc>
          <w:tcPr>
            <w:tcW w:w="110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Title:</w:t>
            </w:r>
          </w:p>
        </w:tc>
        <w:tc>
          <w:tcPr>
            <w:tcW w:w="33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94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20"/>
          </w:cols>
          <w:pgMar w:left="1440" w:top="1422" w:right="339" w:bottom="1440" w:gutter="0" w:footer="0" w:header="0"/>
        </w:sectPr>
      </w:pPr>
    </w:p>
    <w:bookmarkStart w:id="106" w:name="page107"/>
    <w:bookmarkEnd w:id="106"/>
    <w:p>
      <w:pPr>
        <w:ind w:left="278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2"/>
                <w:szCs w:val="22"/>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2"/>
                <w:szCs w:val="22"/>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spacing w:after="0" w:line="260"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302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02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22" w:right="599" w:bottom="1440" w:gutter="0" w:footer="0" w:header="0"/>
        </w:sectPr>
      </w:pPr>
    </w:p>
    <w:bookmarkStart w:id="107" w:name="page108"/>
    <w:bookmarkEnd w:id="107"/>
    <w:p>
      <w:pPr>
        <w:spacing w:after="0" w:line="200" w:lineRule="exact"/>
        <w:rPr>
          <w:sz w:val="20"/>
          <w:szCs w:val="20"/>
          <w:color w:val="auto"/>
        </w:rPr>
      </w:pPr>
    </w:p>
    <w:p>
      <w:pPr>
        <w:spacing w:after="0" w:line="34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51" w:lineRule="exact"/>
        <w:rPr>
          <w:sz w:val="20"/>
          <w:szCs w:val="20"/>
          <w:color w:val="auto"/>
        </w:rPr>
      </w:pPr>
    </w:p>
    <w:p>
      <w:pPr>
        <w:ind w:left="2120"/>
        <w:spacing w:after="0" w:line="271"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4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Wallace L. Duke______________</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 Wallace L. Duke</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9740"/>
          </w:cols>
          <w:pgMar w:left="1440" w:top="1440" w:right="71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2"/>
          <w:szCs w:val="22"/>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MAY 13, 2020</w:t>
      </w:r>
    </w:p>
    <w:p>
      <w:pPr>
        <w:spacing w:after="0" w:line="200" w:lineRule="exact"/>
        <w:rPr>
          <w:sz w:val="20"/>
          <w:szCs w:val="20"/>
          <w:color w:val="auto"/>
        </w:rPr>
      </w:pPr>
    </w:p>
    <w:p>
      <w:pPr>
        <w:spacing w:after="0" w:line="294" w:lineRule="exact"/>
        <w:rPr>
          <w:sz w:val="20"/>
          <w:szCs w:val="20"/>
          <w:color w:val="auto"/>
        </w:rPr>
      </w:pPr>
    </w:p>
    <w:p>
      <w:pPr>
        <w:jc w:val="both"/>
        <w:ind w:firstLine="286"/>
        <w:spacing w:after="0" w:line="256" w:lineRule="auto"/>
        <w:rPr>
          <w:sz w:val="20"/>
          <w:szCs w:val="20"/>
          <w:color w:val="auto"/>
        </w:rPr>
      </w:pPr>
      <w:r>
        <w:rPr>
          <w:rFonts w:ascii="Times New Roman" w:cs="Times New Roman" w:eastAsia="Times New Roman" w:hAnsi="Times New Roman"/>
          <w:sz w:val="22"/>
          <w:szCs w:val="22"/>
          <w:color w:val="auto"/>
        </w:rPr>
        <w:t>THIS SUPPLEMENTAL INDENTURE dated as of July 1, 2024,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NORTH CAROLINA LOGOS, LLC, a North Carolina limited liability company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original trustee, The Bank of New York Mellon Trust Company, N.A., an Indenture, dated as of May 13, 2020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4.875% Senior Notes due 2029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200"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60" w:lineRule="exact"/>
        <w:rPr>
          <w:rFonts w:ascii="Times New Roman" w:cs="Times New Roman" w:eastAsia="Times New Roman" w:hAnsi="Times New Roman"/>
          <w:sz w:val="22"/>
          <w:szCs w:val="22"/>
          <w:color w:val="auto"/>
        </w:rPr>
      </w:pPr>
    </w:p>
    <w:p>
      <w:pPr>
        <w:jc w:val="both"/>
        <w:ind w:firstLine="656"/>
        <w:spacing w:after="0" w:line="252" w:lineRule="auto"/>
        <w:tabs>
          <w:tab w:leader="none" w:pos="117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206"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ectPr>
          <w:pgSz w:w="11900" w:h="16838" w:orient="portrait"/>
          <w:cols w:equalWidth="0" w:num="1">
            <w:col w:w="11240"/>
          </w:cols>
          <w:pgMar w:left="320" w:top="126" w:right="339" w:bottom="1440" w:gutter="0" w:footer="0" w:header="0"/>
        </w:sectPr>
      </w:pPr>
    </w:p>
    <w:bookmarkStart w:id="109" w:name="page110"/>
    <w:bookmarkEnd w:id="109"/>
    <w:p>
      <w:pPr>
        <w:jc w:val="both"/>
        <w:ind w:firstLine="656"/>
        <w:spacing w:after="0" w:line="257" w:lineRule="auto"/>
        <w:tabs>
          <w:tab w:leader="none" w:pos="10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pacing w:after="0" w:line="213" w:lineRule="exact"/>
        <w:rPr>
          <w:rFonts w:ascii="Times New Roman" w:cs="Times New Roman" w:eastAsia="Times New Roman" w:hAnsi="Times New Roman"/>
          <w:sz w:val="22"/>
          <w:szCs w:val="22"/>
          <w:color w:val="auto"/>
        </w:rPr>
      </w:pPr>
    </w:p>
    <w:p>
      <w:pPr>
        <w:ind w:firstLine="656"/>
        <w:spacing w:after="0" w:line="271" w:lineRule="auto"/>
        <w:tabs>
          <w:tab w:leader="none" w:pos="106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84" w:lineRule="exact"/>
        <w:rPr>
          <w:rFonts w:ascii="Times New Roman" w:cs="Times New Roman" w:eastAsia="Times New Roman" w:hAnsi="Times New Roman"/>
          <w:sz w:val="22"/>
          <w:szCs w:val="22"/>
          <w:color w:val="auto"/>
        </w:rPr>
      </w:pPr>
    </w:p>
    <w:p>
      <w:pPr>
        <w:ind w:firstLine="656"/>
        <w:spacing w:after="0" w:line="271" w:lineRule="auto"/>
        <w:tabs>
          <w:tab w:leader="none" w:pos="117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84"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0" w:lineRule="exact"/>
        <w:rPr>
          <w:rFonts w:ascii="Times New Roman" w:cs="Times New Roman" w:eastAsia="Times New Roman" w:hAnsi="Times New Roman"/>
          <w:sz w:val="22"/>
          <w:szCs w:val="22"/>
          <w:color w:val="auto"/>
        </w:rPr>
      </w:pPr>
    </w:p>
    <w:p>
      <w:pPr>
        <w:ind w:right="20" w:firstLine="656"/>
        <w:spacing w:after="0" w:line="271" w:lineRule="auto"/>
        <w:tabs>
          <w:tab w:leader="none" w:pos="106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110" w:name="page111"/>
    <w:bookmarkEnd w:id="110"/>
    <w:p>
      <w:pPr>
        <w:ind w:firstLine="285"/>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20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25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NORTH CAROLINA LOGOS, LLC</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60"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L. Johnson </w:t>
      </w:r>
      <w:r>
        <w:rPr>
          <w:rFonts w:ascii="Times New Roman" w:cs="Times New Roman" w:eastAsia="Times New Roman" w:hAnsi="Times New Roman"/>
          <w:sz w:val="21"/>
          <w:szCs w:val="21"/>
          <w:color w:val="auto"/>
        </w:rPr>
        <w:t>___________________</w:t>
      </w:r>
    </w:p>
    <w:p>
      <w:pPr>
        <w:spacing w:after="0" w:line="2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2" w:right="339" w:bottom="1440" w:gutter="0" w:footer="0" w:header="0"/>
        </w:sectPr>
      </w:pPr>
    </w:p>
    <w:bookmarkStart w:id="111" w:name="page112"/>
    <w:bookmarkEnd w:id="111"/>
    <w:p>
      <w:pPr>
        <w:ind w:left="212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247"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L. Johnson </w:t>
      </w:r>
      <w:r>
        <w:rPr>
          <w:rFonts w:ascii="Times New Roman" w:cs="Times New Roman" w:eastAsia="Times New Roman" w:hAnsi="Times New Roman"/>
          <w:sz w:val="21"/>
          <w:szCs w:val="21"/>
          <w:color w:val="auto"/>
        </w:rPr>
        <w:t>___________________</w:t>
      </w:r>
    </w:p>
    <w:p>
      <w:pPr>
        <w:spacing w:after="0" w:line="29"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18" w:right="1440" w:bottom="1440" w:gutter="0" w:footer="0" w:header="0"/>
        </w:sectPr>
      </w:pPr>
    </w:p>
    <w:bookmarkStart w:id="112" w:name="page113"/>
    <w:bookmarkEnd w:id="112"/>
    <w:p>
      <w:pPr>
        <w:spacing w:after="0" w:line="221" w:lineRule="exact"/>
        <w:rPr>
          <w:sz w:val="20"/>
          <w:szCs w:val="20"/>
          <w:color w:val="auto"/>
        </w:rPr>
      </w:pPr>
    </w:p>
    <w:tbl>
      <w:tblPr>
        <w:tblLayout w:type="fixed"/>
        <w:tblInd w:w="2340" w:type="dxa"/>
        <w:tblCellMar>
          <w:top w:w="0" w:type="dxa"/>
          <w:left w:w="0" w:type="dxa"/>
          <w:bottom w:w="0" w:type="dxa"/>
          <w:right w:w="0" w:type="dxa"/>
        </w:tblCellMar>
      </w:tblPr>
      <w:tr>
        <w:trPr>
          <w:trHeight w:val="286"/>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8"/>
              </w:rPr>
              <w:t>GUARANTORS</w:t>
            </w:r>
            <w:r>
              <w:rPr>
                <w:rFonts w:ascii="Times New Roman" w:cs="Times New Roman" w:eastAsia="Times New Roman" w:hAnsi="Times New Roman"/>
                <w:sz w:val="22"/>
                <w:szCs w:val="22"/>
                <w:color w:val="auto"/>
                <w:w w:val="98"/>
              </w:rPr>
              <w:t>:</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74"/>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ALABAMA LOGOS, LLC</w:t>
            </w:r>
          </w:p>
        </w:tc>
        <w:tc>
          <w:tcPr>
            <w:tcW w:w="1880" w:type="dxa"/>
            <w:vAlign w:val="bottom"/>
          </w:tcPr>
          <w:p>
            <w:pPr>
              <w:spacing w:after="0"/>
              <w:rPr>
                <w:sz w:val="24"/>
                <w:szCs w:val="24"/>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ARIZONA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COLORADO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DELAWARE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GEORGIA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KANSAS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KENTUCKY LOGOS, LLC</w:t>
            </w:r>
          </w:p>
        </w:tc>
        <w:tc>
          <w:tcPr>
            <w:tcW w:w="1880" w:type="dxa"/>
            <w:vAlign w:val="bottom"/>
          </w:tcPr>
          <w:p>
            <w:pPr>
              <w:spacing w:after="0"/>
              <w:rPr>
                <w:sz w:val="23"/>
                <w:szCs w:val="23"/>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LOUISIANA INTERSTATE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MAINE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MICHIGAN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MINNESOTA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MISSISSIPPI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MISSOURI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MONTANA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NEBRASKA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NEVADA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HAMPSHIRE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JERSEY LOGOS, L.L.C.</w:t>
            </w:r>
          </w:p>
        </w:tc>
        <w:tc>
          <w:tcPr>
            <w:tcW w:w="1880" w:type="dxa"/>
            <w:vAlign w:val="bottom"/>
          </w:tcPr>
          <w:p>
            <w:pPr>
              <w:spacing w:after="0"/>
              <w:rPr>
                <w:sz w:val="23"/>
                <w:szCs w:val="23"/>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MEXICO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OHIO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OKLAHOMA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SOUTH CAROLINA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TENNESSEE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UTAH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VIRGINIA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WASHINGTON LOGOS, L.L.C.</w:t>
            </w:r>
          </w:p>
        </w:tc>
        <w:tc>
          <w:tcPr>
            <w:tcW w:w="1880" w:type="dxa"/>
            <w:vAlign w:val="bottom"/>
          </w:tcPr>
          <w:p>
            <w:pPr>
              <w:spacing w:after="0"/>
              <w:rPr>
                <w:sz w:val="22"/>
                <w:szCs w:val="22"/>
                <w:color w:val="auto"/>
              </w:rPr>
            </w:pP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WISCONSIN LOGOS, LLC</w:t>
            </w:r>
          </w:p>
        </w:tc>
        <w:tc>
          <w:tcPr>
            <w:tcW w:w="1880" w:type="dxa"/>
            <w:vAlign w:val="bottom"/>
          </w:tcPr>
          <w:p>
            <w:pPr>
              <w:spacing w:after="0"/>
              <w:rPr>
                <w:sz w:val="24"/>
                <w:szCs w:val="24"/>
                <w:color w:val="auto"/>
              </w:rPr>
            </w:pPr>
          </w:p>
        </w:tc>
      </w:tr>
      <w:tr>
        <w:trPr>
          <w:trHeight w:val="474"/>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Interstate Logos, L.L.C., its Managing Member</w:t>
            </w:r>
          </w:p>
        </w:tc>
        <w:tc>
          <w:tcPr>
            <w:tcW w:w="1880" w:type="dxa"/>
            <w:vAlign w:val="bottom"/>
          </w:tcPr>
          <w:p>
            <w:pPr>
              <w:spacing w:after="0"/>
              <w:rPr>
                <w:sz w:val="24"/>
                <w:szCs w:val="24"/>
                <w:color w:val="auto"/>
              </w:rPr>
            </w:pPr>
          </w:p>
        </w:tc>
      </w:tr>
      <w:tr>
        <w:trPr>
          <w:trHeight w:val="270"/>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98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880" w:type="dxa"/>
            <w:vAlign w:val="bottom"/>
          </w:tcPr>
          <w:p>
            <w:pPr>
              <w:spacing w:after="0"/>
              <w:rPr>
                <w:sz w:val="24"/>
                <w:szCs w:val="24"/>
                <w:color w:val="auto"/>
              </w:rPr>
            </w:pPr>
          </w:p>
        </w:tc>
      </w:tr>
      <w:tr>
        <w:trPr>
          <w:trHeight w:val="663"/>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4340" w:type="dxa"/>
            <w:vAlign w:val="bottom"/>
            <w:gridSpan w:val="2"/>
          </w:tcPr>
          <w:p>
            <w:pPr>
              <w:ind w:left="420"/>
              <w:spacing w:after="0"/>
              <w:rPr>
                <w:sz w:val="20"/>
                <w:szCs w:val="20"/>
                <w:color w:val="auto"/>
              </w:rPr>
            </w:pPr>
            <w:r>
              <w:rPr>
                <w:rFonts w:ascii="Times New Roman" w:cs="Times New Roman" w:eastAsia="Times New Roman" w:hAnsi="Times New Roman"/>
                <w:sz w:val="22"/>
                <w:szCs w:val="22"/>
                <w:u w:val="single" w:color="auto"/>
                <w:color w:val="auto"/>
              </w:rPr>
              <w:t>/s/ Jay L. Johnson</w:t>
            </w:r>
            <w:r>
              <w:rPr>
                <w:rFonts w:ascii="Times New Roman" w:cs="Times New Roman" w:eastAsia="Times New Roman" w:hAnsi="Times New Roman"/>
                <w:sz w:val="22"/>
                <w:szCs w:val="22"/>
                <w:color w:val="auto"/>
              </w:rPr>
              <w:t xml:space="preserve"> ___________________</w:t>
            </w:r>
          </w:p>
        </w:tc>
        <w:tc>
          <w:tcPr>
            <w:tcW w:w="1880" w:type="dxa"/>
            <w:vAlign w:val="bottom"/>
          </w:tcPr>
          <w:p>
            <w:pPr>
              <w:spacing w:after="0"/>
              <w:rPr>
                <w:sz w:val="24"/>
                <w:szCs w:val="24"/>
                <w:color w:val="auto"/>
              </w:rPr>
            </w:pPr>
          </w:p>
        </w:tc>
      </w:tr>
      <w:tr>
        <w:trPr>
          <w:trHeight w:val="257"/>
        </w:trPr>
        <w:tc>
          <w:tcPr>
            <w:tcW w:w="76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880" w:type="dxa"/>
            <w:vAlign w:val="bottom"/>
          </w:tcPr>
          <w:p>
            <w:pPr>
              <w:spacing w:after="0"/>
              <w:rPr>
                <w:sz w:val="22"/>
                <w:szCs w:val="22"/>
                <w:color w:val="auto"/>
              </w:rPr>
            </w:pPr>
          </w:p>
        </w:tc>
      </w:tr>
      <w:tr>
        <w:trPr>
          <w:trHeight w:val="270"/>
        </w:trPr>
        <w:tc>
          <w:tcPr>
            <w:tcW w:w="76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Title:</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7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Treasurer</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320"/>
          </w:cols>
          <w:pgMar w:left="1440" w:top="1440" w:right="1139" w:bottom="1440" w:gutter="0" w:footer="0" w:header="0"/>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LAMAR AIRPORT ADVERTISING COMPANY</w:t>
            </w:r>
          </w:p>
        </w:tc>
        <w:tc>
          <w:tcPr>
            <w:tcW w:w="2060" w:type="dxa"/>
            <w:vAlign w:val="bottom"/>
          </w:tcPr>
          <w:p>
            <w:pPr>
              <w:spacing w:after="0"/>
              <w:rPr>
                <w:sz w:val="24"/>
                <w:szCs w:val="24"/>
                <w:color w:val="auto"/>
              </w:rPr>
            </w:pPr>
          </w:p>
        </w:tc>
      </w:tr>
      <w:tr>
        <w:trPr>
          <w:trHeight w:val="690"/>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06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33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Treasurer</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43"/>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SKYHIGH MURALS – COLOSSAL MEDIA, LLC</w:t>
            </w:r>
          </w:p>
        </w:tc>
        <w:tc>
          <w:tcPr>
            <w:tcW w:w="2060" w:type="dxa"/>
            <w:vAlign w:val="bottom"/>
          </w:tcPr>
          <w:p>
            <w:pPr>
              <w:spacing w:after="0"/>
              <w:rPr>
                <w:sz w:val="24"/>
                <w:szCs w:val="24"/>
                <w:color w:val="auto"/>
              </w:rPr>
            </w:pPr>
          </w:p>
        </w:tc>
      </w:tr>
      <w:tr>
        <w:trPr>
          <w:trHeight w:val="90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06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5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7"/>
              </w:rPr>
              <w:t>Treasurer</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TRS Holdings,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43"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30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02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40" w:right="599" w:bottom="1440" w:gutter="0" w:footer="0" w:header="0"/>
        </w:sectPr>
      </w:pPr>
    </w:p>
    <w:bookmarkStart w:id="114" w:name="page115"/>
    <w:bookmarkEnd w:id="114"/>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CENTRAL OUTDOOR,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SOUTHWEST,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LAMAR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20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00" w:type="dxa"/>
            <w:vAlign w:val="bottom"/>
          </w:tcPr>
          <w:p>
            <w:pPr>
              <w:spacing w:after="0"/>
              <w:rPr>
                <w:sz w:val="22"/>
                <w:szCs w:val="22"/>
                <w:color w:val="auto"/>
              </w:rPr>
            </w:pPr>
          </w:p>
        </w:tc>
      </w:tr>
      <w:tr>
        <w:trPr>
          <w:trHeight w:val="257"/>
        </w:trPr>
        <w:tc>
          <w:tcPr>
            <w:tcW w:w="52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138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w w:val="99"/>
              </w:rPr>
              <w:t>Treasurer</w:t>
            </w:r>
          </w:p>
        </w:tc>
        <w:tc>
          <w:tcPr>
            <w:tcW w:w="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INVESTMENTS,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SERVICE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TRS Holdings,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1"/>
                <w:szCs w:val="21"/>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15" w:name="page116"/>
    <w:bookmarkEnd w:id="115"/>
    <w:p>
      <w:pPr>
        <w:ind w:left="280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ASHBY STREET OUTDOOR CC, LLC</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Ashby Street Outdoor Holdings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Media Corp., its Managing Member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Jay L. Johnson</w:t>
      </w:r>
      <w:r>
        <w:rPr>
          <w:rFonts w:ascii="Times New Roman" w:cs="Times New Roman" w:eastAsia="Times New Roman" w:hAnsi="Times New Roman"/>
          <w:sz w:val="22"/>
          <w:szCs w:val="22"/>
          <w:color w:val="auto"/>
        </w:rPr>
        <w:t xml:space="preserve"> ___________________</w:t>
      </w:r>
    </w:p>
    <w:p>
      <w:pPr>
        <w:spacing w:after="0" w:line="29" w:lineRule="exact"/>
        <w:rPr>
          <w:sz w:val="20"/>
          <w:szCs w:val="20"/>
          <w:color w:val="auto"/>
        </w:rPr>
      </w:pPr>
    </w:p>
    <w:p>
      <w:pPr>
        <w:ind w:left="3180"/>
        <w:spacing w:after="0"/>
        <w:tabs>
          <w:tab w:leader="none" w:pos="3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LAMAR TEXAS LIMITED PARTNERSHIP</w:t>
            </w:r>
          </w:p>
        </w:tc>
        <w:tc>
          <w:tcPr>
            <w:tcW w:w="1920" w:type="dxa"/>
            <w:vAlign w:val="bottom"/>
          </w:tcPr>
          <w:p>
            <w:pPr>
              <w:spacing w:after="0"/>
              <w:rPr>
                <w:sz w:val="24"/>
                <w:szCs w:val="24"/>
                <w:color w:val="auto"/>
              </w:rPr>
            </w:pPr>
          </w:p>
        </w:tc>
      </w:tr>
      <w:tr>
        <w:trPr>
          <w:trHeight w:val="474"/>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The Lamar Company, L.L.C., its General Partner</w:t>
            </w:r>
          </w:p>
        </w:tc>
        <w:tc>
          <w:tcPr>
            <w:tcW w:w="1920" w:type="dxa"/>
            <w:vAlign w:val="bottom"/>
          </w:tcPr>
          <w:p>
            <w:pPr>
              <w:spacing w:after="0"/>
              <w:rPr>
                <w:sz w:val="24"/>
                <w:szCs w:val="24"/>
                <w:color w:val="auto"/>
              </w:rPr>
            </w:pPr>
          </w:p>
        </w:tc>
      </w:t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70"/>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92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192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92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116" w:name="page117"/>
    <w:bookmarkEnd w:id="116"/>
    <w:p>
      <w:pPr>
        <w:ind w:left="2780"/>
        <w:spacing w:after="0"/>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LOUISIANA,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MICHIGAN,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SOUTH DAKOTA,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YOUNGSTOWN,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ELECTRICAL,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FLORIDA,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NORTH,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SOUTH,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0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117" w:name="page118"/>
    <w:bookmarkEnd w:id="117"/>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FARMS,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tbl>
      <w:tblPr>
        <w:tblLayout w:type="fixed"/>
        <w:tblInd w:w="2780" w:type="dxa"/>
        <w:tblCellMar>
          <w:top w:w="0" w:type="dxa"/>
          <w:left w:w="0" w:type="dxa"/>
          <w:bottom w:w="0" w:type="dxa"/>
          <w:right w:w="0" w:type="dxa"/>
        </w:tblCellMar>
      </w:tblPr>
      <w:tr>
        <w:trPr>
          <w:trHeight w:val="250"/>
        </w:trPr>
        <w:tc>
          <w:tcPr>
            <w:tcW w:w="3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49"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0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GP COMPANY,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LP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00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0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42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Name: Jay L. Johnson</w:t>
            </w:r>
          </w:p>
        </w:tc>
        <w:tc>
          <w:tcPr>
            <w:tcW w:w="20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Treasurer</w:t>
            </w:r>
          </w:p>
        </w:tc>
        <w:tc>
          <w:tcPr>
            <w:tcW w:w="2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18" w:name="page119"/>
    <w:bookmarkEnd w:id="118"/>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OUTDOOR COMPANY, L.P.</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2"/>
                <w:szCs w:val="22"/>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HOLDING COMPANY,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Outdoor Company, L.P.,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1"/>
                <w:szCs w:val="21"/>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MARKETING SYSTEMS,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PROMOTIONS WEST,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00" w:type="dxa"/>
            <w:vAlign w:val="bottom"/>
          </w:tcPr>
          <w:p>
            <w:pPr>
              <w:spacing w:after="0"/>
              <w:rPr>
                <w:sz w:val="24"/>
                <w:szCs w:val="24"/>
                <w:color w:val="auto"/>
              </w:rPr>
            </w:pPr>
          </w:p>
        </w:tc>
      </w:tr>
      <w:tr>
        <w:trPr>
          <w:trHeight w:val="65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spacing w:after="0" w:line="2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1"/>
                <w:szCs w:val="21"/>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20" w:name="page121"/>
    <w:bookmarkEnd w:id="120"/>
    <w:p>
      <w:pPr>
        <w:ind w:left="278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0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5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By:</w:t>
            </w:r>
          </w:p>
        </w:tc>
        <w:tc>
          <w:tcPr>
            <w:tcW w:w="5960" w:type="dxa"/>
            <w:vAlign w:val="bottom"/>
            <w:gridSpan w:val="3"/>
          </w:tcPr>
          <w:p>
            <w:pPr>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40" w:type="dxa"/>
            <w:vAlign w:val="bottom"/>
          </w:tcPr>
          <w:p>
            <w:pPr>
              <w:spacing w:after="0"/>
              <w:rPr>
                <w:sz w:val="24"/>
                <w:szCs w:val="24"/>
                <w:color w:val="auto"/>
              </w:rPr>
            </w:pPr>
          </w:p>
        </w:tc>
      </w:tr>
      <w:tr>
        <w:trPr>
          <w:trHeight w:val="650"/>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4"/>
                <w:szCs w:val="24"/>
                <w:color w:val="auto"/>
              </w:rPr>
            </w:pP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/s/ Jay L. Johnson ___________________</w:t>
            </w:r>
          </w:p>
        </w:tc>
        <w:tc>
          <w:tcPr>
            <w:tcW w:w="2140" w:type="dxa"/>
            <w:vAlign w:val="bottom"/>
          </w:tcPr>
          <w:p>
            <w:pPr>
              <w:spacing w:after="0"/>
              <w:rPr>
                <w:sz w:val="24"/>
                <w:szCs w:val="24"/>
                <w:color w:val="auto"/>
              </w:rPr>
            </w:pPr>
          </w:p>
        </w:tc>
      </w:tr>
      <w:tr>
        <w:trPr>
          <w:trHeight w:val="263"/>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160" w:type="dxa"/>
            <w:vAlign w:val="bottom"/>
          </w:tcPr>
          <w:p>
            <w:pPr>
              <w:spacing w:after="0"/>
              <w:rPr>
                <w:sz w:val="22"/>
                <w:szCs w:val="22"/>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Jay L. Johnson</w:t>
            </w:r>
          </w:p>
        </w:tc>
        <w:tc>
          <w:tcPr>
            <w:tcW w:w="2140" w:type="dxa"/>
            <w:vAlign w:val="bottom"/>
          </w:tcPr>
          <w:p>
            <w:pPr>
              <w:spacing w:after="0"/>
              <w:rPr>
                <w:sz w:val="22"/>
                <w:szCs w:val="22"/>
                <w:color w:val="auto"/>
              </w:rPr>
            </w:pPr>
          </w:p>
        </w:tc>
      </w:tr>
      <w:tr>
        <w:trPr>
          <w:trHeight w:val="257"/>
        </w:trPr>
        <w:tc>
          <w:tcPr>
            <w:tcW w:w="440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14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440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Treasurer</w:t>
            </w:r>
          </w:p>
        </w:tc>
        <w:tc>
          <w:tcPr>
            <w:tcW w:w="2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121" w:name="page122"/>
    <w:bookmarkEnd w:id="121"/>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47"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Class A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2"/>
                <w:szCs w:val="22"/>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6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0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22" w:name="page123"/>
    <w:bookmarkEnd w:id="122"/>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1,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2,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MEDIA/LAMAR, LLC</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3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82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82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8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82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82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8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40" w:right="579" w:bottom="1440" w:gutter="0" w:footer="0" w:header="0"/>
        </w:sectPr>
      </w:pPr>
    </w:p>
    <w:bookmarkStart w:id="123" w:name="page124"/>
    <w:bookmarkEnd w:id="123"/>
    <w:p>
      <w:pPr>
        <w:ind w:left="280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82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82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8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82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82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8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22" w:right="579" w:bottom="1440" w:gutter="0" w:footer="0" w:header="0"/>
        </w:sectPr>
      </w:pPr>
    </w:p>
    <w:bookmarkStart w:id="124" w:name="page125"/>
    <w:bookmarkEnd w:id="124"/>
    <w:p>
      <w:pPr>
        <w:ind w:left="2800"/>
        <w:spacing w:after="0"/>
        <w:rPr>
          <w:sz w:val="20"/>
          <w:szCs w:val="20"/>
          <w:color w:val="auto"/>
        </w:rPr>
      </w:pPr>
      <w:r>
        <w:rPr>
          <w:rFonts w:ascii="Times New Roman" w:cs="Times New Roman" w:eastAsia="Times New Roman" w:hAnsi="Times New Roman"/>
          <w:sz w:val="22"/>
          <w:szCs w:val="22"/>
          <w:color w:val="auto"/>
        </w:rPr>
        <w:t>DOUGLAS OUTDOOR ADVERTISING OF GA.,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Magic Media/Lamar,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82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82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8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MCC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FMO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OLYMPUS MEDIA/INDIANA,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LLC, its Managing</w:t>
      </w:r>
    </w:p>
    <w:p>
      <w:pPr>
        <w:spacing w:after="0" w:line="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Member</w:t>
      </w:r>
    </w:p>
    <w:p>
      <w:pPr>
        <w:spacing w:after="0" w:line="1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4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294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77"/>
        </w:trPr>
        <w:tc>
          <w:tcPr>
            <w:tcW w:w="110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Name:</w:t>
            </w:r>
          </w:p>
        </w:tc>
        <w:tc>
          <w:tcPr>
            <w:tcW w:w="33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940" w:type="dxa"/>
            <w:vAlign w:val="bottom"/>
          </w:tcPr>
          <w:p>
            <w:pPr>
              <w:spacing w:after="0"/>
              <w:rPr>
                <w:sz w:val="24"/>
                <w:szCs w:val="24"/>
                <w:color w:val="auto"/>
              </w:rPr>
            </w:pPr>
          </w:p>
        </w:tc>
      </w:tr>
      <w:tr>
        <w:trPr>
          <w:trHeight w:val="282"/>
        </w:trPr>
        <w:tc>
          <w:tcPr>
            <w:tcW w:w="110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Title:</w:t>
            </w:r>
          </w:p>
        </w:tc>
        <w:tc>
          <w:tcPr>
            <w:tcW w:w="33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94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20"/>
          </w:cols>
          <w:pgMar w:left="1440" w:top="1422" w:right="339" w:bottom="1440" w:gutter="0" w:footer="0" w:header="0"/>
        </w:sectPr>
      </w:pPr>
    </w:p>
    <w:bookmarkStart w:id="125" w:name="page126"/>
    <w:bookmarkEnd w:id="125"/>
    <w:p>
      <w:pPr>
        <w:ind w:left="278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Jay L. Johnson ___________________</w:t>
            </w:r>
          </w:p>
        </w:tc>
        <w:tc>
          <w:tcPr>
            <w:tcW w:w="2100" w:type="dxa"/>
            <w:vAlign w:val="bottom"/>
          </w:tcPr>
          <w:p>
            <w:pPr>
              <w:spacing w:after="0"/>
              <w:rPr>
                <w:sz w:val="22"/>
                <w:szCs w:val="22"/>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spacing w:after="0" w:line="260"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 ___________________</w:t>
            </w:r>
          </w:p>
        </w:tc>
        <w:tc>
          <w:tcPr>
            <w:tcW w:w="302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02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22" w:right="599" w:bottom="1440" w:gutter="0" w:footer="0" w:header="0"/>
        </w:sectPr>
      </w:pPr>
    </w:p>
    <w:bookmarkStart w:id="126" w:name="page127"/>
    <w:bookmarkEnd w:id="126"/>
    <w:p>
      <w:pPr>
        <w:spacing w:after="0" w:line="200" w:lineRule="exact"/>
        <w:rPr>
          <w:sz w:val="20"/>
          <w:szCs w:val="20"/>
          <w:color w:val="auto"/>
        </w:rPr>
      </w:pPr>
    </w:p>
    <w:p>
      <w:pPr>
        <w:spacing w:after="0" w:line="34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51" w:lineRule="exact"/>
        <w:rPr>
          <w:sz w:val="20"/>
          <w:szCs w:val="20"/>
          <w:color w:val="auto"/>
        </w:rPr>
      </w:pPr>
    </w:p>
    <w:p>
      <w:pPr>
        <w:ind w:left="2120"/>
        <w:spacing w:after="0" w:line="271"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4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Wallace L. Duke______________</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 Wallace L. Duke</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9740"/>
          </w:cols>
          <w:pgMar w:left="1440" w:top="1440" w:right="71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3"/>
          <w:szCs w:val="23"/>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JOINDER AGREEMENT</w:t>
      </w:r>
    </w:p>
    <w:p>
      <w:pPr>
        <w:spacing w:after="0" w:line="251" w:lineRule="exact"/>
        <w:rPr>
          <w:sz w:val="20"/>
          <w:szCs w:val="20"/>
          <w:color w:val="auto"/>
        </w:rPr>
      </w:pPr>
    </w:p>
    <w:p>
      <w:pPr>
        <w:jc w:val="both"/>
        <w:ind w:firstLine="221"/>
        <w:spacing w:after="0" w:line="256" w:lineRule="auto"/>
        <w:rPr>
          <w:sz w:val="20"/>
          <w:szCs w:val="20"/>
          <w:color w:val="auto"/>
        </w:rPr>
      </w:pPr>
      <w:r>
        <w:rPr>
          <w:rFonts w:ascii="Times New Roman" w:cs="Times New Roman" w:eastAsia="Times New Roman" w:hAnsi="Times New Roman"/>
          <w:sz w:val="22"/>
          <w:szCs w:val="22"/>
          <w:color w:val="auto"/>
        </w:rPr>
        <w:t>JOINDER AGREEMENT dated as of July 1, 2024, by North Carolina Logos, LLC, a North Carolina limited liability company (the “</w:t>
      </w:r>
      <w:r>
        <w:rPr>
          <w:rFonts w:ascii="Times New Roman" w:cs="Times New Roman" w:eastAsia="Times New Roman" w:hAnsi="Times New Roman"/>
          <w:sz w:val="22"/>
          <w:szCs w:val="22"/>
          <w:u w:val="single" w:color="auto"/>
          <w:color w:val="auto"/>
        </w:rPr>
        <w:t>Additional Subsidiary Guarantor</w:t>
      </w:r>
      <w:r>
        <w:rPr>
          <w:rFonts w:ascii="Times New Roman" w:cs="Times New Roman" w:eastAsia="Times New Roman" w:hAnsi="Times New Roman"/>
          <w:sz w:val="22"/>
          <w:szCs w:val="22"/>
          <w:color w:val="auto"/>
        </w:rPr>
        <w:t>”), in favor of JPMorgan Chase Bank, N.A., as administrative agent for the Lenders party to the Credit Agreement referred to below (in such capacity, together with its successors in such capacity, the “</w:t>
      </w:r>
      <w:r>
        <w:rPr>
          <w:rFonts w:ascii="Times New Roman" w:cs="Times New Roman" w:eastAsia="Times New Roman" w:hAnsi="Times New Roman"/>
          <w:sz w:val="22"/>
          <w:szCs w:val="22"/>
          <w:u w:val="single" w:color="auto"/>
          <w:color w:val="auto"/>
        </w:rPr>
        <w:t>Administrative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22"/>
          <w:szCs w:val="22"/>
          <w:color w:val="auto"/>
        </w:rPr>
        <w:t>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each Additional Subsidiary Borrower that may be or may become a party thereto (each an “</w:t>
      </w:r>
      <w:r>
        <w:rPr>
          <w:rFonts w:ascii="Times New Roman" w:cs="Times New Roman" w:eastAsia="Times New Roman" w:hAnsi="Times New Roman"/>
          <w:sz w:val="22"/>
          <w:szCs w:val="22"/>
          <w:u w:val="single" w:color="auto"/>
          <w:color w:val="auto"/>
        </w:rPr>
        <w:t>Additional Subsidiary Borrower</w:t>
      </w:r>
      <w:r>
        <w:rPr>
          <w:rFonts w:ascii="Times New Roman" w:cs="Times New Roman" w:eastAsia="Times New Roman" w:hAnsi="Times New Roman"/>
          <w:sz w:val="22"/>
          <w:szCs w:val="22"/>
          <w:color w:val="auto"/>
        </w:rPr>
        <w:t>” and together with the Company, the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and certain of its subsidiaries (collectively, the “</w:t>
      </w:r>
      <w:r>
        <w:rPr>
          <w:rFonts w:ascii="Times New Roman" w:cs="Times New Roman" w:eastAsia="Times New Roman" w:hAnsi="Times New Roman"/>
          <w:sz w:val="22"/>
          <w:szCs w:val="22"/>
          <w:u w:val="single" w:color="auto"/>
          <w:color w:val="auto"/>
        </w:rPr>
        <w:t>Existing Subsidiary Guarantors</w:t>
      </w:r>
      <w:r>
        <w:rPr>
          <w:rFonts w:ascii="Times New Roman" w:cs="Times New Roman" w:eastAsia="Times New Roman" w:hAnsi="Times New Roman"/>
          <w:sz w:val="22"/>
          <w:szCs w:val="22"/>
          <w:color w:val="auto"/>
        </w:rPr>
        <w:t>” and, together with the Borrowers, the “</w:t>
      </w:r>
      <w:r>
        <w:rPr>
          <w:rFonts w:ascii="Times New Roman" w:cs="Times New Roman" w:eastAsia="Times New Roman" w:hAnsi="Times New Roman"/>
          <w:sz w:val="22"/>
          <w:szCs w:val="22"/>
          <w:u w:val="single" w:color="auto"/>
          <w:color w:val="auto"/>
        </w:rPr>
        <w:t>Securing Parties</w:t>
      </w:r>
      <w:r>
        <w:rPr>
          <w:rFonts w:ascii="Times New Roman" w:cs="Times New Roman" w:eastAsia="Times New Roman" w:hAnsi="Times New Roman"/>
          <w:sz w:val="22"/>
          <w:szCs w:val="22"/>
          <w:color w:val="auto"/>
        </w:rPr>
        <w:t>”) are parties to that certain Fourth Amended and Restated Credit Agreement dated as of February 6, 2020 (as amended by that certain Amendment No. 1, dated as of July 2, 2021, as amended by that certain Amendment No. 2, dated as of July 29, 2022, as amended by that certain Amendment No. 3, dated as of April 26, 2023, as amended by that certain Amendment No. 4, dated as of July 31, 2023, and as further amended, restated, amended and restated, extended, supplemented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providing, subject to the terms and conditions thereof, for extensions of credit (by means of loans and letters of credit) to be made by the Lenders named therein (collectively, together with any entity that becomes a “Lender” party to the Credit Agreement after the date hereof as provided therein,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together with Administrative Agent and any successors or assigns of any of the foregoing, the “</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to the Borrowers. In addition, the Borrowers may from time to time be obligated to one or more of the Lenders under the Credit Agreement in respect of Swap Agreements under and as defined in the Credit Agreement (collectively, the “</w:t>
      </w:r>
      <w:r>
        <w:rPr>
          <w:rFonts w:ascii="Times New Roman" w:cs="Times New Roman" w:eastAsia="Times New Roman" w:hAnsi="Times New Roman"/>
          <w:sz w:val="22"/>
          <w:szCs w:val="22"/>
          <w:u w:val="single" w:color="auto"/>
          <w:color w:val="auto"/>
        </w:rPr>
        <w:t>Swap Agreements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227"/>
        <w:spacing w:after="0" w:line="253" w:lineRule="auto"/>
        <w:rPr>
          <w:sz w:val="20"/>
          <w:szCs w:val="20"/>
          <w:color w:val="auto"/>
        </w:rPr>
      </w:pPr>
      <w:r>
        <w:rPr>
          <w:rFonts w:ascii="Times New Roman" w:cs="Times New Roman" w:eastAsia="Times New Roman" w:hAnsi="Times New Roman"/>
          <w:sz w:val="22"/>
          <w:szCs w:val="22"/>
          <w:color w:val="auto"/>
        </w:rPr>
        <w:t>In connection with the Credit Agreement, the Borrowers, the Existing Subsidiary Guarantors and the Administrative Agent are parties to that certain Amended and Restated Pledge Agreement dated as of February 3, 2014 (the “</w:t>
      </w:r>
      <w:r>
        <w:rPr>
          <w:rFonts w:ascii="Times New Roman" w:cs="Times New Roman" w:eastAsia="Times New Roman" w:hAnsi="Times New Roman"/>
          <w:sz w:val="22"/>
          <w:szCs w:val="22"/>
          <w:u w:val="single" w:color="auto"/>
          <w:color w:val="auto"/>
        </w:rPr>
        <w:t>Pledge Agreement</w:t>
      </w:r>
      <w:r>
        <w:rPr>
          <w:rFonts w:ascii="Times New Roman" w:cs="Times New Roman" w:eastAsia="Times New Roman" w:hAnsi="Times New Roman"/>
          <w:sz w:val="22"/>
          <w:szCs w:val="22"/>
          <w:color w:val="auto"/>
        </w:rPr>
        <w:t xml:space="preserve">”) pursuant to which the Securing Parties have, </w:t>
      </w:r>
      <w:r>
        <w:rPr>
          <w:rFonts w:ascii="Times New Roman" w:cs="Times New Roman" w:eastAsia="Times New Roman" w:hAnsi="Times New Roman"/>
          <w:sz w:val="22"/>
          <w:szCs w:val="22"/>
          <w:u w:val="single" w:color="auto"/>
          <w:color w:val="auto"/>
        </w:rPr>
        <w:t>inter alia</w:t>
      </w:r>
      <w:r>
        <w:rPr>
          <w:rFonts w:ascii="Times New Roman" w:cs="Times New Roman" w:eastAsia="Times New Roman" w:hAnsi="Times New Roman"/>
          <w:sz w:val="22"/>
          <w:szCs w:val="22"/>
          <w:color w:val="auto"/>
        </w:rPr>
        <w:t>, granted a security interest in the Collateral (as defined in the Pledge Agreement) as collateral security for the Secured Obligations (as so defined). Terms defined in the Pledge Agreement are used herein as defined therein.</w:t>
      </w:r>
    </w:p>
    <w:p>
      <w:pPr>
        <w:spacing w:after="0" w:line="206" w:lineRule="exact"/>
        <w:rPr>
          <w:sz w:val="20"/>
          <w:szCs w:val="20"/>
          <w:color w:val="auto"/>
        </w:rPr>
      </w:pPr>
    </w:p>
    <w:p>
      <w:pPr>
        <w:jc w:val="both"/>
        <w:ind w:firstLine="264"/>
        <w:spacing w:after="0" w:line="253" w:lineRule="auto"/>
        <w:rPr>
          <w:sz w:val="20"/>
          <w:szCs w:val="20"/>
          <w:color w:val="auto"/>
        </w:rPr>
      </w:pPr>
      <w:r>
        <w:rPr>
          <w:rFonts w:ascii="Times New Roman" w:cs="Times New Roman" w:eastAsia="Times New Roman" w:hAnsi="Times New Roman"/>
          <w:sz w:val="22"/>
          <w:szCs w:val="22"/>
          <w:color w:val="auto"/>
        </w:rPr>
        <w:t>To induce the Secured Parties to enter into the Credit Agreement, and to extend credit thereunder and to extend credit to the Borrowers under Swap Agreements, and for other good and valuable consideration the receipt and sufficiency of which are hereby acknowledged, the Additional Subsidiary Guarantor has agreed to become a party to the Credit Agreement and the Pledge Agreement as a “Subsidiary Guarantor” thereunder, and to pledge and grant a security interest in the Collateral (as defined in the Pledge Agreement).</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Accordingly, the parties hereto agree as follows:</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Terms defined in the Credit Agreement are used herein as defined therein.</w:t>
      </w:r>
    </w:p>
    <w:p>
      <w:pPr>
        <w:sectPr>
          <w:pgSz w:w="11900" w:h="16838" w:orient="portrait"/>
          <w:cols w:equalWidth="0" w:num="1">
            <w:col w:w="11240"/>
          </w:cols>
          <w:pgMar w:left="320" w:top="108" w:right="339" w:bottom="1440" w:gutter="0" w:footer="0" w:header="0"/>
        </w:sectPr>
      </w:pPr>
    </w:p>
    <w:bookmarkStart w:id="128" w:name="page129"/>
    <w:bookmarkEnd w:id="128"/>
    <w:p>
      <w:pPr>
        <w:spacing w:after="0" w:line="225" w:lineRule="exact"/>
        <w:rPr>
          <w:sz w:val="20"/>
          <w:szCs w:val="20"/>
          <w:color w:val="auto"/>
        </w:rPr>
      </w:pPr>
    </w:p>
    <w:p>
      <w:pPr>
        <w:jc w:val="both"/>
        <w:ind w:firstLine="333"/>
        <w:spacing w:after="0" w:line="253"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Joinder to Agreements</w:t>
      </w:r>
      <w:r>
        <w:rPr>
          <w:rFonts w:ascii="Times New Roman" w:cs="Times New Roman" w:eastAsia="Times New Roman" w:hAnsi="Times New Roman"/>
          <w:sz w:val="22"/>
          <w:szCs w:val="22"/>
          <w:color w:val="auto"/>
        </w:rPr>
        <w:t>. Effective upon the execution and delivery hereof, the Additional Subsidiary Guarantor hereby agrees that it shall become a “Subsidiary Guarantor” under and for all purposes of the Credit Agreement and a “Securing Party” under and for all purposes of the Pledge Agreement with all the rights and obligations of a Subsidiary Guarantor and Securing Party thereunder, as applicable. Without limiting the generality of the foregoing, the Additional Subsidiary Guarantor hereby:</w:t>
      </w:r>
    </w:p>
    <w:p>
      <w:pPr>
        <w:spacing w:after="0" w:line="206" w:lineRule="exact"/>
        <w:rPr>
          <w:sz w:val="20"/>
          <w:szCs w:val="20"/>
          <w:color w:val="auto"/>
        </w:rPr>
      </w:pPr>
    </w:p>
    <w:p>
      <w:pPr>
        <w:jc w:val="both"/>
        <w:ind w:left="660" w:hanging="4"/>
        <w:spacing w:after="0" w:line="256" w:lineRule="auto"/>
        <w:tabs>
          <w:tab w:leader="none" w:pos="110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jointly and severally with the other Subsidiary Guarantors party to the Credit Agreement guarantees to each Secured Party and their respective successors and assigns the prompt payment in full when due (whether at stated maturity, by acceleration or otherwise) of all Guaranteed Obligations in the same manner and to the same extent as is provided in Article III of the Credit Agreement;</w:t>
      </w:r>
    </w:p>
    <w:p>
      <w:pPr>
        <w:spacing w:after="0" w:line="203" w:lineRule="exact"/>
        <w:rPr>
          <w:rFonts w:ascii="Times New Roman" w:cs="Times New Roman" w:eastAsia="Times New Roman" w:hAnsi="Times New Roman"/>
          <w:sz w:val="22"/>
          <w:szCs w:val="22"/>
          <w:color w:val="auto"/>
        </w:rPr>
      </w:pPr>
    </w:p>
    <w:p>
      <w:pPr>
        <w:jc w:val="both"/>
        <w:ind w:left="660" w:hanging="4"/>
        <w:spacing w:after="0" w:line="268" w:lineRule="auto"/>
        <w:tabs>
          <w:tab w:leader="none" w:pos="1167"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pledges and grants the security interests in all right, title and interest of such Additional Subsidiary Guarantor in all Collateral (as defined in the Pledge Agreement) that it now owns or hereafter acquires and whether now existing or hereafter coming into existence provided for by Article III of the Pledge Agreement as collateral security for the Secured Obligations and agrees that the Schedules thereof shall be supplemented as provided in Appendices A and B hereto;</w:t>
      </w:r>
    </w:p>
    <w:p>
      <w:pPr>
        <w:spacing w:after="0" w:line="190" w:lineRule="exact"/>
        <w:rPr>
          <w:rFonts w:ascii="Times New Roman" w:cs="Times New Roman" w:eastAsia="Times New Roman" w:hAnsi="Times New Roman"/>
          <w:sz w:val="21"/>
          <w:szCs w:val="21"/>
          <w:color w:val="auto"/>
        </w:rPr>
      </w:pPr>
    </w:p>
    <w:p>
      <w:pPr>
        <w:jc w:val="both"/>
        <w:ind w:left="660" w:hanging="4"/>
        <w:spacing w:after="0" w:line="263" w:lineRule="auto"/>
        <w:tabs>
          <w:tab w:leader="none" w:pos="132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the representations and warranties set forth in Article IV of the Credit Agreement and in Article II of the Pledge Agreement, to the extent relating to such Additional Subsidiary Guarantor or to the Pledged Equity evidenced by the certificates, if any, identified in Appendix A hereto; and</w:t>
      </w:r>
    </w:p>
    <w:p>
      <w:pPr>
        <w:spacing w:after="0" w:line="194" w:lineRule="exact"/>
        <w:rPr>
          <w:rFonts w:ascii="Times New Roman" w:cs="Times New Roman" w:eastAsia="Times New Roman" w:hAnsi="Times New Roman"/>
          <w:sz w:val="22"/>
          <w:szCs w:val="22"/>
          <w:color w:val="auto"/>
        </w:rPr>
      </w:pPr>
    </w:p>
    <w:p>
      <w:pPr>
        <w:ind w:left="660" w:hanging="4"/>
        <w:spacing w:after="0" w:line="271" w:lineRule="auto"/>
        <w:tabs>
          <w:tab w:leader="none" w:pos="120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submits to the jurisdiction of the courts, and waives jury trial, as provided in Sections 10.09 and 10.10 of the Credit Agreement.</w:t>
      </w:r>
    </w:p>
    <w:p>
      <w:pPr>
        <w:spacing w:after="0" w:line="185" w:lineRule="exact"/>
        <w:rPr>
          <w:sz w:val="20"/>
          <w:szCs w:val="20"/>
          <w:color w:val="auto"/>
        </w:rPr>
      </w:pPr>
    </w:p>
    <w:p>
      <w:pPr>
        <w:ind w:right="20" w:firstLine="266"/>
        <w:spacing w:after="0" w:line="284" w:lineRule="auto"/>
        <w:rPr>
          <w:sz w:val="20"/>
          <w:szCs w:val="20"/>
          <w:color w:val="auto"/>
        </w:rPr>
      </w:pPr>
      <w:r>
        <w:rPr>
          <w:rFonts w:ascii="Times New Roman" w:cs="Times New Roman" w:eastAsia="Times New Roman" w:hAnsi="Times New Roman"/>
          <w:sz w:val="22"/>
          <w:szCs w:val="22"/>
          <w:color w:val="auto"/>
        </w:rPr>
        <w:t>The Additional Subsidiary Guarantor hereby instructs its counsel to deliver the opinions referred to in Section 6.10(a)(iii) of the Credit Agreement to the Secured Parties.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3"/>
          <w:szCs w:val="23"/>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Additional Subsidiary Guarantor has caused this Joinder Agreement to be duly executed and delivered as of the day and year first above written.</w:t>
      </w:r>
    </w:p>
    <w:p>
      <w:pPr>
        <w:spacing w:after="0" w:line="21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ADDITIONAL SUBSIDIARY GUARANTOR:</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NORTH CAROLINA LOGOS, LLC</w:t>
      </w:r>
    </w:p>
    <w:p>
      <w:pPr>
        <w:spacing w:after="0" w:line="223"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60"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1201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Attest: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R. McIlwain</w:t>
      </w:r>
      <w:r>
        <w:rPr>
          <w:rFonts w:ascii="Times New Roman" w:cs="Times New Roman" w:eastAsia="Times New Roman" w:hAnsi="Times New Roman"/>
          <w:sz w:val="22"/>
          <w:szCs w:val="22"/>
          <w:color w:val="auto"/>
        </w:rPr>
        <w:t>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R. McIlwain, Secretary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Joinder Agreement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JPMORGAN CHASE BANK, N.A.,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Lucas Menendez</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Lucas Menendez</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10139"/>
          </w:cols>
          <w:pgMar w:left="320" w:top="1422" w:right="1440" w:bottom="1440" w:gutter="0" w:footer="0" w:header="0"/>
        </w:sectPr>
      </w:pPr>
    </w:p>
    <w:bookmarkStart w:id="131" w:name="page132"/>
    <w:bookmarkEnd w:id="131"/>
    <w:p>
      <w:pPr>
        <w:jc w:val="both"/>
        <w:spacing w:after="0" w:line="257" w:lineRule="auto"/>
        <w:rPr>
          <w:sz w:val="20"/>
          <w:szCs w:val="20"/>
          <w:color w:val="auto"/>
        </w:rPr>
      </w:pPr>
      <w:r>
        <w:rPr>
          <w:rFonts w:ascii="Times New Roman" w:cs="Times New Roman" w:eastAsia="Times New Roman" w:hAnsi="Times New Roman"/>
          <w:sz w:val="22"/>
          <w:szCs w:val="22"/>
          <w:color w:val="auto"/>
        </w:rPr>
        <w:t>The undersigned hereby respectively pledges and grants a security interest in the Pledged Equity that it owns as described in Appendix A hereto and agrees that Schedule 1, Part 2 – Pledged Equity of the Pledge Agreement is hereby supplemented by adding thereto the information listed on Appendix A.</w:t>
      </w:r>
    </w:p>
    <w:p>
      <w:pPr>
        <w:spacing w:after="0" w:line="200" w:lineRule="exact"/>
        <w:rPr>
          <w:sz w:val="20"/>
          <w:szCs w:val="20"/>
          <w:color w:val="auto"/>
        </w:rPr>
      </w:pPr>
    </w:p>
    <w:p>
      <w:pPr>
        <w:spacing w:after="0" w:line="25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Interstate Logos, L.L.C., Issuee</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L/ Johnson________</w:t>
      </w:r>
    </w:p>
    <w:p>
      <w:pPr>
        <w:spacing w:after="0" w:line="29" w:lineRule="exact"/>
        <w:rPr>
          <w:sz w:val="20"/>
          <w:szCs w:val="20"/>
          <w:color w:val="auto"/>
        </w:rPr>
      </w:pPr>
    </w:p>
    <w:p>
      <w:pPr>
        <w:ind w:left="280" w:right="3560" w:firstLine="2970"/>
        <w:spacing w:after="0" w:line="259" w:lineRule="auto"/>
        <w:rPr>
          <w:sz w:val="20"/>
          <w:szCs w:val="20"/>
          <w:color w:val="auto"/>
        </w:rPr>
      </w:pPr>
      <w:r>
        <w:rPr>
          <w:rFonts w:ascii="Times New Roman" w:cs="Times New Roman" w:eastAsia="Times New Roman" w:hAnsi="Times New Roman"/>
          <w:sz w:val="22"/>
          <w:szCs w:val="22"/>
          <w:color w:val="auto"/>
        </w:rPr>
        <w:t>Name: Jay L. Johnson, Executive Vice-President, Chief Financial Officer, and Treasurer</w:t>
      </w:r>
    </w:p>
    <w:p>
      <w:pPr>
        <w:sectPr>
          <w:pgSz w:w="11900" w:h="16838" w:orient="portrait"/>
          <w:cols w:equalWidth="0" w:num="1">
            <w:col w:w="11240"/>
          </w:cols>
          <w:pgMar w:left="320" w:top="1422"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E. Reilly, certify that:</w:t>
      </w:r>
    </w:p>
    <w:p>
      <w:pPr>
        <w:spacing w:after="0" w:line="117"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quarterly report on Form 10-Q of Lamar Advertising Company and Lamar Media Corp.;</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67"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20" w:right="280" w:hanging="564"/>
        <w:spacing w:after="0" w:line="266" w:lineRule="auto"/>
        <w:tabs>
          <w:tab w:leader="none" w:pos="121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312" w:lineRule="auto"/>
        <w:tabs>
          <w:tab w:leader="none" w:pos="1297"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300" w:right="140" w:hanging="644"/>
        <w:spacing w:after="0" w:line="282" w:lineRule="auto"/>
        <w:tabs>
          <w:tab w:leader="none" w:pos="129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Sean E. Reilly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Lamar Advertising Company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Lamar Media Corp.</w:t>
      </w:r>
    </w:p>
    <w:p>
      <w:pPr>
        <w:sectPr>
          <w:pgSz w:w="11900" w:h="16838" w:orient="portrait"/>
          <w:cols w:equalWidth="0" w:num="1">
            <w:col w:w="11240"/>
          </w:cols>
          <w:pgMar w:left="320" w:top="1211"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L. Johnson, certify that:</w:t>
      </w:r>
    </w:p>
    <w:p>
      <w:pPr>
        <w:spacing w:after="0" w:line="117"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quarterly report on Form 10-Q of Lamar Advertising Company and Lamar Media Corp.;</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67"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20" w:right="280" w:hanging="564"/>
        <w:spacing w:after="0" w:line="266" w:lineRule="auto"/>
        <w:tabs>
          <w:tab w:leader="none" w:pos="121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312" w:lineRule="auto"/>
        <w:tabs>
          <w:tab w:leader="none" w:pos="1297"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300" w:right="140" w:hanging="644"/>
        <w:spacing w:after="0" w:line="282" w:lineRule="auto"/>
        <w:tabs>
          <w:tab w:leader="none" w:pos="129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Jay L. Johnson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Lamar Media Corp.</w:t>
      </w:r>
    </w:p>
    <w:p>
      <w:pPr>
        <w:sectPr>
          <w:pgSz w:w="11900" w:h="16838" w:orient="portrait"/>
          <w:cols w:equalWidth="0" w:num="1">
            <w:col w:w="11240"/>
          </w:cols>
          <w:pgMar w:left="320" w:top="1211"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Quarterly Report on Form 10-Q of Lamar Advertising and Lamar Media for the period ended September 30, 2024 fully complies with the requirements of Section 13(a) or 15(d) of the Securities Exchange Act of 1934 and that information contained in the combined Form 10-Q fairly presents, in all material respects, the financial condition and results of operations of Lamar Advertising and Lamar Media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E. Reilly</w:t>
            </w:r>
          </w:p>
        </w:tc>
      </w:tr>
      <w:tr>
        <w:trPr>
          <w:trHeight w:val="218"/>
        </w:trPr>
        <w:tc>
          <w:tcPr>
            <w:tcW w:w="59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E. Reilly</w:t>
            </w:r>
          </w:p>
        </w:tc>
      </w:tr>
      <w:tr>
        <w:trPr>
          <w:trHeight w:val="230"/>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Lamar Advertising Company</w:t>
            </w:r>
          </w:p>
        </w:tc>
      </w:tr>
      <w:tr>
        <w:trPr>
          <w:trHeight w:val="234"/>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Lamar Media Corp.</w:t>
            </w:r>
          </w:p>
        </w:tc>
      </w:tr>
      <w:tr>
        <w:trPr>
          <w:trHeight w:val="40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5120" w:type="dxa"/>
            <w:vAlign w:val="bottom"/>
          </w:tcPr>
          <w:p>
            <w:pPr>
              <w:spacing w:after="0"/>
              <w:rPr>
                <w:sz w:val="24"/>
                <w:szCs w:val="24"/>
                <w:color w:val="auto"/>
              </w:rPr>
            </w:pPr>
          </w:p>
        </w:tc>
      </w:tr>
      <w:tr>
        <w:trPr>
          <w:trHeight w:val="459"/>
        </w:trPr>
        <w:tc>
          <w:tcPr>
            <w:tcW w:w="596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r>
      <w:tr>
        <w:trPr>
          <w:trHeight w:val="218"/>
        </w:trPr>
        <w:tc>
          <w:tcPr>
            <w:tcW w:w="59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r>
      <w:tr>
        <w:trPr>
          <w:trHeight w:val="230"/>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tc>
      </w:tr>
      <w:tr>
        <w:trPr>
          <w:trHeight w:val="234"/>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x"/>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2"/>
    </w:lvl>
  </w:abstractNum>
  <w:abstractNum w:abstractNumId="5">
    <w:nsid w:val="B03E0C6"/>
    <w:multiLevelType w:val="hybridMultilevel"/>
    <w:lvl w:ilvl="0">
      <w:lvlJc w:val="left"/>
      <w:lvlText w:val="%1."/>
      <w:numFmt w:val="decimal"/>
      <w:start w:val="3"/>
    </w:lvl>
  </w:abstractNum>
  <w:abstractNum w:abstractNumId="6">
    <w:nsid w:val="189A769B"/>
    <w:multiLevelType w:val="hybridMultilevel"/>
    <w:lvl w:ilvl="0">
      <w:lvlJc w:val="left"/>
      <w:lvlText w:val="%1."/>
      <w:numFmt w:val="decimal"/>
      <w:start w:val="4"/>
    </w:lvl>
  </w:abstractNum>
  <w:abstractNum w:abstractNumId="7">
    <w:nsid w:val="54E49EB4"/>
    <w:multiLevelType w:val="hybridMultilevel"/>
    <w:lvl w:ilvl="0">
      <w:lvlJc w:val="left"/>
      <w:lvlText w:val="%1."/>
      <w:numFmt w:val="decimal"/>
      <w:start w:val="5"/>
    </w:lvl>
  </w:abstractNum>
  <w:abstractNum w:abstractNumId="8">
    <w:nsid w:val="71F32454"/>
    <w:multiLevelType w:val="hybridMultilevel"/>
    <w:lvl w:ilvl="0">
      <w:lvlJc w:val="left"/>
      <w:lvlText w:val="%1."/>
      <w:numFmt w:val="decimal"/>
      <w:start w:val="6"/>
    </w:lvl>
  </w:abstractNum>
  <w:abstractNum w:abstractNumId="9">
    <w:nsid w:val="2CA88611"/>
    <w:multiLevelType w:val="hybridMultilevel"/>
    <w:lvl w:ilvl="0">
      <w:lvlJc w:val="left"/>
      <w:lvlText w:val="%1."/>
      <w:numFmt w:val="decimal"/>
      <w:start w:val="7"/>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8"/>
    </w:lvl>
  </w:abstractNum>
  <w:abstractNum w:abstractNumId="12">
    <w:nsid w:val="3A95F874"/>
    <w:multiLevelType w:val="hybridMultilevel"/>
    <w:lvl w:ilvl="0">
      <w:lvlJc w:val="left"/>
      <w:lvlText w:val="%1."/>
      <w:numFmt w:val="decimal"/>
      <w:start w:val="9"/>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lowerRoman"/>
      <w:start w:val="3"/>
    </w:lvl>
  </w:abstractNum>
  <w:abstractNum w:abstractNumId="15">
    <w:nsid w:val="7C3DBD3D"/>
    <w:multiLevelType w:val="hybridMultilevel"/>
    <w:lvl w:ilvl="0">
      <w:lvlJc w:val="left"/>
      <w:lvlText w:val="%1."/>
      <w:numFmt w:val="decimal"/>
      <w:start w:val="11"/>
    </w:lvl>
  </w:abstractNum>
  <w:abstractNum w:abstractNumId="16">
    <w:nsid w:val="737B8DDC"/>
    <w:multiLevelType w:val="hybridMultilevel"/>
    <w:lvl w:ilvl="0">
      <w:lvlJc w:val="left"/>
      <w:lvlText w:val="%1."/>
      <w:numFmt w:val="decimal"/>
      <w:start w:val="12"/>
    </w:lvl>
  </w:abstractNum>
  <w:abstractNum w:abstractNumId="17">
    <w:nsid w:val="6CEAF087"/>
    <w:multiLevelType w:val="hybridMultilevel"/>
    <w:lvl w:ilvl="0">
      <w:lvlJc w:val="left"/>
      <w:lvlText w:val="%1."/>
      <w:numFmt w:val="decimal"/>
      <w:start w:val="13"/>
    </w:lvl>
  </w:abstractNum>
  <w:abstractNum w:abstractNumId="18">
    <w:nsid w:val="22221A70"/>
    <w:multiLevelType w:val="hybridMultilevel"/>
    <w:lvl w:ilvl="0">
      <w:lvlJc w:val="left"/>
      <w:lvlText w:val="%1."/>
      <w:numFmt w:val="decimal"/>
      <w:start w:val="14"/>
    </w:lvl>
  </w:abstractNum>
  <w:abstractNum w:abstractNumId="19">
    <w:nsid w:val="4516DDE9"/>
    <w:multiLevelType w:val="hybridMultilevel"/>
    <w:lvl w:ilvl="0">
      <w:lvlJc w:val="left"/>
      <w:lvlText w:val="%1."/>
      <w:numFmt w:val="decimal"/>
      <w:start w:val="15"/>
    </w:lvl>
  </w:abstractNum>
  <w:abstractNum w:abstractNumId="20">
    <w:nsid w:val="3006C83E"/>
    <w:multiLevelType w:val="hybridMultilevel"/>
    <w:lvl w:ilvl="0">
      <w:lvlJc w:val="left"/>
      <w:lvlText w:val="%1."/>
      <w:numFmt w:val="decimal"/>
      <w:start w:val="16"/>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2"/>
    </w:lvl>
  </w:abstractNum>
  <w:abstractNum w:abstractNumId="23">
    <w:nsid w:val="5577F8E1"/>
    <w:multiLevelType w:val="hybridMultilevel"/>
    <w:lvl w:ilvl="0">
      <w:lvlJc w:val="left"/>
      <w:lvlText w:val="(%1)"/>
      <w:numFmt w:val="lowerRoman"/>
      <w:start w:val="4"/>
    </w:lvl>
  </w:abstractNum>
  <w:abstractNum w:abstractNumId="24">
    <w:nsid w:val="440BADFC"/>
    <w:multiLevelType w:val="hybridMultilevel"/>
    <w:lvl w:ilvl="0">
      <w:lvlJc w:val="left"/>
      <w:lvlText w:val="(%1)"/>
      <w:numFmt w:val="lowerRoman"/>
      <w:start w:val="7"/>
    </w:lvl>
  </w:abstractNum>
  <w:abstractNum w:abstractNumId="25">
    <w:nsid w:val="5072367"/>
    <w:multiLevelType w:val="hybridMultilevel"/>
    <w:lvl w:ilvl="0">
      <w:lvlJc w:val="left"/>
      <w:lvlText w:val="(%1)"/>
      <w:numFmt w:val="decimal"/>
      <w:start w:val="2"/>
    </w:lvl>
  </w:abstractNum>
  <w:abstractNum w:abstractNumId="26">
    <w:nsid w:val="3804823E"/>
    <w:multiLevelType w:val="hybridMultilevel"/>
    <w:lvl w:ilvl="0">
      <w:lvlJc w:val="left"/>
      <w:lvlText w:val="(%1)"/>
      <w:numFmt w:val="lowerRoman"/>
      <w:start w:val="3"/>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lowerRoman"/>
      <w:start w:val="5"/>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lowerLetter"/>
      <w:start w:val="1"/>
    </w:lvl>
  </w:abstractNum>
  <w:abstractNum w:abstractNumId="32">
    <w:nsid w:val="51EAD36B"/>
    <w:multiLevelType w:val="hybridMultilevel"/>
    <w:lvl w:ilvl="0">
      <w:lvlJc w:val="left"/>
      <w:lvlText w:val="%1)"/>
      <w:numFmt w:val="lowerLetter"/>
      <w:start w:val="2"/>
    </w:lvl>
  </w:abstractNum>
  <w:abstractNum w:abstractNumId="33">
    <w:nsid w:val="2D517796"/>
    <w:multiLevelType w:val="hybridMultilevel"/>
    <w:lvl w:ilvl="0">
      <w:lvlJc w:val="left"/>
      <w:lvlText w:val="%1"/>
      <w:numFmt w:val="decimal"/>
      <w:start w:val="101"/>
    </w:lvl>
  </w:abstractNum>
  <w:abstractNum w:abstractNumId="34">
    <w:nsid w:val="580BD78F"/>
    <w:multiLevelType w:val="hybridMultilevel"/>
    <w:lvl w:ilvl="0">
      <w:lvlJc w:val="left"/>
      <w:lvlText w:val="%1"/>
      <w:numFmt w:val="decimal"/>
      <w:start w:val="104"/>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4"/>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decimal"/>
      <w:start w:val="4"/>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decimal"/>
      <w:start w:val="4"/>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4"/>
    </w:lvl>
  </w:abstractNum>
  <w:abstractNum w:abstractNumId="43">
    <w:nsid w:val="57E4CCAF"/>
    <w:multiLevelType w:val="hybridMultilevel"/>
    <w:lvl w:ilvl="0">
      <w:lvlJc w:val="left"/>
      <w:lvlText w:val="(%1)"/>
      <w:numFmt w:val="lowerRoman"/>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69" Type="http://schemas.openxmlformats.org/officeDocument/2006/relationships/hyperlink" Target="https://www.sec.gov/Archives/edgar/data/1090425/000119312514417756/d823054dex31.htm" TargetMode="External"/><Relationship Id="rId70" Type="http://schemas.openxmlformats.org/officeDocument/2006/relationships/hyperlink" Target="https://www.sec.gov/Archives/edgar/data/1090425/000119312514417756/d823054dex32.htm" TargetMode="External"/><Relationship Id="rId71" Type="http://schemas.openxmlformats.org/officeDocument/2006/relationships/hyperlink" Target="https://www.sec.gov/Archives/edgar/data/899045/000095013407011105/d46520exv3w2.htm" TargetMode="External"/><Relationship Id="rId72" Type="http://schemas.openxmlformats.org/officeDocument/2006/relationships/hyperlink" Target="https://www.sec.gov/Archives/edgar/data/1090425/000119312514417756/d823054dex33.htm" TargetMode="External"/><Relationship Id="rId73" Type="http://schemas.openxmlformats.org/officeDocument/2006/relationships/hyperlink" Target="https://www.sec.gov/Archives/edgar/data/899045/000095013499009877/0000950134-99-009877.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2024-11-08T10:16:41Z</dcterms:created>
  <dcterms:modified xsi:type="dcterms:W3CDTF">2024-11-08T10:16:41Z</dcterms:modified>
</cp:coreProperties>
</file>