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before="0" w:after="0"/>
        <w:jc w:val="both"/>
        <w:rPr/>
      </w:pPr>
      <w:r>
        <w:rPr/>
      </w:r>
    </w:p>
    <w:tbl>
      <w:tblPr>
        <w:tblW w:w="5697" w:type="dxa"/>
        <w:jc w:val="left"/>
        <w:tblInd w:w="0" w:type="dxa"/>
        <w:tblLayout w:type="fixed"/>
        <w:tblCellMar>
          <w:top w:w="28" w:type="dxa"/>
          <w:left w:w="28" w:type="dxa"/>
          <w:bottom w:w="28" w:type="dxa"/>
          <w:right w:w="28" w:type="dxa"/>
        </w:tblCellMar>
      </w:tblPr>
      <w:tblGrid>
        <w:gridCol w:w="124"/>
        <w:gridCol w:w="109"/>
        <w:gridCol w:w="109"/>
        <w:gridCol w:w="1566"/>
        <w:gridCol w:w="1566"/>
        <w:gridCol w:w="2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4"/>
              </w:rPr>
            </w:pPr>
            <w:r>
              <w:rPr>
                <w:rFonts w:ascii="Times New Roman;serif" w:hAnsi="Times New Roman;serif"/>
                <w:b/>
                <w:color w:val="000000"/>
                <w:sz w:val="1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 the quarterly period ended June 30, 2026</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w:t>
      </w:r>
    </w:p>
    <w:tbl>
      <w:tblPr>
        <w:tblW w:w="5741" w:type="dxa"/>
        <w:jc w:val="left"/>
        <w:tblInd w:w="0" w:type="dxa"/>
        <w:tblLayout w:type="fixed"/>
        <w:tblCellMar>
          <w:top w:w="28" w:type="dxa"/>
          <w:left w:w="28" w:type="dxa"/>
          <w:bottom w:w="28" w:type="dxa"/>
          <w:right w:w="28" w:type="dxa"/>
        </w:tblCellMar>
      </w:tblPr>
      <w:tblGrid>
        <w:gridCol w:w="124"/>
        <w:gridCol w:w="109"/>
        <w:gridCol w:w="109"/>
        <w:gridCol w:w="1580"/>
        <w:gridCol w:w="1580"/>
        <w:gridCol w:w="2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w:t>
            </w:r>
          </w:p>
        </w:tc>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4"/>
              </w:rPr>
            </w:pPr>
            <w:r>
              <w:rPr>
                <w:rFonts w:ascii="Times New Roman;serif" w:hAnsi="Times New Roman;serif"/>
                <w:b/>
                <w:color w:val="000000"/>
                <w:sz w:val="1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For the transition period from______to______          </w:t>
      </w:r>
    </w:p>
    <w:p>
      <w:pPr>
        <w:pStyle w:val="TextBody"/>
        <w:bidi w:val="0"/>
        <w:spacing w:lineRule="auto" w:line="288" w:before="100" w:after="283"/>
        <w:jc w:val="center"/>
        <w:rPr/>
      </w:pPr>
      <w:r>
        <w:rPr>
          <w:rFonts w:ascii="Times New Roman;serif" w:hAnsi="Times New Roman;serif"/>
          <w:b/>
          <w:color w:val="000000"/>
          <w:sz w:val="14"/>
        </w:rPr>
        <w:t xml:space="preserve">Commission File Number </w:t>
      </w:r>
      <w:r>
        <w:rPr>
          <w:rFonts w:ascii="Times New Roman;serif" w:hAnsi="Times New Roman;serif"/>
          <w:b/>
          <w:i/>
          <w:color w:val="000000"/>
          <w:sz w:val="14"/>
        </w:rPr>
        <w:t>1-36756</w:t>
      </w:r>
    </w:p>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Lamar Advertising Company</w:t>
      </w:r>
    </w:p>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__________________________________</w:t>
      </w:r>
    </w:p>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Commission File Number 1-12407</w:t>
      </w:r>
    </w:p>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Lamar Media Corp.</w:t>
      </w:r>
    </w:p>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(Exact names of registrants as specified in their charters)</w:t>
      </w:r>
    </w:p>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________________________________</w:t>
      </w:r>
    </w:p>
    <w:tbl>
      <w:tblPr>
        <w:tblW w:w="6282" w:type="dxa"/>
        <w:jc w:val="center"/>
        <w:tblInd w:w="0" w:type="dxa"/>
        <w:tblLayout w:type="fixed"/>
        <w:tblCellMar>
          <w:top w:w="28" w:type="dxa"/>
          <w:left w:w="28" w:type="dxa"/>
          <w:bottom w:w="28" w:type="dxa"/>
          <w:right w:w="28" w:type="dxa"/>
        </w:tblCellMar>
      </w:tblPr>
      <w:tblGrid>
        <w:gridCol w:w="1358"/>
        <w:gridCol w:w="1190"/>
        <w:gridCol w:w="1202"/>
        <w:gridCol w:w="109"/>
        <w:gridCol w:w="109"/>
        <w:gridCol w:w="109"/>
        <w:gridCol w:w="644"/>
        <w:gridCol w:w="644"/>
        <w:gridCol w:w="917"/>
      </w:tblGrid>
      <w:tr>
        <w:trPr/>
        <w:tc>
          <w:tcPr>
            <w:tcW w:w="135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47-0961620</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72-1205791</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4"/>
              </w:rPr>
            </w:pPr>
            <w:r>
              <w:rPr>
                <w:rFonts w:ascii="Times New Roman;serif" w:hAnsi="Times New Roman;serif"/>
                <w:b/>
                <w:i/>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4"/>
              </w:rPr>
            </w:pPr>
            <w:r>
              <w:rPr>
                <w:rFonts w:ascii="Times New Roman;serif" w:hAnsi="Times New Roman;serif"/>
                <w:b/>
                <w:i/>
                <w:color w:val="000000"/>
                <w:sz w:val="14"/>
              </w:rPr>
              <w:t>(I.R.S Employer Identification No.)</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5321 Corporate Blvd., Baton Rouge, 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70808</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00" w:after="283"/>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 (225) 926-1000  </w:t>
      </w:r>
    </w:p>
    <w:p>
      <w:pPr>
        <w:pStyle w:val="TextBody"/>
        <w:bidi w:val="0"/>
        <w:spacing w:lineRule="auto" w:line="288" w:before="100" w:after="283"/>
        <w:jc w:val="center"/>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6254" w:type="dxa"/>
        <w:jc w:val="left"/>
        <w:tblInd w:w="0" w:type="dxa"/>
        <w:tblLayout w:type="fixed"/>
        <w:tblCellMar>
          <w:top w:w="28" w:type="dxa"/>
          <w:left w:w="28" w:type="dxa"/>
          <w:bottom w:w="28" w:type="dxa"/>
          <w:right w:w="28" w:type="dxa"/>
        </w:tblCellMar>
      </w:tblPr>
      <w:tblGrid>
        <w:gridCol w:w="886"/>
        <w:gridCol w:w="776"/>
        <w:gridCol w:w="783"/>
        <w:gridCol w:w="394"/>
        <w:gridCol w:w="394"/>
        <w:gridCol w:w="396"/>
        <w:gridCol w:w="768"/>
        <w:gridCol w:w="768"/>
        <w:gridCol w:w="1089"/>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1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Trading Symbol(s)</w:t>
            </w:r>
          </w:p>
        </w:tc>
        <w:tc>
          <w:tcPr>
            <w:tcW w:w="2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 on which registered</w:t>
            </w:r>
          </w:p>
        </w:tc>
      </w:tr>
      <w:tr>
        <w:trPr/>
        <w:tc>
          <w:tcPr>
            <w:tcW w:w="24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Class A common stock, $0.001 par value</w:t>
            </w:r>
          </w:p>
        </w:tc>
        <w:tc>
          <w:tcPr>
            <w:tcW w:w="11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LAMR</w:t>
            </w:r>
          </w:p>
        </w:tc>
        <w:tc>
          <w:tcPr>
            <w:tcW w:w="26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bl>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921" w:type="dxa"/>
        <w:jc w:val="left"/>
        <w:tblInd w:w="0" w:type="dxa"/>
        <w:tblLayout w:type="fixed"/>
        <w:tblCellMar>
          <w:top w:w="28" w:type="dxa"/>
          <w:left w:w="28" w:type="dxa"/>
          <w:bottom w:w="28" w:type="dxa"/>
          <w:right w:w="28" w:type="dxa"/>
        </w:tblCellMar>
      </w:tblPr>
      <w:tblGrid>
        <w:gridCol w:w="525"/>
        <w:gridCol w:w="464"/>
        <w:gridCol w:w="466"/>
        <w:gridCol w:w="109"/>
        <w:gridCol w:w="109"/>
        <w:gridCol w:w="109"/>
        <w:gridCol w:w="109"/>
        <w:gridCol w:w="109"/>
        <w:gridCol w:w="109"/>
        <w:gridCol w:w="479"/>
        <w:gridCol w:w="479"/>
        <w:gridCol w:w="482"/>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If an emerging growth company, indicate by check mark if Lamar Advertising Company has elected not to use the extended transition period for complying with any new or revised financial accounting standards provided pursuant to Section 13(a) of the Exchange Act.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921" w:type="dxa"/>
        <w:jc w:val="left"/>
        <w:tblInd w:w="0" w:type="dxa"/>
        <w:tblLayout w:type="fixed"/>
        <w:tblCellMar>
          <w:top w:w="28" w:type="dxa"/>
          <w:left w:w="28" w:type="dxa"/>
          <w:bottom w:w="28" w:type="dxa"/>
          <w:right w:w="28" w:type="dxa"/>
        </w:tblCellMar>
      </w:tblPr>
      <w:tblGrid>
        <w:gridCol w:w="525"/>
        <w:gridCol w:w="464"/>
        <w:gridCol w:w="466"/>
        <w:gridCol w:w="109"/>
        <w:gridCol w:w="109"/>
        <w:gridCol w:w="109"/>
        <w:gridCol w:w="109"/>
        <w:gridCol w:w="109"/>
        <w:gridCol w:w="109"/>
        <w:gridCol w:w="479"/>
        <w:gridCol w:w="479"/>
        <w:gridCol w:w="482"/>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2"/>
              </w:rPr>
            </w:pPr>
            <w:r>
              <w:rPr>
                <w:rFonts w:ascii="Times New Roman;serif" w:hAnsi="Times New Roman;serif"/>
                <w:b w:val="false"/>
                <w:color w:val="000000"/>
                <w:sz w:val="12"/>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If an emerging growth company, indicate by check mark if Lamar Media Corp. has elected not to use the extended transition period for complying with any new or revised financial accounting standards provided pursuant to Section 13(a) of the Exchange Act.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Indicate by check mark whether Lamar Advertising Company is a shell company (as defined in Rule 12b-2 of the Exchange Act):    Yes  ☐☐    No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Indicate by check mark whether Lamar Media Corp. is a shell company (as defined in Rule 12b-2 of the Exchange Act):    Yes  ☐☐    No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The number of shares of Lamar Advertising Company’s Class A common stock outstanding as of July 31, 2026: 87,129,599 </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The number of shares of the Lamar Advertising Company’s Class B common stock outstanding as of July 31, 2026: 14,420,085</w:t>
      </w:r>
    </w:p>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The number of shares of Lamar Media Corp. common stock outstanding as of July 31, 2026: 100</w:t>
      </w:r>
    </w:p>
    <w:p>
      <w:pPr>
        <w:pStyle w:val="TextBody"/>
        <w:bidi w:val="0"/>
        <w:spacing w:lineRule="auto" w:line="288" w:before="100" w:after="283"/>
        <w:jc w:val="both"/>
        <w:rPr>
          <w:rFonts w:ascii="Times New Roman;serif" w:hAnsi="Times New Roman;serif"/>
          <w:b/>
          <w:color w:val="000000"/>
          <w:sz w:val="12"/>
        </w:rPr>
      </w:pPr>
      <w:r>
        <w:rPr>
          <w:rFonts w:ascii="Times New Roman;serif" w:hAnsi="Times New Roman;serif"/>
          <w:b/>
          <w:color w:val="000000"/>
          <w:sz w:val="12"/>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pStyle w:val="TextBody"/>
        <w:bidi w:val="0"/>
        <w:spacing w:before="0" w:after="0"/>
        <w:jc w:val="both"/>
        <w:rPr/>
      </w:pPr>
      <w:r>
        <w:rPr/>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future financial performance and condition;</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business plans, objectives, prospects, growth and operating strategies;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future capital expenditures and level of acquisition activity;</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integrate acquired assets and realize operating efficiency from acquisitions;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market opportunities and competitive positions;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future cash flows and expected cash requirements;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estimated risks;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maintain compliance with applicable covenants and restrictions included in Lamar Media’s senior credit facility, Accounts Receivable Securitization Program and the indentures relating to its outstanding notes;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stock price;</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expected timing and amount of distributions to our stockholders; and</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remain qualified as a Real Estate Investment Trust (“REIT”).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pStyle w:val="TextBody"/>
        <w:bidi w:val="0"/>
        <w:spacing w:before="0" w:after="0"/>
        <w:ind w:left="0" w:right="0" w:firstLine="630"/>
        <w:jc w:val="both"/>
        <w:rPr/>
      </w:pPr>
      <w:r>
        <w:rPr/>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the state of the economy and financial markets generally and their effects on the markets in which we operate and the broader demand for advertising including economic changes that may result from new or increased tariffs, trade restrictions or geopolitical tensions, including war and armed conflicts;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the levels of expenditures on advertising in general and outdoor advertising in particular;</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risks and uncertainties relating to our significant indebtedness;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the demand for outdoor advertising and its continued popularity as an advertising medium;</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need for, and ability to obtain, additional funding for acquisitions, operations and debt refinancing;</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increased competition within the outdoor advertising industry;</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the regulation of the outdoor advertising industry by federal, state and local governments;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renew expiring contracts at favorable rates;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the integration of businesses and assets that we acquire and our ability to recognize cost savings and operating efficiencies as a result of these acquisitions;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successfully implement our digital deployment strategy;</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the market for our Class A common stock;</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changes in accounting principles, policies or guidelines;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effectively mitigate the threat of and damages caused by hurricanes and other kinds of severe weather;</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our ability to maintain our status as a REIT; and</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changes in tax laws applicable to REITs or in the interpretation of those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a further description of these and other risks and uncertainties, the Company encourages you to read carefully Item 1A to the combined Annual Report on Form 10-K for the year ended December 31, 2025 of the Company and Lamar Media (the “2025 Combined Form 10-K”), filed on February 20, 2026, and as such risk factors may be further updated or supplemented, from time to time, in our future combined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9"/>
        <w:gridCol w:w="3088"/>
        <w:gridCol w:w="3095"/>
        <w:gridCol w:w="149"/>
        <w:gridCol w:w="149"/>
        <w:gridCol w:w="215"/>
      </w:tblGrid>
      <w:tr>
        <w:trPr/>
        <w:tc>
          <w:tcPr>
            <w:tcW w:w="3509"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3">
              <w:r>
                <w:rPr>
                  <w:rStyle w:val="InternetLink"/>
                  <w:rFonts w:ascii="Times New Roman;serif" w:hAnsi="Times New Roman;serif"/>
                  <w:b w:val="false"/>
                  <w:color w:val="0000FF"/>
                  <w:sz w:val="20"/>
                  <w:u w:val="single"/>
                </w:rPr>
                <w:t>PART I —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7c13a40ab1c742708870c28fb41f1537_13">
              <w:r>
                <w:rPr>
                  <w:rStyle w:val="InternetLink"/>
                  <w:rFonts w:ascii="Times New Roman;serif" w:hAnsi="Times New Roman;serif"/>
                  <w:b w:val="false"/>
                  <w:strike w:val="false"/>
                  <w:dstrike w:val="false"/>
                  <w:color w:val="000000"/>
                  <w:sz w:val="20"/>
                  <w:u w:val="none"/>
                  <w:effect w:val="non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6">
              <w:r>
                <w:rPr>
                  <w:rStyle w:val="InternetLink"/>
                  <w:rFonts w:ascii="Times New Roman;serif" w:hAnsi="Times New Roman;serif"/>
                  <w:b w:val="false"/>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6">
              <w:r>
                <w:rPr>
                  <w:rStyle w:val="InternetLink"/>
                  <w:rFonts w:ascii="Times New Roman;serif" w:hAnsi="Times New Roman;serif"/>
                  <w:b w:val="false"/>
                  <w:strike w:val="false"/>
                  <w:dstrike w:val="false"/>
                  <w:color w:val="000000"/>
                  <w:sz w:val="20"/>
                  <w:u w:val="none"/>
                  <w:effect w:val="non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Lamar Advertising Company</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9">
              <w:r>
                <w:rPr>
                  <w:rStyle w:val="InternetLink"/>
                  <w:rFonts w:ascii="Times New Roman;serif" w:hAnsi="Times New Roman;serif"/>
                  <w:b w:val="false"/>
                  <w:strike w:val="false"/>
                  <w:dstrike w:val="false"/>
                  <w:color w:val="000000"/>
                  <w:sz w:val="20"/>
                  <w:u w:val="none"/>
                  <w:effect w:val="non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c13a40ab1c742708870c28fb41f1537_22">
              <w:r>
                <w:rPr>
                  <w:rStyle w:val="InternetLink"/>
                  <w:rFonts w:ascii="Times New Roman;serif" w:hAnsi="Times New Roman;serif"/>
                  <w:b w:val="false"/>
                  <w:color w:val="0000FF"/>
                  <w:sz w:val="20"/>
                  <w:u w:val="single"/>
                </w:rPr>
                <w:t>Condensed Consolidated Statements of Income and Comprehensive Income for the 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22">
              <w:r>
                <w:rPr>
                  <w:rStyle w:val="InternetLink"/>
                  <w:rFonts w:ascii="Times New Roman;serif" w:hAnsi="Times New Roman;serif"/>
                  <w:b w:val="false"/>
                  <w:strike w:val="false"/>
                  <w:dstrike w:val="false"/>
                  <w:color w:val="000000"/>
                  <w:sz w:val="20"/>
                  <w:u w:val="none"/>
                  <w:effect w:val="non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c13a40ab1c742708870c28fb41f1537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7c13a40ab1c742708870c28fb41f1537_22">
              <w:r>
                <w:rPr>
                  <w:rStyle w:val="InternetLink"/>
                  <w:rFonts w:ascii="Times New Roman;serif" w:hAnsi="Times New Roman;serif"/>
                  <w:b w:val="false"/>
                  <w:color w:val="000080"/>
                  <w:sz w:val="20"/>
                  <w:u w:val="single"/>
                </w:rPr>
                <w:t>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25">
              <w:r>
                <w:rPr>
                  <w:rStyle w:val="InternetLink"/>
                  <w:rFonts w:ascii="Times New Roman;serif" w:hAnsi="Times New Roman;serif"/>
                  <w:b w:val="false"/>
                  <w:strike w:val="false"/>
                  <w:dstrike w:val="false"/>
                  <w:color w:val="000000"/>
                  <w:sz w:val="20"/>
                  <w:u w:val="none"/>
                  <w:effect w:val="non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c13a40ab1c742708870c28fb41f1537_28">
              <w:r>
                <w:rPr>
                  <w:rStyle w:val="InternetLink"/>
                  <w:rFonts w:ascii="Times New Roman;serif" w:hAnsi="Times New Roman;serif"/>
                  <w:b w:val="false"/>
                  <w:color w:val="000080"/>
                  <w:sz w:val="20"/>
                  <w:u w:val="single"/>
                </w:rPr>
                <w:t xml:space="preserve">Condensed Consolidated Statements of Cash Flows for the </w:t>
              </w:r>
            </w:hyperlink>
            <w:hyperlink w:anchor="i7c13a40ab1c742708870c28fb41f1537_22">
              <w:r>
                <w:rPr>
                  <w:rStyle w:val="InternetLink"/>
                  <w:rFonts w:ascii="Times New Roman;serif" w:hAnsi="Times New Roman;serif"/>
                  <w:b w:val="false"/>
                  <w:color w:val="000080"/>
                  <w:sz w:val="20"/>
                  <w:u w:val="single"/>
                </w:rPr>
                <w:t>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28">
              <w:r>
                <w:rPr>
                  <w:rStyle w:val="InternetLink"/>
                  <w:rFonts w:ascii="Times New Roman;serif" w:hAnsi="Times New Roman;serif"/>
                  <w:b w:val="false"/>
                  <w:strike w:val="false"/>
                  <w:dstrike w:val="false"/>
                  <w:color w:val="000000"/>
                  <w:sz w:val="20"/>
                  <w:u w:val="none"/>
                  <w:effect w:val="none"/>
                </w:rPr>
                <w:t>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31">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31">
              <w:r>
                <w:rPr>
                  <w:rStyle w:val="InternetLink"/>
                  <w:rFonts w:ascii="Times New Roman;serif" w:hAnsi="Times New Roman;serif"/>
                  <w:b w:val="false"/>
                  <w:strike w:val="false"/>
                  <w:dstrike w:val="false"/>
                  <w:color w:val="000000"/>
                  <w:sz w:val="20"/>
                  <w:u w:val="none"/>
                  <w:effect w:val="none"/>
                </w:rPr>
                <w:t>10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Lamar Media Corp.</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27">
              <w:r>
                <w:rPr>
                  <w:rStyle w:val="InternetLink"/>
                  <w:rFonts w:ascii="Times New Roman;serif" w:hAnsi="Times New Roman;serif"/>
                  <w:b w:val="false"/>
                  <w:color w:val="0000FF"/>
                  <w:sz w:val="20"/>
                  <w:u w:val="single"/>
                </w:rPr>
                <w:t>Condensed Consolidated Balance Sheets as of June 30,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27">
              <w:r>
                <w:rPr>
                  <w:rStyle w:val="InternetLink"/>
                  <w:rFonts w:ascii="Times New Roman;serif" w:hAnsi="Times New Roman;serif"/>
                  <w:b w:val="false"/>
                  <w:strike w:val="false"/>
                  <w:dstrike w:val="false"/>
                  <w:color w:val="000000"/>
                  <w:sz w:val="20"/>
                  <w:u w:val="none"/>
                  <w:effect w:val="non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c13a40ab1c742708870c28fb41f1537_130">
              <w:r>
                <w:rPr>
                  <w:rStyle w:val="InternetLink"/>
                  <w:rFonts w:ascii="Times New Roman;serif" w:hAnsi="Times New Roman;serif"/>
                  <w:b w:val="false"/>
                  <w:color w:val="000080"/>
                  <w:sz w:val="20"/>
                  <w:u w:val="single"/>
                </w:rPr>
                <w:t xml:space="preserve">Condensed Consolidated Statements of Income and Comprehensive Income for the </w:t>
              </w:r>
            </w:hyperlink>
            <w:hyperlink w:anchor="i7c13a40ab1c742708870c28fb41f1537_22">
              <w:r>
                <w:rPr>
                  <w:rStyle w:val="InternetLink"/>
                  <w:rFonts w:ascii="Times New Roman;serif" w:hAnsi="Times New Roman;serif"/>
                  <w:b w:val="false"/>
                  <w:color w:val="000080"/>
                  <w:sz w:val="20"/>
                  <w:u w:val="single"/>
                </w:rPr>
                <w:t>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30">
              <w:r>
                <w:rPr>
                  <w:rStyle w:val="InternetLink"/>
                  <w:rFonts w:ascii="Times New Roman;serif" w:hAnsi="Times New Roman;serif"/>
                  <w:b w:val="false"/>
                  <w:strike w:val="false"/>
                  <w:dstrike w:val="false"/>
                  <w:color w:val="000000"/>
                  <w:sz w:val="20"/>
                  <w:u w:val="none"/>
                  <w:effect w:val="non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c13a40ab1c742708870c28fb41f1537_133">
              <w:r>
                <w:rPr>
                  <w:rStyle w:val="InternetLink"/>
                  <w:rFonts w:ascii="Times New Roman;serif" w:hAnsi="Times New Roman;serif"/>
                  <w:b w:val="false"/>
                  <w:color w:val="0000FF"/>
                  <w:sz w:val="20"/>
                  <w:u w:val="single"/>
                </w:rPr>
                <w:t>Condensed Consolidated Statements of Stockholder's Equity for the 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33">
              <w:r>
                <w:rPr>
                  <w:rStyle w:val="InternetLink"/>
                  <w:rFonts w:ascii="Times New Roman;serif" w:hAnsi="Times New Roman;serif"/>
                  <w:b w:val="false"/>
                  <w:strike w:val="false"/>
                  <w:dstrike w:val="false"/>
                  <w:color w:val="000000"/>
                  <w:sz w:val="20"/>
                  <w:u w:val="none"/>
                  <w:effect w:val="none"/>
                </w:rPr>
                <w:t>27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36">
              <w:r>
                <w:rPr>
                  <w:rStyle w:val="InternetLink"/>
                  <w:rFonts w:ascii="Times New Roman;serif" w:hAnsi="Times New Roman;serif"/>
                  <w:b w:val="false"/>
                  <w:color w:val="000080"/>
                  <w:sz w:val="20"/>
                  <w:u w:val="single"/>
                </w:rPr>
                <w:t xml:space="preserve">Condensed Consolidated Statements of Cash Flows for the </w:t>
              </w:r>
            </w:hyperlink>
            <w:hyperlink w:anchor="i7c13a40ab1c742708870c28fb41f1537_22">
              <w:r>
                <w:rPr>
                  <w:rStyle w:val="InternetLink"/>
                  <w:rFonts w:ascii="Times New Roman;serif" w:hAnsi="Times New Roman;serif"/>
                  <w:b w:val="false"/>
                  <w:color w:val="000080"/>
                  <w:sz w:val="20"/>
                  <w:u w:val="single"/>
                </w:rPr>
                <w:t>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36">
              <w:r>
                <w:rPr>
                  <w:rStyle w:val="InternetLink"/>
                  <w:rFonts w:ascii="Times New Roman;serif" w:hAnsi="Times New Roman;serif"/>
                  <w:b w:val="false"/>
                  <w:strike w:val="false"/>
                  <w:dstrike w:val="false"/>
                  <w:color w:val="000000"/>
                  <w:sz w:val="20"/>
                  <w:u w:val="none"/>
                  <w:effect w:val="non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39">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39">
              <w:r>
                <w:rPr>
                  <w:rStyle w:val="InternetLink"/>
                  <w:rFonts w:ascii="Times New Roman;serif" w:hAnsi="Times New Roman;serif"/>
                  <w:b w:val="false"/>
                  <w:strike w:val="false"/>
                  <w:dstrike w:val="false"/>
                  <w:color w:val="000000"/>
                  <w:sz w:val="20"/>
                  <w:u w:val="none"/>
                  <w:effect w:val="none"/>
                </w:rPr>
                <w:t>29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6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60">
              <w:r>
                <w:rPr>
                  <w:rStyle w:val="InternetLink"/>
                  <w:rFonts w:ascii="Times New Roman;serif" w:hAnsi="Times New Roman;serif"/>
                  <w:b w:val="false"/>
                  <w:strike w:val="false"/>
                  <w:dstrike w:val="false"/>
                  <w:color w:val="000000"/>
                  <w:sz w:val="20"/>
                  <w:u w:val="none"/>
                  <w:effect w:val="none"/>
                </w:rPr>
                <w:t>33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90">
              <w:r>
                <w:rPr>
                  <w:rStyle w:val="InternetLink"/>
                  <w:rFonts w:ascii="Times New Roman;serif" w:hAnsi="Times New Roman;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90">
              <w:r>
                <w:rPr>
                  <w:rStyle w:val="InternetLink"/>
                  <w:rFonts w:ascii="Times New Roman;serif" w:hAnsi="Times New Roman;serif"/>
                  <w:b w:val="false"/>
                  <w:strike w:val="false"/>
                  <w:dstrike w:val="false"/>
                  <w:color w:val="000000"/>
                  <w:sz w:val="20"/>
                  <w:u w:val="none"/>
                  <w:effect w:val="non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93">
              <w:r>
                <w:rPr>
                  <w:rStyle w:val="InternetLink"/>
                  <w:rFonts w:ascii="Times New Roman;serif" w:hAnsi="Times New Roman;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93">
              <w:r>
                <w:rPr>
                  <w:rStyle w:val="InternetLink"/>
                  <w:rFonts w:ascii="Times New Roman;serif" w:hAnsi="Times New Roman;serif"/>
                  <w:b w:val="false"/>
                  <w:strike w:val="false"/>
                  <w:dstrike w:val="false"/>
                  <w:color w:val="000000"/>
                  <w:sz w:val="20"/>
                  <w:u w:val="none"/>
                  <w:effect w:val="non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96">
              <w:r>
                <w:rPr>
                  <w:rStyle w:val="InternetLink"/>
                  <w:rFonts w:ascii="Times New Roman;serif" w:hAnsi="Times New Roman;serif"/>
                  <w:b w:val="false"/>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96">
              <w:r>
                <w:rPr>
                  <w:rStyle w:val="InternetLink"/>
                  <w:rFonts w:ascii="Times New Roman;serif" w:hAnsi="Times New Roman;serif"/>
                  <w:b w:val="false"/>
                  <w:strike w:val="false"/>
                  <w:dstrike w:val="false"/>
                  <w:color w:val="000000"/>
                  <w:sz w:val="20"/>
                  <w:u w:val="none"/>
                  <w:effect w:val="non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199">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199">
              <w:r>
                <w:rPr>
                  <w:rStyle w:val="InternetLink"/>
                  <w:rFonts w:ascii="Times New Roman;serif" w:hAnsi="Times New Roman;serif"/>
                  <w:b w:val="false"/>
                  <w:strike w:val="false"/>
                  <w:dstrike w:val="false"/>
                  <w:color w:val="000000"/>
                  <w:sz w:val="20"/>
                  <w:u w:val="none"/>
                  <w:effect w:val="non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202">
              <w:r>
                <w:rPr>
                  <w:rStyle w:val="InternetLink"/>
                  <w:rFonts w:ascii="Times New Roman;serif" w:hAnsi="Times New Roman;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202">
              <w:r>
                <w:rPr>
                  <w:rStyle w:val="InternetLink"/>
                  <w:rFonts w:ascii="Times New Roman;serif" w:hAnsi="Times New Roman;serif"/>
                  <w:b w:val="false"/>
                  <w:strike w:val="false"/>
                  <w:dstrike w:val="false"/>
                  <w:color w:val="000000"/>
                  <w:sz w:val="20"/>
                  <w:u w:val="none"/>
                  <w:effect w:val="non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205">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205">
              <w:r>
                <w:rPr>
                  <w:rStyle w:val="InternetLink"/>
                  <w:rFonts w:ascii="Times New Roman;serif" w:hAnsi="Times New Roman;serif"/>
                  <w:b w:val="false"/>
                  <w:strike w:val="false"/>
                  <w:dstrike w:val="false"/>
                  <w:color w:val="000000"/>
                  <w:sz w:val="20"/>
                  <w:u w:val="none"/>
                  <w:effect w:val="non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13a40ab1c742708870c28fb41f1537_208">
              <w:r>
                <w:rPr>
                  <w:rStyle w:val="InternetLink"/>
                  <w:rFonts w:ascii="Times New Roman;serif" w:hAnsi="Times New Roman;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13a40ab1c742708870c28fb41f1537_208">
              <w:r>
                <w:rPr>
                  <w:rStyle w:val="InternetLink"/>
                  <w:rFonts w:ascii="Times New Roman;serif" w:hAnsi="Times New Roman;serif"/>
                  <w:b w:val="false"/>
                  <w:strike w:val="false"/>
                  <w:dstrike w:val="false"/>
                  <w:color w:val="000000"/>
                  <w:sz w:val="20"/>
                  <w:u w:val="none"/>
                  <w:effect w:val="none"/>
                </w:rPr>
                <w:t>55</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1. —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04"/>
        <w:gridCol w:w="2240"/>
        <w:gridCol w:w="2236"/>
        <w:gridCol w:w="196"/>
        <w:gridCol w:w="871"/>
        <w:gridCol w:w="109"/>
        <w:gridCol w:w="109"/>
        <w:gridCol w:w="109"/>
        <w:gridCol w:w="109"/>
        <w:gridCol w:w="196"/>
        <w:gridCol w:w="871"/>
        <w:gridCol w:w="155"/>
      </w:tblGrid>
      <w:tr>
        <w:trPr/>
        <w:tc>
          <w:tcPr>
            <w:tcW w:w="3004"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June 30,</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December 31,</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Receivables, net of allowance for doubtful accounts of $12,775 and $11,856 in 2026 and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459,723 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4,766,872 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(3,149,586)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(3,087,972)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 of use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1,504,170 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lease right of 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2,111,257 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1,113,829 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58,597 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6,931,954 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 net of deferred financing costs of $288 and $396 in 2026 and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232,457 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financing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794,043 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debt, net of deferred financing costs of $25,908 and $29,517 in 2026 and 2025, respectively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3,168,863 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1,254,080 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624,925 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5,996,127 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5,907,175 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Series AA preferred stock, par value $0.001, $63.80 cumulative dividends, 5,720 shares authorized; 5,720 shares issued and outstanding at 2026 and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par value $0.001, 362,500,000 shares authorized; 89,513,827 and 89,249,234 shares issued at 2026 and 2025, respectively; 87,129,599 and 86,910,542 outstanding at 2026 and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common stock, par value $0.001, 37,500,000 shares authorized, 14,420,085 shares issued and outstanding at 2026 and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2,350,546 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Accumulated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(1,105,651)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Cost of shares held in treasury, 2,384,228 and 2,338,692 shares at 2026 and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(230,609)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1,024,779 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6,991,597 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6,931,954 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03"/>
        <w:gridCol w:w="1400"/>
        <w:gridCol w:w="1402"/>
        <w:gridCol w:w="221"/>
        <w:gridCol w:w="830"/>
        <w:gridCol w:w="109"/>
        <w:gridCol w:w="109"/>
        <w:gridCol w:w="109"/>
        <w:gridCol w:w="109"/>
        <w:gridCol w:w="221"/>
        <w:gridCol w:w="830"/>
        <w:gridCol w:w="109"/>
        <w:gridCol w:w="109"/>
        <w:gridCol w:w="109"/>
        <w:gridCol w:w="109"/>
        <w:gridCol w:w="196"/>
        <w:gridCol w:w="871"/>
        <w:gridCol w:w="109"/>
        <w:gridCol w:w="109"/>
        <w:gridCol w:w="109"/>
        <w:gridCol w:w="109"/>
        <w:gridCol w:w="196"/>
        <w:gridCol w:w="871"/>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Statements of Income</w:t>
            </w:r>
          </w:p>
        </w:tc>
        <w:tc>
          <w:tcPr>
            <w:tcW w:w="11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Operating expenses (income):</w:t>
            </w:r>
          </w:p>
        </w:tc>
        <w:tc>
          <w:tcPr>
            <w:tcW w:w="11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 advertising expenses (exclusive of 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366,773 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 (exclusive of depreciation and amortization)</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193,807 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184,307 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 (exclusive of 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166,385 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155,931 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 and investments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408,789 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381,630 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790,730 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695,827 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388,914 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 (earnings) of investee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294,245 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controlling interest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293,110 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and paid on preferred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applicable to common stock</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292,928 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per share of common stock</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used in computing earnings per share:</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101,493,028 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101,433,763 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101,851,428 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101,592,453 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101,653,373 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101,525,836 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102,233,863 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Statements of Comprehensive Income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294,245 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controlling interest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293,806 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both"/>
        <w:rPr/>
      </w:pPr>
      <w:r>
        <w:rPr/>
      </w:r>
    </w:p>
    <w:tbl>
      <w:tblPr>
        <w:tblW w:w="11076" w:type="dxa"/>
        <w:jc w:val="left"/>
        <w:tblInd w:w="0" w:type="dxa"/>
        <w:tblLayout w:type="fixed"/>
        <w:tblCellMar>
          <w:top w:w="28" w:type="dxa"/>
          <w:left w:w="28" w:type="dxa"/>
          <w:bottom w:w="28" w:type="dxa"/>
          <w:right w:w="28" w:type="dxa"/>
        </w:tblCellMar>
      </w:tblPr>
      <w:tblGrid>
        <w:gridCol w:w="623"/>
        <w:gridCol w:w="173"/>
        <w:gridCol w:w="135"/>
        <w:gridCol w:w="181"/>
        <w:gridCol w:w="406"/>
        <w:gridCol w:w="109"/>
        <w:gridCol w:w="109"/>
        <w:gridCol w:w="109"/>
        <w:gridCol w:w="109"/>
        <w:gridCol w:w="181"/>
        <w:gridCol w:w="286"/>
        <w:gridCol w:w="109"/>
        <w:gridCol w:w="109"/>
        <w:gridCol w:w="109"/>
        <w:gridCol w:w="109"/>
        <w:gridCol w:w="181"/>
        <w:gridCol w:w="286"/>
        <w:gridCol w:w="109"/>
        <w:gridCol w:w="109"/>
        <w:gridCol w:w="109"/>
        <w:gridCol w:w="109"/>
        <w:gridCol w:w="181"/>
        <w:gridCol w:w="631"/>
        <w:gridCol w:w="109"/>
        <w:gridCol w:w="109"/>
        <w:gridCol w:w="109"/>
        <w:gridCol w:w="109"/>
        <w:gridCol w:w="181"/>
        <w:gridCol w:w="721"/>
        <w:gridCol w:w="109"/>
        <w:gridCol w:w="109"/>
        <w:gridCol w:w="109"/>
        <w:gridCol w:w="109"/>
        <w:gridCol w:w="193"/>
        <w:gridCol w:w="515"/>
        <w:gridCol w:w="118"/>
        <w:gridCol w:w="109"/>
        <w:gridCol w:w="109"/>
        <w:gridCol w:w="109"/>
        <w:gridCol w:w="181"/>
        <w:gridCol w:w="736"/>
        <w:gridCol w:w="109"/>
        <w:gridCol w:w="109"/>
        <w:gridCol w:w="109"/>
        <w:gridCol w:w="109"/>
        <w:gridCol w:w="183"/>
        <w:gridCol w:w="547"/>
        <w:gridCol w:w="111"/>
        <w:gridCol w:w="109"/>
        <w:gridCol w:w="109"/>
        <w:gridCol w:w="109"/>
        <w:gridCol w:w="181"/>
        <w:gridCol w:w="72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Series AA</w:t>
              <w:br/>
              <w:t>PREF</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A</w:t>
              <w:br/>
              <w:t>CMN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B</w:t>
              <w:br/>
              <w:t>CMN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Add’l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Accumulated Comprehensive</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Accumulated</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2,350,546 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(2,803)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(1,105,651)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1,024,779 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128,525 shares of common stock through stock awards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Exercise of 22,325 shares of stock options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37,900 shares of common stock through employee purchase plan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Purchase of 45,536 shares of treasury stock</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1,260 shares of common stock through redemption of common units of Lamar Advertising Limited Partnership</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capital</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($1.60 per common share) and other distributions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($15.95 per preferred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(1,167,061)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981,694 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6,717 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5,127 shares of common stock through stock awards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Exercise of 40,910 shares of stock options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28,546 shares of common stock through employee purchase plan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164,640 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capital</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($1.60 per common share) and other distributions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($15.95 per preferred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(236,692)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2,391,582 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(1,169,220)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13,358 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995,470 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1076" w:type="dxa"/>
        <w:jc w:val="center"/>
        <w:tblInd w:w="0" w:type="dxa"/>
        <w:tblLayout w:type="fixed"/>
        <w:tblCellMar>
          <w:top w:w="28" w:type="dxa"/>
          <w:left w:w="28" w:type="dxa"/>
          <w:bottom w:w="28" w:type="dxa"/>
          <w:right w:w="28" w:type="dxa"/>
        </w:tblCellMar>
      </w:tblPr>
      <w:tblGrid>
        <w:gridCol w:w="623"/>
        <w:gridCol w:w="173"/>
        <w:gridCol w:w="135"/>
        <w:gridCol w:w="181"/>
        <w:gridCol w:w="406"/>
        <w:gridCol w:w="109"/>
        <w:gridCol w:w="109"/>
        <w:gridCol w:w="109"/>
        <w:gridCol w:w="109"/>
        <w:gridCol w:w="181"/>
        <w:gridCol w:w="286"/>
        <w:gridCol w:w="109"/>
        <w:gridCol w:w="109"/>
        <w:gridCol w:w="109"/>
        <w:gridCol w:w="109"/>
        <w:gridCol w:w="181"/>
        <w:gridCol w:w="286"/>
        <w:gridCol w:w="109"/>
        <w:gridCol w:w="109"/>
        <w:gridCol w:w="109"/>
        <w:gridCol w:w="109"/>
        <w:gridCol w:w="181"/>
        <w:gridCol w:w="631"/>
        <w:gridCol w:w="109"/>
        <w:gridCol w:w="109"/>
        <w:gridCol w:w="109"/>
        <w:gridCol w:w="109"/>
        <w:gridCol w:w="181"/>
        <w:gridCol w:w="721"/>
        <w:gridCol w:w="109"/>
        <w:gridCol w:w="109"/>
        <w:gridCol w:w="109"/>
        <w:gridCol w:w="109"/>
        <w:gridCol w:w="193"/>
        <w:gridCol w:w="515"/>
        <w:gridCol w:w="118"/>
        <w:gridCol w:w="109"/>
        <w:gridCol w:w="109"/>
        <w:gridCol w:w="109"/>
        <w:gridCol w:w="181"/>
        <w:gridCol w:w="736"/>
        <w:gridCol w:w="109"/>
        <w:gridCol w:w="109"/>
        <w:gridCol w:w="109"/>
        <w:gridCol w:w="109"/>
        <w:gridCol w:w="201"/>
        <w:gridCol w:w="518"/>
        <w:gridCol w:w="122"/>
        <w:gridCol w:w="109"/>
        <w:gridCol w:w="109"/>
        <w:gridCol w:w="109"/>
        <w:gridCol w:w="181"/>
        <w:gridCol w:w="72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Series AA</w:t>
              <w:br/>
              <w:t>PREF</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A</w:t>
              <w:br/>
              <w:t>CMN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B</w:t>
              <w:br/>
              <w:t>CMN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Add’l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Accumulated</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Comprehensive</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Accumulated</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(2,954)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(1,036,582)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1,048,020 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168,450 shares of common stock through stock awards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Exercise of 6,950 shares of stock options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42,204 shares of common stock through employee purchase plan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Purchase of 224,572 shares of treasury stock</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(26,368)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139,229 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capital</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($1.55 per common share) and other distributions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($15.95 per preferred share)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2,189,187 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(1,056,985)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1,031,570 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6,463 shares of common stock through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Exercise of 17,150 shares of stock options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28,598 shares of common stock through employee purchase plan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Purchase of 1,223,562 shares of treasury stock</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(131,553)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($1.55 per common share) and other distributions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Dividends ($15.95 per preferred share)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(230,609)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2,197,618 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(1,059,786)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906,883 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7073" w:type="dxa"/>
        <w:jc w:val="left"/>
        <w:tblInd w:w="0" w:type="dxa"/>
        <w:tblLayout w:type="fixed"/>
        <w:tblCellMar>
          <w:top w:w="28" w:type="dxa"/>
          <w:left w:w="28" w:type="dxa"/>
          <w:bottom w:w="28" w:type="dxa"/>
          <w:right w:w="28" w:type="dxa"/>
        </w:tblCellMar>
      </w:tblPr>
      <w:tblGrid>
        <w:gridCol w:w="1772"/>
        <w:gridCol w:w="1554"/>
        <w:gridCol w:w="1563"/>
        <w:gridCol w:w="181"/>
        <w:gridCol w:w="616"/>
        <w:gridCol w:w="109"/>
        <w:gridCol w:w="109"/>
        <w:gridCol w:w="109"/>
        <w:gridCol w:w="109"/>
        <w:gridCol w:w="181"/>
        <w:gridCol w:w="616"/>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Six Months Ended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to cash flows provided by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155,931 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included in 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Gain on disposition of assets and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earnings of investee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Deferred tax expense (benefit)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doubtful accounts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(Increase) decrease in:</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Receivables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(Decrease) increase in:</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Trade accounts payable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flows provided by operating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357,232 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(87,080)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Capital expenditures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disposition of assets and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flows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(33,776)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for purchase of treasury stock</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(157,921)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proceeds from issuance of common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payments on long-term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payments on financing leases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revolving credit facility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received from revolving credit facility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accounts receivable securitization program</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received from accounts receivable securitization program</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Dividends/distributions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(316,314)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flows used in financing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(317,469)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 in cash and cash equivalents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increase in cash and cash equivalents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beginning of period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49,461 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disclosures of cash flow information:</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76,035 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foreign, state and federal income taxes</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14,666 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 Significant Accounting Policies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2025 Combined Form 10-K. Subsequent events, if any, are evaluated through the date on which the financial statements are issued.</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direct wholly owned subsidiary Lamar Media Corp. ("Lamar Media") is party to the Amended and Restated Limited Partnership Agreement of Lamar Advertising Limited Partnership ('Lamar LP") as the initial limited partner, along with its wholly owned subsidiary, Lamar Advertising General Partner, LLC, as the general partner of Lamar LP (the "General Partner") and certain other limited partners. Lamar Media formed Lamar LP and contributed all of its assets to Lamar LP in connection with the Company's reorganization as a specific type of REIT known as an Umbrella Partnership Real Estate Investment Trust ("UPREIT") in July 2022.</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For each share of common stock the Company issues, Lamar LP issues a corresponding Common Unit to Lamar Media in exchange for the contributions of the proceeds from the stock issuance. At June 30, 2026, Lamar Media, together with the General Partner, owned 98.5% of the Common Units of Lamar LP. The remaining 1.5% of the Common Units are owned by unaffiliated investors and certain executives of the Company.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(2) Revenues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Advertising revenues:</w:t>
      </w:r>
      <w:r>
        <w:rPr>
          <w:color w:val="000000"/>
        </w:rPr>
        <w:t> </w:t>
      </w:r>
      <w:r>
        <w:rPr>
          <w:rFonts w:ascii="Times New Roman;serif" w:hAnsi="Times New Roman;serif"/>
          <w:b w:val="false"/>
          <w:color w:val="000000"/>
          <w:sz w:val="20"/>
        </w:rPr>
        <w:t xml:space="preserve">The majority of our revenues are derived from contracts for advertising space on billboard, logo and transit displays. Contracts that do not meet the criteria of a lease under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are accounted for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Other revenues: </w:t>
      </w:r>
      <w:r>
        <w:rPr>
          <w:rFonts w:ascii="Times New Roman;serif" w:hAnsi="Times New Roman;serif"/>
          <w:b w:val="false"/>
          <w:color w:val="000000"/>
          <w:sz w:val="20"/>
        </w:rPr>
        <w:t>Our other component of revenue primarily consists of production services which includes creating and printing the advertising copy. Revenue for production contracts is recognized under ASC 606. Contract revenues for production services are recognized upon satisfaction of the contract which is typically less than one week.</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Arrangements with multiple performance obligations:</w:t>
      </w:r>
      <w:r>
        <w:rPr>
          <w:color w:val="000000"/>
        </w:rPr>
        <w:t> </w:t>
      </w:r>
      <w:r>
        <w:rPr>
          <w:rFonts w:ascii="Times New Roman;serif" w:hAnsi="Times New Roman;serif"/>
          <w:b w:val="false"/>
          <w:color w:val="000000"/>
          <w:sz w:val="20"/>
        </w:rPr>
        <w:t>Our contracts with customers may include multiple performance obligations. For such arrangements, we allocate revenue to each performance obligation based on the relative standalone selling price. We determine standalone selling prices based on the prices charged to customers using expected cost plus margin.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Deferred revenues:</w:t>
      </w:r>
      <w:r>
        <w:rPr>
          <w:color w:val="000000"/>
        </w:rPr>
        <w:t> </w:t>
      </w:r>
      <w:r>
        <w:rPr>
          <w:rFonts w:ascii="Times New Roman;serif" w:hAnsi="Times New Roman;serif"/>
          <w:b w:val="false"/>
          <w:color w:val="000000"/>
          <w:sz w:val="20"/>
        </w:rPr>
        <w:t>We record deferred revenues when cash payments are received or due in advance of our performance obligation. The term between invoicing and when a payment is due is not significant. For certain services we require payment before the products or services are delivered to the customer. The balance of deferred income is considered short-term and will be recognized in revenue within twelve months.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Practical expedients and exemptions:</w:t>
      </w:r>
      <w:r>
        <w:rPr>
          <w:color w:val="000000"/>
        </w:rPr>
        <w:t> </w:t>
      </w:r>
      <w:r>
        <w:rPr>
          <w:rFonts w:ascii="Times New Roman;serif" w:hAnsi="Times New Roman;serif"/>
          <w:b w:val="false"/>
          <w:color w:val="000000"/>
          <w:sz w:val="20"/>
        </w:rPr>
        <w:t>The Company is utilizing the following practical expedients and exemptions from ASC 606. We generally 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disaggregated revenue by source for the three and six months ended June 30, 2026 and 2025.</w:t>
      </w:r>
    </w:p>
    <w:p>
      <w:pPr>
        <w:pStyle w:val="TextBody"/>
        <w:bidi w:val="0"/>
        <w:spacing w:before="0" w:after="0"/>
        <w:ind w:left="0" w:right="0" w:firstLine="630"/>
        <w:jc w:val="both"/>
        <w:rPr/>
      </w:pPr>
      <w:r>
        <w:rPr/>
      </w:r>
    </w:p>
    <w:tbl>
      <w:tblPr>
        <w:tblW w:w="7769" w:type="dxa"/>
        <w:jc w:val="left"/>
        <w:tblInd w:w="0" w:type="dxa"/>
        <w:tblLayout w:type="fixed"/>
        <w:tblCellMar>
          <w:top w:w="28" w:type="dxa"/>
          <w:left w:w="28" w:type="dxa"/>
          <w:bottom w:w="28" w:type="dxa"/>
          <w:right w:w="28" w:type="dxa"/>
        </w:tblCellMar>
      </w:tblPr>
      <w:tblGrid>
        <w:gridCol w:w="673"/>
        <w:gridCol w:w="592"/>
        <w:gridCol w:w="59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advertising</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552,323 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1,020,947 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957,214 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Logo 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 advertising</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82,638 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(3) Leases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had operating lease costs of $85,303 and $82,812, respectively, and variable lease costs of $20,362 and $17,278, respectively. During the six months ended June 30, 2026 and 2025, we had operating lease costs of $171,367 and $164,943, respectively, and variable lease costs of $35,265 and $31,210, respectively. These operating lease costs are recorded in direct advertising expenses (exclusive of depreciation and amortization). For the three months ended June 30, 2026 and 2025, we recorded a gain of $189 and $62, respectively, and for the six months ended June 30, 2026 and 2025, we recorded a gain of $519 and $41, respectively, in gain on disposition of assets related to the amendment and termination of lease agreements. Cash payments of $200,867 and $191,085 were made reducing our operating lease liabilities for the six months ended June 30, 2026 and 2025, respectively, and are included in cash flows provided by operating activities in the Condensed Consolidated Statements of Cash Flows.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elected the short-term lease exemption which applies to certain of our vehicle agreements. This election allows the Company to not recognize lease right of use assets ("ROU assets") or lease liabilities for agreements with a term of twelve months or less. We recorded $3,400 and $2,525 in direct advertising expenses (exclusive of depreciation and amortization) for these agreements during the three months ended June 30, 2026 and 2025, respectively. We recorded $6,203 and $5,159 in direct advertising expenses (exclusive of depreciation and amortization) for these agreements during the six months ended June 30, 2026 and 2025, respectively.</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operating leases have a weighted-average remaining lease term of 13.0 years. The weighted-average discount rate of our operating leases is 5.3%. Also, during the six months ended June 30, 2026 and 2025, we obtained $20,947 and $31,588, respectively, of leased assets in exchange for new operating lease liabilities, which includes liabilities obtained through acquisitions.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maturities of our operating lease liabilities as of June 30, 2026:</w:t>
      </w:r>
    </w:p>
    <w:p>
      <w:pPr>
        <w:pStyle w:val="TextBody"/>
        <w:bidi w:val="0"/>
        <w:spacing w:before="0" w:after="0"/>
        <w:ind w:left="0" w:right="0" w:firstLine="630"/>
        <w:jc w:val="both"/>
        <w:rPr/>
      </w:pPr>
      <w:r>
        <w:rPr/>
      </w:r>
    </w:p>
    <w:tbl>
      <w:tblPr>
        <w:tblW w:w="5150" w:type="dxa"/>
        <w:jc w:val="left"/>
        <w:tblInd w:w="0" w:type="dxa"/>
        <w:tblLayout w:type="fixed"/>
        <w:tblCellMar>
          <w:top w:w="28" w:type="dxa"/>
          <w:left w:w="28" w:type="dxa"/>
          <w:bottom w:w="28" w:type="dxa"/>
          <w:right w:w="28" w:type="dxa"/>
        </w:tblCellMar>
      </w:tblPr>
      <w:tblGrid>
        <w:gridCol w:w="1377"/>
        <w:gridCol w:w="1207"/>
        <w:gridCol w:w="1225"/>
        <w:gridCol w:w="211"/>
        <w:gridCol w:w="97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1,183,309 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(633,266)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$713 of amortization expense for each period and $97 and $107, respectively, of interest expense relating to our financing lease liabilities were recorded in depreciation and amortization and interest expense, respectively, in the Condensed Consolidated Statements of Income and Comprehensive Income. During the six months ended June 30, 2026 and 2025, $1,426 of amortization expense for both periods, and $196 and $217, respectively, of interest expense relating to our financing lease liabilities were recorded in depreciation and amortization and interest expense, respectively, in the Condensed Consolidated Statements of Income and Comprehensive Income. Cash payments of $666 were made reducing our financing lease liabilities for each of the six months ended June 30, 2026 and 2025, and are included in cash flows used in financing activities in the Condensed Consolidated Statements of Cash Flows. Our financing leases have a weighted-average remaining lease term of 1.4 years and a weighted-average discount rate of 3.1%.</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 xml:space="preserve">Due to our election not to reassess conclusions about lease identification as part of the adoption of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our transit agreements were accounted for as leases on January 1, 2019. As we enter into new or renew current transit agreements, those agreements do not meet the criteria of a lease under ASC 842, therefore, they are no longer accounted for as a lease. For the three months ended June 30, 2026 and 2025, non-lease variable transit costs were $22,748 and $25,182, respectively. For the six months ended June 30, 2026 and 2025, non-lease variable transit costs were $43,085 and $48,630, respectively. </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completed 28 acquisitions of outdoor advertising assets for a total cash purchase price of $101,935. Each of these asset acquisitions was accounted for under the acquisition method of accounting, and, accordingly, the accompanying condensed consolidated financial statements include the results of operations of each acquired entity from the date of acquisition. The acquisition purchase price has been allocated to assets and liabilities assumed based on preliminary fair market value estimates at the dates of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allocation of the purchase price in the above transactions.</w:t>
      </w:r>
    </w:p>
    <w:p>
      <w:pPr>
        <w:pStyle w:val="TextBody"/>
        <w:bidi w:val="0"/>
        <w:spacing w:before="0" w:after="0"/>
        <w:ind w:left="0" w:right="0" w:firstLine="720"/>
        <w:jc w:val="both"/>
        <w:rPr/>
      </w:pPr>
      <w:r>
        <w:rPr/>
      </w:r>
    </w:p>
    <w:tbl>
      <w:tblPr>
        <w:tblW w:w="4041" w:type="dxa"/>
        <w:jc w:val="left"/>
        <w:tblInd w:w="0" w:type="dxa"/>
        <w:tblLayout w:type="fixed"/>
        <w:tblCellMar>
          <w:top w:w="28" w:type="dxa"/>
          <w:left w:w="28" w:type="dxa"/>
          <w:bottom w:w="28" w:type="dxa"/>
          <w:right w:w="28" w:type="dxa"/>
        </w:tblCellMar>
      </w:tblPr>
      <w:tblGrid>
        <w:gridCol w:w="1032"/>
        <w:gridCol w:w="906"/>
        <w:gridCol w:w="912"/>
        <w:gridCol w:w="211"/>
        <w:gridCol w:w="82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Site 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Total acquired intangible assets for the six months ended June 30, 2026 were $79,999. The acquired intangible assets have a weighted average useful life of approximately 14.2 years. The intangible assets include customer lists and contracts of $7,979 (7 year weighted average useful life) and site locations of $71,269 (15 year weighted average useful life). The aggregate amortization expense related to the 2026 acquisitions for the six months ended June 30, 2026 was $2,163.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Equity Incentive Plan.</w:t>
      </w:r>
      <w:r>
        <w:rPr>
          <w:color w:val="000000"/>
        </w:rPr>
        <w:t xml:space="preserve"> </w:t>
      </w:r>
      <w:r>
        <w:rPr>
          <w:rFonts w:ascii="Times New Roman;serif" w:hAnsi="Times New Roman;serif"/>
          <w:b w:val="false"/>
          <w:color w:val="000000"/>
          <w:sz w:val="20"/>
        </w:rPr>
        <w:t>Lamar's 1996 Equity Incentive Plan, as amended, (the “1996 Plan”) has reserved 19.5 million shares of Class A common stock for issuance to directors and employees, including shares underlying granted options and common stock reserved for issuance under its performance-based incentive and LTIP Unit program. Options granted under the 1996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use a Black-Scholes-Merton option pricing model to estimate the fair value of share-based awards. The Black-Scholes-Merton option pricing model incorporates various and highly subjective assumptions, including expected term and expected volatility. The Company had 54,000 granted options of its Class A common stock during the six months ended June 30, 2026. At June 30, 2026, a total of 2,887,227 shares were available for future grant.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Effective June 1, 2026, the number of shares of Class A common stock available under the Incentive Plan was increased by two million shares pursuant to an amendment to the Incentive Plan adopted by our board of directors and approved by our stockholders at the Company's 2026 Annual Meeting of Stockholders.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Stock Purchase Plan.</w:t>
      </w:r>
      <w:r>
        <w:rPr>
          <w:color w:val="000000"/>
        </w:rPr>
        <w:t xml:space="preserve"> </w:t>
      </w:r>
      <w:r>
        <w:rPr>
          <w:rFonts w:ascii="Times New Roman;serif" w:hAnsi="Times New Roman;serif"/>
          <w:b w:val="false"/>
          <w:color w:val="000000"/>
          <w:sz w:val="20"/>
        </w:rPr>
        <w:t>On May 30, 2019, our shareholders approved Lamar Advertising’s 2019 Employee Stock Purchase Plan (the “2019 ESPP”). The number of shares of Class A common stock available for issuance under the 2019 ESPP was automatically increased by 86,910 shares on January 1, 2026 pursuant to the automatic increase provisions of the 2019 ESPP.</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2019 ESPP share activity for the six months ended June 30, 2026:</w:t>
      </w:r>
    </w:p>
    <w:tbl>
      <w:tblPr>
        <w:tblW w:w="5019" w:type="dxa"/>
        <w:jc w:val="left"/>
        <w:tblInd w:w="0" w:type="dxa"/>
        <w:tblLayout w:type="fixed"/>
        <w:tblCellMar>
          <w:top w:w="28" w:type="dxa"/>
          <w:left w:w="28" w:type="dxa"/>
          <w:bottom w:w="28" w:type="dxa"/>
          <w:right w:w="28" w:type="dxa"/>
        </w:tblCellMar>
      </w:tblPr>
      <w:tblGrid>
        <w:gridCol w:w="1424"/>
        <w:gridCol w:w="1248"/>
        <w:gridCol w:w="1258"/>
        <w:gridCol w:w="413"/>
        <w:gridCol w:w="413"/>
        <w:gridCol w:w="263"/>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Available for future purchases, January 1, 2026</w:t>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166,439 </w:t>
            </w:r>
          </w:p>
        </w:tc>
        <w:tc>
          <w:tcPr>
            <w:tcW w:w="2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reserved under 2019 ESPP</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86,910 </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(66,446)</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Available for future purchases, June 30, 2026</w:t>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186,903 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Stock compensation. </w:t>
      </w:r>
      <w:r>
        <w:rPr>
          <w:rFonts w:ascii="Times New Roman;serif" w:hAnsi="Times New Roman;serif"/>
          <w:b w:val="false"/>
          <w:color w:val="000000"/>
          <w:sz w:val="20"/>
        </w:rPr>
        <w:t xml:space="preserve">Unrestricted shares of our Class A common stock may be awarded to key officers, employees and directors under the Incentive Plan. The number of shares to be issued, if any, is generally dependent on the level of achievement of performance measures for key officers and employees, as determined by the Company’s Compensation Committee based on our 2026 results. Any shares issued based on the achievement of performance goals will be issued in the first quarter of 2027.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will also be issued in the first quarter of 2027. For the three months ended June 30, 2026 and 2025, the Company recorded $6,805 and $3,055, respectively, as stock-based compensation expense. For the six months ended June 30, 2026 and 2025, the Company recorded $13,258 and $9,573, respectively, as stock-based compensation expense. </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pPr>
      <w:r>
        <w:rPr>
          <w:rFonts w:ascii="Times New Roman;serif" w:hAnsi="Times New Roman;serif"/>
          <w:b w:val="false"/>
          <w:i/>
          <w:color w:val="000000"/>
          <w:sz w:val="20"/>
        </w:rPr>
        <w:t>LTIP Units</w:t>
      </w:r>
      <w:r>
        <w:rPr>
          <w:rFonts w:ascii="Times New Roman;serif" w:hAnsi="Times New Roman;serif"/>
          <w:b w:val="false"/>
          <w:color w:val="000000"/>
          <w:sz w:val="20"/>
        </w:rPr>
        <w:t>. In addition to stock compensation, the Company may issue LTIP Units of Lamar LP, a subsidiary of the Company and Lamar Media, to 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Lamar LP. The LTIP Units convert into Common Units of Lamar LP upon the occurrence of certain events. Common Units are redeemable by the holder for a cash amount per Common Unit equal to the market value of an equivalent number of shares of common stock of the Company. At the Company's option, in lieu of cash, the redemption obligation may be satisfied by issuing shares of the Company's Class A common stock in exchange for Common Units tendered for redemption. During the six months ended June 30, 2026, 1,260 Common Units (which had originally been issued as LTIP Units) were redeemed for the Company's Class A common stock. As of June 30, 2026, Lamar LP has a total of 459,611 LTIP Units issued and outstanding to the Company’s executive officers, of which 315,611 LTIP units have vested. For the three months ended June 30, 2026 and 2025, the Company recorded $5,073 and $2,201, respectively, as stock-based compensation expense related to these LTIP Units. For the six months ended June 30, 2026 and 2025, the Company recorded $8,094 and $4,622, respectively, as stock-based compensation expense related to these LTIP Units.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Restricted stock compensation. </w:t>
      </w:r>
      <w:r>
        <w:rPr>
          <w:rFonts w:ascii="Times New Roman;serif" w:hAnsi="Times New Roman;serif"/>
          <w:b w:val="false"/>
          <w:color w:val="000000"/>
          <w:sz w:val="20"/>
        </w:rPr>
        <w:t>Annually, each non-employee director automatically receives a restricted stock award of our Class A common stock upon election or re-election. The awards vest 50% on the grant date and 50% on the last day of the directors' one year term. For the three months ended June 30, 2026 and 2025, the Company recorded $543 and $471, respectively, in stock-based compensation expense related to these awards. For the six months ended June 30, 2026 and 2025, the Company recorded $644 and $537, respectively, in stock-based compensation expense related to these awards.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(6) Depreciation and Amortization</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pStyle w:val="TextBody"/>
        <w:bidi w:val="0"/>
        <w:spacing w:before="0" w:after="0"/>
        <w:ind w:left="0" w:right="0" w:firstLine="630"/>
        <w:jc w:val="both"/>
        <w:rPr/>
      </w:pPr>
      <w:r>
        <w:rPr/>
      </w:r>
    </w:p>
    <w:tbl>
      <w:tblPr>
        <w:tblW w:w="8489" w:type="dxa"/>
        <w:jc w:val="left"/>
        <w:tblInd w:w="0" w:type="dxa"/>
        <w:tblLayout w:type="fixed"/>
        <w:tblCellMar>
          <w:top w:w="28" w:type="dxa"/>
          <w:left w:w="28" w:type="dxa"/>
          <w:bottom w:w="28" w:type="dxa"/>
          <w:right w:w="28" w:type="dxa"/>
        </w:tblCellMar>
      </w:tblPr>
      <w:tblGrid>
        <w:gridCol w:w="1118"/>
        <w:gridCol w:w="984"/>
        <w:gridCol w:w="98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advertising expenses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72,028 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151,176 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143,811 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(7) Goodwill and Other Intangible Assets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intangible assets at June 30, 2026 and December 31, 2025:</w:t>
      </w:r>
    </w:p>
    <w:p>
      <w:pPr>
        <w:pStyle w:val="TextBody"/>
        <w:bidi w:val="0"/>
        <w:spacing w:before="0" w:after="0"/>
        <w:jc w:val="both"/>
        <w:rPr/>
      </w:pPr>
      <w:r>
        <w:rPr/>
      </w:r>
    </w:p>
    <w:tbl>
      <w:tblPr>
        <w:tblW w:w="10138" w:type="dxa"/>
        <w:jc w:val="left"/>
        <w:tblInd w:w="0" w:type="dxa"/>
        <w:tblLayout w:type="fixed"/>
        <w:tblCellMar>
          <w:top w:w="28" w:type="dxa"/>
          <w:left w:w="28" w:type="dxa"/>
          <w:bottom w:w="28" w:type="dxa"/>
          <w:right w:w="28" w:type="dxa"/>
        </w:tblCellMar>
      </w:tblPr>
      <w:tblGrid>
        <w:gridCol w:w="1006"/>
        <w:gridCol w:w="882"/>
        <w:gridCol w:w="887"/>
        <w:gridCol w:w="275"/>
        <w:gridCol w:w="275"/>
        <w:gridCol w:w="276"/>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8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contracts</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689,291 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67,318 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Site locations</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2,118,365 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4,111,754 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2,992,158 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4,032,337 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2,918,508 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Unamortizable intangible assets:</w:t>
            </w:r>
          </w:p>
        </w:tc>
        <w:tc>
          <w:tcPr>
            <w:tcW w:w="8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(8) Asset Retirement Obligations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asset retirement obligations include the costs associated with the removal of its structures, resurfacing of the land and retirement costs, if applicable, as related to the Company’s outdoor advertising portfolio. The following table reflects information related to our asset retirement obligations:</w:t>
      </w:r>
    </w:p>
    <w:p>
      <w:pPr>
        <w:pStyle w:val="TextBody"/>
        <w:bidi w:val="0"/>
        <w:spacing w:before="0" w:after="0"/>
        <w:ind w:left="0" w:right="0" w:firstLine="630"/>
        <w:jc w:val="both"/>
        <w:rPr/>
      </w:pPr>
      <w:r>
        <w:rPr/>
      </w:r>
    </w:p>
    <w:tbl>
      <w:tblPr>
        <w:tblW w:w="4610" w:type="dxa"/>
        <w:jc w:val="left"/>
        <w:tblInd w:w="0" w:type="dxa"/>
        <w:tblLayout w:type="fixed"/>
        <w:tblCellMar>
          <w:top w:w="28" w:type="dxa"/>
          <w:left w:w="28" w:type="dxa"/>
          <w:bottom w:w="28" w:type="dxa"/>
          <w:right w:w="28" w:type="dxa"/>
        </w:tblCellMar>
      </w:tblPr>
      <w:tblGrid>
        <w:gridCol w:w="1239"/>
        <w:gridCol w:w="1088"/>
        <w:gridCol w:w="1092"/>
        <w:gridCol w:w="211"/>
        <w:gridCol w:w="82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(9) Distribution Restrictions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Media’s ability to make distributions to Lamar Advertising is restricted under both the terms of the indentures relating to Lamar Media’s outstanding notes and by the terms of its senior credit facility. As of June 30, 2026 and December 31, 2025, Lamar Media was permitted under the terms of its outstanding notes to make transfers to Lamar Advertising in the form of cash dividends, loans or advances in amounts up to $4,802,048 and $4,719,610, respectively.</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Lamar Media’s senior credit facility allows it to make transfers to Lamar Advertising in any taxable year up to the amount of Lamar Advertising’s taxable income (without any deduction for dividends paid). In addition, as of June 30, 2026,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2026 and December 31, 2025, the total debt ratio was less than 7.0 to 1 and Lamar Media’s secured debt ratio was less than 4.5 to 1, and the available cumulative credit was $3,552,528 and $3,470,089, respectively.</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calculation of basic earnings per share excludes any dilutive effect of stock options, while diluted earnings per share includes the dilutive effect of stock options. No effect is shown for securities that have an anti-dilutive effect.</w:t>
      </w:r>
    </w:p>
    <w:p>
      <w:pPr>
        <w:pStyle w:val="TextBody"/>
        <w:bidi w:val="0"/>
        <w:spacing w:before="0" w:after="0"/>
        <w:ind w:left="0" w:right="0" w:firstLine="630"/>
        <w:jc w:val="both"/>
        <w:rPr/>
      </w:pPr>
      <w:r>
        <w:rPr/>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(11) Long-Term Debt</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Long-term debt consists of the following at June 30, 2026 and December 31, 2025: </w:t>
      </w:r>
    </w:p>
    <w:p>
      <w:pPr>
        <w:pStyle w:val="TextBody"/>
        <w:bidi w:val="0"/>
        <w:spacing w:before="0" w:after="0"/>
        <w:ind w:left="0" w:right="0" w:firstLine="630"/>
        <w:jc w:val="both"/>
        <w:rPr/>
      </w:pPr>
      <w:r>
        <w:rPr/>
      </w:r>
    </w:p>
    <w:tbl>
      <w:tblPr>
        <w:tblW w:w="8226" w:type="dxa"/>
        <w:jc w:val="left"/>
        <w:tblInd w:w="0" w:type="dxa"/>
        <w:tblLayout w:type="fixed"/>
        <w:tblCellMar>
          <w:top w:w="28" w:type="dxa"/>
          <w:left w:w="28" w:type="dxa"/>
          <w:bottom w:w="28" w:type="dxa"/>
          <w:right w:w="28" w:type="dxa"/>
        </w:tblCellMar>
      </w:tblPr>
      <w:tblGrid>
        <w:gridCol w:w="1363"/>
        <w:gridCol w:w="1199"/>
        <w:gridCol w:w="1203"/>
        <w:gridCol w:w="211"/>
        <w:gridCol w:w="976"/>
        <w:gridCol w:w="109"/>
        <w:gridCol w:w="109"/>
        <w:gridCol w:w="109"/>
        <w:gridCol w:w="109"/>
        <w:gridCol w:w="237"/>
        <w:gridCol w:w="811"/>
        <w:gridCol w:w="122"/>
        <w:gridCol w:w="109"/>
        <w:gridCol w:w="109"/>
        <w:gridCol w:w="109"/>
        <w:gridCol w:w="211"/>
        <w:gridCol w:w="97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Deferred</w:t>
              <w:br/>
              <w:t>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Debt, net of</w:t>
              <w:br/>
              <w:t>deferred</w:t>
              <w:br/>
              <w:t>financing costs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Program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3/4%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5/8%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546,165 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 7/8%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397,960 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 3/8%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394,151 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 with various rates and terms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26" w:type="dxa"/>
        <w:jc w:val="left"/>
        <w:tblInd w:w="0" w:type="dxa"/>
        <w:tblLayout w:type="fixed"/>
        <w:tblCellMar>
          <w:top w:w="28" w:type="dxa"/>
          <w:left w:w="28" w:type="dxa"/>
          <w:bottom w:w="28" w:type="dxa"/>
          <w:right w:w="28" w:type="dxa"/>
        </w:tblCellMar>
      </w:tblPr>
      <w:tblGrid>
        <w:gridCol w:w="1363"/>
        <w:gridCol w:w="1199"/>
        <w:gridCol w:w="1203"/>
        <w:gridCol w:w="211"/>
        <w:gridCol w:w="976"/>
        <w:gridCol w:w="109"/>
        <w:gridCol w:w="109"/>
        <w:gridCol w:w="109"/>
        <w:gridCol w:w="109"/>
        <w:gridCol w:w="237"/>
        <w:gridCol w:w="811"/>
        <w:gridCol w:w="122"/>
        <w:gridCol w:w="109"/>
        <w:gridCol w:w="109"/>
        <w:gridCol w:w="109"/>
        <w:gridCol w:w="211"/>
        <w:gridCol w:w="97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Deferred</w:t>
              <w:br/>
              <w:t>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Debt, net of</w:t>
              <w:br/>
              <w:t>deferred</w:t>
              <w:br/>
              <w:t>financing costs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Program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3/4%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597,364 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5/8%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545,680 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 7/8%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397,595 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 3/8%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393,833 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 with various rates and terms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3,418,907 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Credit Facility</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as established by the Fourth Amended and Restated Credit Agreement (as amended by the Amendments, as defined below) (the “senior credit facility”), consists of (i) a $750,000 senior secured revolving credit facility which will mature on July 31, 2028, subject to certain conditions (see description of Amendment No. 4 below) (the “revolving credit facility”), (ii) a $700,000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of 4.50 to 1.00, as well as certain other conditions including lender approval.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revolving credit facility.</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Lamar Media borrowed all $350,000 in Term A loans on July 29, 2022 and proceeds from the Term A loans were used to repay outstanding balances on the revolving credit facility and a portion of the outstanding balance on the Accounts Receivable Securitization Program. The Term A loans were subsequently repaid in full on July 31, 2024.</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forth in the Fourth Amended and Restated Credit Agreement. All other material terms and conditions of the Fourth Amended and Restated Credit Agreement were unchanged by Amendment No. 3.</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$750,000 revolving credit facility such that the revolving credit facility matures July 31, 2028; provided that, if on the date (a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Amendment No. 4 also established a $75,000 swingline as a sublimit of the revolving credit facility, which allows Lamar Media to borrow revolving loans on a same-day basis, in an aggregate outstanding principal amount of up to $75,000.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23, 2025, Lamar Media entered into Amendment No. 5 (the “Amendment No. 5”, and together with the Amendment, Amendment No. 2, Amendment No. 3 and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$700,000 in Term B loans on September 23, 2025. Proceeds from the Term B loans were used to repay $600,000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$90,000 in borrowings outstanding under the revolving credit facility. Availability under the revolving credit facility is reduced by the amount of any letters of credit outstanding. Lamar Media had $7,786 in letters of credit outstanding as of June 30, 2026 resulting in $652,214 of availability under its revolving credit facility. Revolving credit loans may be requested under the revolving credit facility at any time prior to its maturity.</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terms of Lamar Media’s senior credit facility and the indentures relating to Lamar Media’s outstanding notes restrict, among other things, the ability of Lamar Advertising and Lamar Media to:</w:t>
      </w:r>
    </w:p>
    <w:p>
      <w:pPr>
        <w:pStyle w:val="TextBody"/>
        <w:bidi w:val="0"/>
        <w:spacing w:before="0" w:after="0"/>
        <w:ind w:left="0" w:right="0" w:firstLine="630"/>
        <w:jc w:val="both"/>
        <w:rPr/>
      </w:pPr>
      <w:r>
        <w:rPr/>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dispose of assets;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incur or repay debt;</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create liens;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make investments; and</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pay dividends.</w:t>
      </w:r>
    </w:p>
    <w:p>
      <w:pPr>
        <w:pStyle w:val="TextBody"/>
        <w:bidi w:val="0"/>
        <w:spacing w:before="0" w:after="0"/>
        <w:ind w:left="0" w:right="0" w:hanging="27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Advertising and Lamar Media were in compliance with all of the terms of their indentures and the senior credit facility provisions during the periods presented.</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Securitization Program</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December 18, 2018, Lamar Media entered into a $175,000 Receivables Financing Agreement (the “Receivables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$250,000 outstanding aggregate borrowings under the Accounts Receivable Securitization Program. Lamar Media had no additional availability for borrowing under the Accounts Receivable Securitization Program as of June 30, 2026. The commitment fees based on the amount of unused commitments under the Accounts Receivable Securitization Program were immaterial during the six months ended June 30, 2026.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4% Senior Notes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3 3/4% Senior Notes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4 7/8% Senior Notes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3 5/8% Senior Notes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5 3/8% Senior Notes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September 25, 2025, Lamar Media completed an institutional private placement of $400,000 aggregate principal amount of 5 3/8% Senior Notes due 2033 (the “5 3/8% Notes”). The institutional private placement on September 25, 2025 resulted in net proceeds to Lamar Media of approximately $393,500. Lamar Media used the proceeds from this offering, together with borrowings on the Term B Loans, to pay off the balance outstanding on the revolving credit facility as well as pay down a portion of the balance on the Accounts Receivable Securitization Program.</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 may redeem up to 40% of the aggregate principal amount of 5 3/8% Notes, at any time and from time to time, at a price equal to 105.375% of the aggregate principal amount redeemed, plus accrued and unpaid interest thereon, with the net cash proceeds of certain public equity offerings completed before November 1, 2028, provided that following the redemption, at least 60% of the 5 3/8% Notes that were originally issued remain outstanding and any such redemption occurs within 120 days following the closing of any such public equity offering. At any time prior to November 1, 2028, Lamar Media may redeem some or all of the 5 3/8% Notes at a price equal to 100% of the aggregate principal amount, plus accrued and unpaid interest thereon and a make-whole premium. On or after November 1, 2028, Lamar Media may redeem the 5 3/8% Notes, in whole or in part, in cash at redemption prices specified in the 5 3/8% Notes. In addition, if the Company or Lamar Media undergoes a change of control and a rating of the 5 3/8% Notes is reduced, Lamar Media may be required to make an offer to purchase each holder's 5 3/8% Notes at a price equal to 101% of the principal amount of the 5 3/8% Notes, plus accrued and unpaid interest, up to but not including the repurchase date.</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Exchange Offers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 The Company will not complete a subsequent exchange offer with respect to the 5 3/8% Senior Notes issued in September 2025.</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Debt Repurchase Program</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has authorized Lamar Media to repurchase up to $250,000 in outstanding senior or senior subordinated notes and other indebtedness outstanding from time to time under its Fourth Amended and Restated Credit Agreement. On February 26, 2026, the Board of Directors authorized the extension of the repurchase program through September 30, 2027. There were no repurchases under the program as of June 30, 2026.</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(12) Fair Value of Financial Instruments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$3,457,251, which does not exceed the carrying amount of $3,540,741 as of June 30, 2026. The majority of the fair value is determined using observed prices of publicly traded debt (level 1 in the fair value hierarchy) and the remaining is valued based on quoted prices for similar debt (level 2 in the fair value hierarchy).</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(13)</w:t>
      </w:r>
      <w:r>
        <w:rPr>
          <w:color w:val="000000"/>
        </w:rPr>
        <w:t xml:space="preserve"> </w:t>
      </w:r>
      <w:r>
        <w:rPr>
          <w:rFonts w:ascii="Times New Roman;serif" w:hAnsi="Times New Roman;serif"/>
          <w:b/>
          <w:color w:val="000000"/>
          <w:sz w:val="20"/>
        </w:rPr>
        <w:t>Investments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has received $123,859 in total cash consideration for the sale of its 20% equity interest in Vistar. Up to an additional $6,339 of consideration for the Sale may be received by the Company in the future, upon release of the remaining purchase price for the Sale from escrow in connection with satisfaction of certain post-closing conditions. During the six months ended June 30, 2026 and 2025, the Company recognized a gain of $7,978 and $67,833 related to the transaction, respectively. An income tax expense of $1,969 and $13,191 was recorded during the six months ended June 30, 2026 and 2025, respectively, as a result of the Sale.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(14) New Accounting Pronouncements</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xml:space="preserve">, which requires disclosures about specific types of expenses included in expense captions presented on the face of the Consolidated Statements of Income and Comprehensive Income. This guidance is effective for public entities for fiscal years beginning after December 31, 2026. The Company is currently reviewing this guidance and its impact on the Company's consolidated financial statements.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which addresses technical issues to clarify, correct, and improve US GAAP without major overhaul. The key changes involve clarifying diluted earnings per share during losses, refining lease disclosures, and refining treasury stock retirement methods. This guidance is effective for public entities for fiscal years beginning after December 15, 2026. The Company does not anticipate the adoption of this guidance to have a material impact on the Company's consolidated financial statements.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(15) Dividends/Distributions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declared and paid cash distributions to Class A and Class B common stock shareholders in an aggregate amount of $162,817 or $1.60 per share and $157,065 or $1.55 per share, respectively. During the six months ended June 30, 2026 and 2025, the Company declared and paid cash distributions to Class A and Class B common stock shareholders in an aggregate amount of $325,423 or $3.20 per share and $316,132 or $3.10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six months ended June 30, 2026 and 2025, the Company paid cash dividend distributions to holders of its Series AA Preferred Stock in an aggregate amount of $91 or $15.95 per share and $182 or $31.90 per share, respectively, for each period.</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(16) Information About Geographic Areas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Revenues from external customers attributable to foreign countries totaled $7,453 and $17,219 for the six months ended June 30, 2026 and 2025, respectively. Net carrying value of long-lived assets located in foreign countries totaled $8,952 and $9,653 as of June 30, 2026 and December 31, 2025, respectively. All other revenues from external customers and long-lived assets relate to domestic operations.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(17) Stockholders' Equity</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Sales Agreement.</w:t>
      </w:r>
      <w:r>
        <w:rPr>
          <w:color w:val="000000"/>
        </w:rPr>
        <w:t xml:space="preserve"> </w:t>
      </w:r>
      <w:r>
        <w:rPr>
          <w:rFonts w:ascii="Times New Roman;serif" w:hAnsi="Times New Roman;serif"/>
          <w:b w:val="false"/>
          <w:color w:val="000000"/>
          <w:sz w:val="20"/>
        </w:rPr>
        <w:t xml:space="preserve">On July 24, 2024, the Company entered into an equity distribution agreement, or At-the-Market Offering 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that expired according to its terms on June 21, 2024. Under the terms of the 2024 Sales Agreement, the Company may, from time to time, issue and sell shares of its Class A common stock, with an aggregate offering price of up to $400,000, through the Sales Agents as either agents or principals.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2024 Sales Agreement and may at any time suspend solicitations and offers under the 2024 Sales Agreement.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no shares of our Class A common stock were sold under the 2024 Sales Agreement and accordingly $400,000 remained available to be sold under the 2024 Sales Agreement.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Shelf Registration.</w:t>
      </w:r>
      <w:r>
        <w:rPr>
          <w:color w:val="000000"/>
        </w:rPr>
        <w:t xml:space="preserve"> </w:t>
      </w:r>
      <w:r>
        <w:rPr>
          <w:rFonts w:ascii="Times New Roman;serif" w:hAnsi="Times New Roman;serif"/>
          <w:b w:val="false"/>
          <w:color w:val="000000"/>
          <w:sz w:val="20"/>
        </w:rPr>
        <w:t xml:space="preserve">On July 24, 2024, the Company filed an automatically effective shelf registration statement that allows Lamar Advertising to offer and sell an indeterminate amount of additional shares of its Class A common stock. As of June 30, 2026, the Company has not issued any shares under its shelf registration statements. </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Stock Repurchase Program. </w:t>
      </w:r>
      <w:r>
        <w:rPr>
          <w:rFonts w:ascii="Times New Roman;serif" w:hAnsi="Times New Roman;serif"/>
          <w:b w:val="false"/>
          <w:color w:val="000000"/>
          <w:sz w:val="20"/>
        </w:rPr>
        <w:t>Prior to May 15, 2025, the Company’s Board of Directors had authorized the repurchase of up to $250,000 of the Company's Class A common stock. On May 15, 2025, the Company's Board of Directors approved the increase of the amount authorized under the Stock Repurchase Program by $150,000, bringing the total amount authorized under the Program to $400,000. On February 26, 2026, the Board of Directors authorized the extension of the Stock Repurchase Program through September 30, 2027. During the year ended December 31, 2025, the Company repurchased 1,388,091 shares of the Company's Class A common stock outstanding for a total purchase price of $150,000. There were no repurchases under the program during the six months ended June 30, 2026. The Company currently has $250,000 remaining under its current share repurchase authorization.</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(18) Segment Reporting</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 xml:space="preserve">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As described in Note 1, we currently manage our operations through three operating segments - billboard, logo, and transit advertising. Logo and transit advertising do not meet the criteria to be reportable segments, and accordingly, are included in Other.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financial performance by segment:</w:t>
      </w:r>
    </w:p>
    <w:p>
      <w:pPr>
        <w:pStyle w:val="TextBody"/>
        <w:bidi w:val="0"/>
        <w:spacing w:before="0" w:after="0"/>
        <w:ind w:left="0" w:right="0" w:firstLine="630"/>
        <w:jc w:val="both"/>
        <w:rPr/>
      </w:pPr>
      <w:r>
        <w:rPr/>
      </w:r>
    </w:p>
    <w:tbl>
      <w:tblPr>
        <w:tblW w:w="8474" w:type="dxa"/>
        <w:jc w:val="left"/>
        <w:tblInd w:w="0" w:type="dxa"/>
        <w:tblLayout w:type="fixed"/>
        <w:tblCellMar>
          <w:top w:w="28" w:type="dxa"/>
          <w:left w:w="28" w:type="dxa"/>
          <w:bottom w:w="28" w:type="dxa"/>
          <w:right w:w="28" w:type="dxa"/>
        </w:tblCellMar>
      </w:tblPr>
      <w:tblGrid>
        <w:gridCol w:w="925"/>
        <w:gridCol w:w="819"/>
        <w:gridCol w:w="8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advertising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Segmented adjusted EBITDA: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Corporate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Reconciliation of adjusted EBITDA to income before income tax expense:</w:t>
      </w:r>
    </w:p>
    <w:p>
      <w:pPr>
        <w:pStyle w:val="TextBody"/>
        <w:bidi w:val="0"/>
        <w:spacing w:before="0" w:after="0"/>
        <w:ind w:left="0" w:right="0" w:firstLine="630"/>
        <w:jc w:val="both"/>
        <w:rPr/>
      </w:pPr>
      <w:r>
        <w:rPr/>
      </w:r>
    </w:p>
    <w:tbl>
      <w:tblPr>
        <w:tblW w:w="9420" w:type="dxa"/>
        <w:jc w:val="left"/>
        <w:tblInd w:w="0" w:type="dxa"/>
        <w:tblLayout w:type="fixed"/>
        <w:tblCellMar>
          <w:top w:w="28" w:type="dxa"/>
          <w:left w:w="28" w:type="dxa"/>
          <w:bottom w:w="28" w:type="dxa"/>
          <w:right w:w="28" w:type="dxa"/>
        </w:tblCellMar>
      </w:tblPr>
      <w:tblGrid>
        <w:gridCol w:w="1379"/>
        <w:gridCol w:w="1210"/>
        <w:gridCol w:w="12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91"/>
        <w:gridCol w:w="2341"/>
        <w:gridCol w:w="2348"/>
        <w:gridCol w:w="196"/>
        <w:gridCol w:w="871"/>
        <w:gridCol w:w="109"/>
        <w:gridCol w:w="109"/>
        <w:gridCol w:w="109"/>
        <w:gridCol w:w="109"/>
        <w:gridCol w:w="196"/>
        <w:gridCol w:w="871"/>
        <w:gridCol w:w="155"/>
      </w:tblGrid>
      <w:tr>
        <w:trPr/>
        <w:tc>
          <w:tcPr>
            <w:tcW w:w="279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June 30,</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December 31,</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doubtful accounts of $12,775 and $11,856 in 2026 and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341,222 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4,766,872 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(3,087,972)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property, plant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1,504,170 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right of 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2,101,105 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1,113,361 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52,974 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6,915,211 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 net of deferred financing costs of $288 and $396 in 2026 and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782,479 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Long-term debt, net of deferred financing costs of $25,908 and $29,517 in 2026 and 2025, respectively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3,168,863 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1,254,080 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624,925 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5,895,611 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3,000 shares authorized, 100 shares issued and outstanding at 2026 and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3,421,052 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(2,411,842)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1,019,600 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6,974,855 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6,915,211 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4"/>
        <w:gridCol w:w="1307"/>
        <w:gridCol w:w="131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7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Statements of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advertising expenses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(exclusive of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695,568 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controlling interest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Statements of Comprehensive Income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294,065 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0237" w:type="dxa"/>
        <w:jc w:val="left"/>
        <w:tblInd w:w="0" w:type="dxa"/>
        <w:tblLayout w:type="fixed"/>
        <w:tblCellMar>
          <w:top w:w="28" w:type="dxa"/>
          <w:left w:w="28" w:type="dxa"/>
          <w:bottom w:w="28" w:type="dxa"/>
          <w:right w:w="28" w:type="dxa"/>
        </w:tblCellMar>
      </w:tblPr>
      <w:tblGrid>
        <w:gridCol w:w="902"/>
        <w:gridCol w:w="302"/>
        <w:gridCol w:w="207"/>
        <w:gridCol w:w="222"/>
        <w:gridCol w:w="428"/>
        <w:gridCol w:w="116"/>
        <w:gridCol w:w="109"/>
        <w:gridCol w:w="109"/>
        <w:gridCol w:w="109"/>
        <w:gridCol w:w="211"/>
        <w:gridCol w:w="976"/>
        <w:gridCol w:w="109"/>
        <w:gridCol w:w="109"/>
        <w:gridCol w:w="109"/>
        <w:gridCol w:w="109"/>
        <w:gridCol w:w="269"/>
        <w:gridCol w:w="806"/>
        <w:gridCol w:w="141"/>
        <w:gridCol w:w="109"/>
        <w:gridCol w:w="109"/>
        <w:gridCol w:w="109"/>
        <w:gridCol w:w="211"/>
        <w:gridCol w:w="991"/>
        <w:gridCol w:w="109"/>
        <w:gridCol w:w="109"/>
        <w:gridCol w:w="109"/>
        <w:gridCol w:w="109"/>
        <w:gridCol w:w="255"/>
        <w:gridCol w:w="873"/>
        <w:gridCol w:w="133"/>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(2,411,842)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parent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of capital</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parent</w:t>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of capital</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3,462,089 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(2,481,032)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990,753 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37" w:type="dxa"/>
        <w:jc w:val="left"/>
        <w:tblInd w:w="0" w:type="dxa"/>
        <w:tblLayout w:type="fixed"/>
        <w:tblCellMar>
          <w:top w:w="28" w:type="dxa"/>
          <w:left w:w="28" w:type="dxa"/>
          <w:bottom w:w="28" w:type="dxa"/>
          <w:right w:w="28" w:type="dxa"/>
        </w:tblCellMar>
      </w:tblPr>
      <w:tblGrid>
        <w:gridCol w:w="902"/>
        <w:gridCol w:w="302"/>
        <w:gridCol w:w="207"/>
        <w:gridCol w:w="222"/>
        <w:gridCol w:w="428"/>
        <w:gridCol w:w="116"/>
        <w:gridCol w:w="109"/>
        <w:gridCol w:w="109"/>
        <w:gridCol w:w="109"/>
        <w:gridCol w:w="211"/>
        <w:gridCol w:w="976"/>
        <w:gridCol w:w="109"/>
        <w:gridCol w:w="109"/>
        <w:gridCol w:w="109"/>
        <w:gridCol w:w="109"/>
        <w:gridCol w:w="269"/>
        <w:gridCol w:w="806"/>
        <w:gridCol w:w="141"/>
        <w:gridCol w:w="109"/>
        <w:gridCol w:w="109"/>
        <w:gridCol w:w="109"/>
        <w:gridCol w:w="211"/>
        <w:gridCol w:w="991"/>
        <w:gridCol w:w="109"/>
        <w:gridCol w:w="109"/>
        <w:gridCol w:w="109"/>
        <w:gridCol w:w="109"/>
        <w:gridCol w:w="284"/>
        <w:gridCol w:w="829"/>
        <w:gridCol w:w="148"/>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parent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of capital</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1,025,691 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parent</w:t>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(2,366,438)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901,244 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333" w:type="dxa"/>
        <w:jc w:val="center"/>
        <w:tblInd w:w="0" w:type="dxa"/>
        <w:tblLayout w:type="fixed"/>
        <w:tblCellMar>
          <w:top w:w="28" w:type="dxa"/>
          <w:left w:w="28" w:type="dxa"/>
          <w:bottom w:w="28" w:type="dxa"/>
          <w:right w:w="28" w:type="dxa"/>
        </w:tblCellMar>
      </w:tblPr>
      <w:tblGrid>
        <w:gridCol w:w="2130"/>
        <w:gridCol w:w="1867"/>
        <w:gridCol w:w="1882"/>
        <w:gridCol w:w="196"/>
        <w:gridCol w:w="736"/>
        <w:gridCol w:w="109"/>
        <w:gridCol w:w="109"/>
        <w:gridCol w:w="109"/>
        <w:gridCol w:w="109"/>
        <w:gridCol w:w="196"/>
        <w:gridCol w:w="73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Six Months Ended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June 30,</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flows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155,931 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included in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Gain on disposition of assets and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investee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(Increase) decrease 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(Decrease) increase 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flows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disposition of assets and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accounts receivable securitization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from accounts receivable securitization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parent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to parent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flows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(286,769)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foreign, state and federal income taxes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14,666 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2025 Combined Form 10-K.</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Certain notes are not provided for the accompanying condensed consolidated financial statements as the information in notes 1, 2, 3, 4, 5, 6, 7, 8, 9, 11, 12, 13, 14, 16, and 17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(2) Summarized Financial Information of Subsidiaries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Summarized Balance Sheet as of June 30, 2026</w:t>
      </w:r>
    </w:p>
    <w:p>
      <w:pPr>
        <w:pStyle w:val="TextBody"/>
        <w:bidi w:val="0"/>
        <w:spacing w:before="0" w:after="0"/>
        <w:jc w:val="both"/>
        <w:rPr/>
      </w:pPr>
      <w:r>
        <w:rPr/>
      </w:r>
    </w:p>
    <w:tbl>
      <w:tblPr>
        <w:tblW w:w="9102" w:type="dxa"/>
        <w:jc w:val="left"/>
        <w:tblInd w:w="0" w:type="dxa"/>
        <w:tblLayout w:type="fixed"/>
        <w:tblCellMar>
          <w:top w:w="28" w:type="dxa"/>
          <w:left w:w="28" w:type="dxa"/>
          <w:bottom w:w="28" w:type="dxa"/>
          <w:right w:w="28" w:type="dxa"/>
        </w:tblCellMar>
      </w:tblPr>
      <w:tblGrid>
        <w:gridCol w:w="754"/>
        <w:gridCol w:w="663"/>
        <w:gridCol w:w="668"/>
        <w:gridCol w:w="220"/>
        <w:gridCol w:w="756"/>
        <w:gridCol w:w="109"/>
        <w:gridCol w:w="109"/>
        <w:gridCol w:w="109"/>
        <w:gridCol w:w="109"/>
        <w:gridCol w:w="220"/>
        <w:gridCol w:w="756"/>
        <w:gridCol w:w="109"/>
        <w:gridCol w:w="109"/>
        <w:gridCol w:w="109"/>
        <w:gridCol w:w="109"/>
        <w:gridCol w:w="211"/>
        <w:gridCol w:w="826"/>
        <w:gridCol w:w="109"/>
        <w:gridCol w:w="109"/>
        <w:gridCol w:w="109"/>
        <w:gridCol w:w="109"/>
        <w:gridCol w:w="358"/>
        <w:gridCol w:w="692"/>
        <w:gridCol w:w="152"/>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Lamar</w:t>
              <w:br/>
              <w:t>Media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Lamar Media</w:t>
              <w:br/>
              <w:t>Consolidated</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55,610 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493,209 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(5,096,678)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6,481,646 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775,101 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(685,787)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5,209,001 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Summarized Balance Sheet as of December 31, 2025</w:t>
      </w:r>
    </w:p>
    <w:p>
      <w:pPr>
        <w:pStyle w:val="TextBody"/>
        <w:bidi w:val="0"/>
        <w:spacing w:before="0" w:after="0"/>
        <w:jc w:val="both"/>
        <w:rPr/>
      </w:pPr>
      <w:r>
        <w:rPr/>
      </w:r>
    </w:p>
    <w:tbl>
      <w:tblPr>
        <w:tblW w:w="9112" w:type="dxa"/>
        <w:jc w:val="left"/>
        <w:tblInd w:w="0" w:type="dxa"/>
        <w:tblLayout w:type="fixed"/>
        <w:tblCellMar>
          <w:top w:w="28" w:type="dxa"/>
          <w:left w:w="28" w:type="dxa"/>
          <w:bottom w:w="28" w:type="dxa"/>
          <w:right w:w="28" w:type="dxa"/>
        </w:tblCellMar>
      </w:tblPr>
      <w:tblGrid>
        <w:gridCol w:w="754"/>
        <w:gridCol w:w="663"/>
        <w:gridCol w:w="668"/>
        <w:gridCol w:w="222"/>
        <w:gridCol w:w="759"/>
        <w:gridCol w:w="114"/>
        <w:gridCol w:w="109"/>
        <w:gridCol w:w="109"/>
        <w:gridCol w:w="109"/>
        <w:gridCol w:w="220"/>
        <w:gridCol w:w="756"/>
        <w:gridCol w:w="109"/>
        <w:gridCol w:w="109"/>
        <w:gridCol w:w="109"/>
        <w:gridCol w:w="109"/>
        <w:gridCol w:w="211"/>
        <w:gridCol w:w="826"/>
        <w:gridCol w:w="109"/>
        <w:gridCol w:w="109"/>
        <w:gridCol w:w="109"/>
        <w:gridCol w:w="109"/>
        <w:gridCol w:w="358"/>
        <w:gridCol w:w="692"/>
        <w:gridCol w:w="152"/>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Lamar Media</w:t>
              <w:br/>
              <w:t>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Lamar Media</w:t>
              <w:br/>
              <w:t>Consolidated</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52,917 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459,223 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(5,007,353)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6,455,988 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782,479 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(648,167)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5,113,132 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Summarized Statements of Income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8"/>
        <w:gridCol w:w="687"/>
        <w:gridCol w:w="689"/>
        <w:gridCol w:w="432"/>
        <w:gridCol w:w="581"/>
        <w:gridCol w:w="156"/>
        <w:gridCol w:w="109"/>
        <w:gridCol w:w="109"/>
        <w:gridCol w:w="109"/>
        <w:gridCol w:w="256"/>
        <w:gridCol w:w="1003"/>
        <w:gridCol w:w="132"/>
        <w:gridCol w:w="109"/>
        <w:gridCol w:w="109"/>
        <w:gridCol w:w="109"/>
        <w:gridCol w:w="360"/>
        <w:gridCol w:w="1051"/>
        <w:gridCol w:w="187"/>
        <w:gridCol w:w="109"/>
        <w:gridCol w:w="109"/>
        <w:gridCol w:w="109"/>
        <w:gridCol w:w="311"/>
        <w:gridCol w:w="555"/>
        <w:gridCol w:w="159"/>
        <w:gridCol w:w="109"/>
        <w:gridCol w:w="109"/>
        <w:gridCol w:w="109"/>
        <w:gridCol w:w="273"/>
        <w:gridCol w:w="1071"/>
        <w:gridCol w:w="206"/>
      </w:tblGrid>
      <w:tr>
        <w:trPr/>
        <w:tc>
          <w:tcPr>
            <w:tcW w:w="78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Lamar Media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Lamar Media Consolidated</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609,434 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controlling interest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160,904 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Summarized Statements of Income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0"/>
        <w:gridCol w:w="688"/>
        <w:gridCol w:w="690"/>
        <w:gridCol w:w="432"/>
        <w:gridCol w:w="582"/>
        <w:gridCol w:w="156"/>
        <w:gridCol w:w="109"/>
        <w:gridCol w:w="109"/>
        <w:gridCol w:w="109"/>
        <w:gridCol w:w="256"/>
        <w:gridCol w:w="1004"/>
        <w:gridCol w:w="132"/>
        <w:gridCol w:w="109"/>
        <w:gridCol w:w="109"/>
        <w:gridCol w:w="109"/>
        <w:gridCol w:w="323"/>
        <w:gridCol w:w="1108"/>
        <w:gridCol w:w="168"/>
        <w:gridCol w:w="109"/>
        <w:gridCol w:w="109"/>
        <w:gridCol w:w="109"/>
        <w:gridCol w:w="268"/>
        <w:gridCol w:w="612"/>
        <w:gridCol w:w="137"/>
        <w:gridCol w:w="109"/>
        <w:gridCol w:w="109"/>
        <w:gridCol w:w="109"/>
        <w:gridCol w:w="273"/>
        <w:gridCol w:w="1071"/>
        <w:gridCol w:w="207"/>
      </w:tblGrid>
      <w:tr>
        <w:trPr/>
        <w:tc>
          <w:tcPr>
            <w:tcW w:w="79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Lamar Media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Lamar Media Consolidated</w:t>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567,209 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369,445 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controlling interest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(191,708)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154,505 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Summarized Statements of Income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3"/>
        <w:gridCol w:w="1003"/>
        <w:gridCol w:w="1005"/>
        <w:gridCol w:w="318"/>
        <w:gridCol w:w="576"/>
        <w:gridCol w:w="145"/>
        <w:gridCol w:w="109"/>
        <w:gridCol w:w="109"/>
        <w:gridCol w:w="109"/>
        <w:gridCol w:w="211"/>
        <w:gridCol w:w="976"/>
        <w:gridCol w:w="109"/>
        <w:gridCol w:w="109"/>
        <w:gridCol w:w="109"/>
        <w:gridCol w:w="109"/>
        <w:gridCol w:w="211"/>
        <w:gridCol w:w="721"/>
        <w:gridCol w:w="109"/>
        <w:gridCol w:w="109"/>
        <w:gridCol w:w="109"/>
        <w:gridCol w:w="109"/>
        <w:gridCol w:w="270"/>
        <w:gridCol w:w="618"/>
        <w:gridCol w:w="137"/>
        <w:gridCol w:w="109"/>
        <w:gridCol w:w="109"/>
        <w:gridCol w:w="109"/>
        <w:gridCol w:w="211"/>
        <w:gridCol w:w="976"/>
        <w:gridCol w:w="158"/>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Lamar Media</w:t>
              <w:br/>
              <w:t>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Lamar Media</w:t>
              <w:br/>
              <w:t>Consolidated</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790,449 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(338,249)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controlling interest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(338,249)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Summarized Statements of Income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43"/>
        <w:gridCol w:w="1003"/>
        <w:gridCol w:w="1005"/>
        <w:gridCol w:w="318"/>
        <w:gridCol w:w="576"/>
        <w:gridCol w:w="145"/>
        <w:gridCol w:w="109"/>
        <w:gridCol w:w="109"/>
        <w:gridCol w:w="109"/>
        <w:gridCol w:w="211"/>
        <w:gridCol w:w="976"/>
        <w:gridCol w:w="109"/>
        <w:gridCol w:w="109"/>
        <w:gridCol w:w="109"/>
        <w:gridCol w:w="109"/>
        <w:gridCol w:w="211"/>
        <w:gridCol w:w="721"/>
        <w:gridCol w:w="109"/>
        <w:gridCol w:w="109"/>
        <w:gridCol w:w="109"/>
        <w:gridCol w:w="109"/>
        <w:gridCol w:w="270"/>
        <w:gridCol w:w="618"/>
        <w:gridCol w:w="137"/>
        <w:gridCol w:w="109"/>
        <w:gridCol w:w="109"/>
        <w:gridCol w:w="109"/>
        <w:gridCol w:w="211"/>
        <w:gridCol w:w="976"/>
        <w:gridCol w:w="158"/>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Lamar Media</w:t>
              <w:br/>
              <w:t>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Guarantor</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Lamar Media</w:t>
              <w:br/>
              <w:t>Consolidated</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695,568 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(365,487)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controlling interest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(365,487)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7c13a40ab1c742708870c28fb41f15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both"/>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Segment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financial performance by segment:</w:t>
      </w:r>
    </w:p>
    <w:p>
      <w:pPr>
        <w:pStyle w:val="TextBody"/>
        <w:bidi w:val="0"/>
        <w:spacing w:before="0" w:after="0"/>
        <w:ind w:left="0" w:right="0" w:firstLine="720"/>
        <w:jc w:val="both"/>
        <w:rPr/>
      </w:pPr>
      <w:r>
        <w:rPr/>
      </w:r>
    </w:p>
    <w:tbl>
      <w:tblPr>
        <w:tblW w:w="8474" w:type="dxa"/>
        <w:jc w:val="left"/>
        <w:tblInd w:w="0" w:type="dxa"/>
        <w:tblLayout w:type="fixed"/>
        <w:tblCellMar>
          <w:top w:w="28" w:type="dxa"/>
          <w:left w:w="28" w:type="dxa"/>
          <w:bottom w:w="28" w:type="dxa"/>
          <w:right w:w="28" w:type="dxa"/>
        </w:tblCellMar>
      </w:tblPr>
      <w:tblGrid>
        <w:gridCol w:w="925"/>
        <w:gridCol w:w="819"/>
        <w:gridCol w:w="8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advertising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Segmented adjusted EBITDA: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Corporate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Reconciliation of adjusted EBITDA to income before income tax expense:</w:t>
      </w:r>
    </w:p>
    <w:p>
      <w:pPr>
        <w:pStyle w:val="TextBody"/>
        <w:bidi w:val="0"/>
        <w:spacing w:before="0" w:after="0"/>
        <w:ind w:left="0" w:right="0" w:firstLine="630"/>
        <w:jc w:val="both"/>
        <w:rPr/>
      </w:pPr>
      <w:r>
        <w:rPr/>
      </w:r>
    </w:p>
    <w:tbl>
      <w:tblPr>
        <w:tblW w:w="9420" w:type="dxa"/>
        <w:jc w:val="left"/>
        <w:tblInd w:w="0" w:type="dxa"/>
        <w:tblLayout w:type="fixed"/>
        <w:tblCellMar>
          <w:top w:w="28" w:type="dxa"/>
          <w:left w:w="28" w:type="dxa"/>
          <w:bottom w:w="28" w:type="dxa"/>
          <w:right w:w="28" w:type="dxa"/>
        </w:tblCellMar>
      </w:tblPr>
      <w:tblGrid>
        <w:gridCol w:w="1379"/>
        <w:gridCol w:w="1210"/>
        <w:gridCol w:w="12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2025 Combined Form 10-K filed on February 20, 2026, and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consolidated financial condition and results of operations of the Company for the three and six months ended June 30, 2026 and 2025. This discussion should be read in conjunction with the condensed consolidated financial statements of the Company and the related notes thereto.</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 and capital expenditures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through the issuance of debt or equity securities. See “Liquidity and Capital Resources- Sources of Cash,” for more information.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 xml:space="preserve">During the six months ended June 30, 2026, the Company completed multiple acquisitions for a total cash purchase price of approximately $101.9 million. See </w:t>
      </w:r>
      <w:r>
        <w:rPr>
          <w:rFonts w:ascii="Times New Roman;serif" w:hAnsi="Times New Roman;serif"/>
          <w:b w:val="false"/>
          <w:i/>
          <w:color w:val="000000"/>
          <w:sz w:val="20"/>
        </w:rPr>
        <w:t>Uses of Cash – Acquisitions</w:t>
      </w:r>
      <w:r>
        <w:rPr>
          <w:color w:val="000000"/>
        </w:rPr>
        <w:t xml:space="preserve"> </w:t>
      </w:r>
      <w:r>
        <w:rPr>
          <w:rFonts w:ascii="Times New Roman;serif" w:hAnsi="Times New Roman;serif"/>
          <w:b w:val="false"/>
          <w:color w:val="000000"/>
          <w:sz w:val="20"/>
        </w:rPr>
        <w:t>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2026 and 2025:</w:t>
      </w:r>
    </w:p>
    <w:p>
      <w:pPr>
        <w:pStyle w:val="TextBody"/>
        <w:bidi w:val="0"/>
        <w:spacing w:before="0" w:after="0"/>
        <w:ind w:left="0" w:right="0" w:firstLine="630"/>
        <w:jc w:val="both"/>
        <w:rPr/>
      </w:pPr>
      <w:r>
        <w:rPr/>
      </w:r>
    </w:p>
    <w:tbl>
      <w:tblPr>
        <w:tblW w:w="7500"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 traditional</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 digital</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Logos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equipment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Acquisition-adjusted net revenues adjusts our net revenues for the prior period by adding to it the net revenues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revenues”. In addition, we adjust the prior period to subtract revenue generated by the assets that have been divested since the prior period and, therefore, no revenue derived from those assets is reflected in the current period.</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FFO, AFFO and acquisition-adjusted net revenues are not intended to replace net income or any other performance measures determined in accordance with GAAP. Neither FFO nor AFFO represents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revenues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revenues is a supplement to net revenues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measurement of adjusted EBITDA, FFO, AFFO and acquisition-adjusted net revenues may not, however, be fully comparable to similarly titled measures used by other companies. Reconciliations of adjusted EBITDA, FFO, AFFO and acquisition-adjusted net revenues to net income, the most directly comparable GAAP measure, have been included herein.</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Net revenues increased $60.0 million, or 5.5%, to $1.14 billion for the six months ended June 30, 2026 from $1.08 billion for the same period in 2025. This increase was primarily attributable to an increase in billboard net revenues of $63.7 million and an increase in logo net revenues of $1.6 million, offset by a decrease in transit net revenues of $5.3 million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there was a $55.5 million increase in net revenues as compared to acquisition-adjusted net revenues for the six months ended June 30, 2025, which represents an increase of 5.1%. See "Reconciliations" below. The $55.5 million increase in net revenues is primarily due to an increase of $46.3 million in billboard net revenues, an increase of $1.8 million in logo net revenues, and an increase in transit net revenues of $7.4 million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Total operating expenses, exclusive of depreciation and amortization and gain on disposition of assets and investments, increased $25.8 million, or 4.2%, to $639.6 million for the six months ended June 30, 2026 from $613.9 million for the same period in 2025. The $25.8 million increase over the prior year is comprised of an $18.2 million increase in total direct, general and administrative and corporate expenses (excluding stock-based compensation) primarily related to the operations of our outdoor advertising assets, as well as a $7.5 million increase in stock-based compensation.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$10.5 million to $166.4 million for the six months ended June 30, 2026 as compared to $155.9 million for the same period in 2025, primarily related to acquisitions and capital expenditures completed in the last twelve months.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recognized a gain on disposition of assets and investments of $15.3 million as compared to $74.0 million for the same period in 2025. The $58.7 million decrease is primarily related to the gain associated with the sale of Lamar's equity interest in Vistar Media, Inc. during the six months ended June 30,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above factors, operating income decreased by $34.9 million to $354.0 million for the six months ended June 30, 2026 as compared to $388.9 million for the same period in 2025.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$2.6 million for the six months ended June 30, 2026 to $81.6 million as compared to $79.0 million for the six months ended June 30, 2025. The increase was primarily due to the institutional private placement of the 5 3/8% Senior Notes in September 2025, offset by a decrease in interest rates on the senior credit facility and Accounts Receivable Securitization Program.</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decrease in operating income, as well as the increase in interest expense, resulted in a $37.9 million decrease in income before income tax expense for the six months ended June 30, 2026 as compared to the same period in 2025. The effective tax rate for the six months ended June 30, 2026 was 2.5%, which differs from the federal statutory rate primarily due to our qualification for taxation as a REIT and adjustments for foreign items.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a result of the above factors, the Company recognized net income for the six months ended June 30, 2026 of $266.5 million, as compared to net income of $294.2 million for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Reconciliations: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Because acquisitions occurring after December 31, 2024 have contributed to our net revenues results for the periods presented, we provide 2025 acquisition-adjusted net revenues, which adjusts our 2025 net revenues for the six months ended June 30, 2025 by adding to or subtracting from it the net revenues generated by the acquired or divested assets prior to our acquisition or divestiture of these assets for the same time frame that those assets were owned in the six months ended June 30, 2026.</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Reconciliations of 2025 reported net revenues to 2025 acquisition-adjusted net revenues for the six months ended June 30, as well as a comparison of 2025 acquisition-adjusted net revenues to 2026 reported net revenues for the six months ended June 30, are provided below:</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Reconciliation and Comparison of Reported Net Revenues to Acquisition-Adjusted Net Revenues</w:t>
      </w:r>
    </w:p>
    <w:p>
      <w:pPr>
        <w:pStyle w:val="TextBody"/>
        <w:bidi w:val="0"/>
        <w:spacing w:before="0" w:after="0"/>
        <w:jc w:val="both"/>
        <w:rPr/>
      </w:pPr>
      <w:r>
        <w:rPr/>
      </w:r>
    </w:p>
    <w:tbl>
      <w:tblPr>
        <w:tblW w:w="5109" w:type="dxa"/>
        <w:jc w:val="left"/>
        <w:tblInd w:w="0" w:type="dxa"/>
        <w:tblLayout w:type="fixed"/>
        <w:tblCellMar>
          <w:top w:w="28" w:type="dxa"/>
          <w:left w:w="28" w:type="dxa"/>
          <w:bottom w:w="28" w:type="dxa"/>
          <w:right w:w="28" w:type="dxa"/>
        </w:tblCellMar>
      </w:tblPr>
      <w:tblGrid>
        <w:gridCol w:w="776"/>
        <w:gridCol w:w="682"/>
        <w:gridCol w:w="687"/>
        <w:gridCol w:w="211"/>
        <w:gridCol w:w="976"/>
        <w:gridCol w:w="109"/>
        <w:gridCol w:w="109"/>
        <w:gridCol w:w="109"/>
        <w:gridCol w:w="109"/>
        <w:gridCol w:w="211"/>
        <w:gridCol w:w="97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Income/Adjusted EBITDA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8"/>
        <w:gridCol w:w="959"/>
        <w:gridCol w:w="963"/>
        <w:gridCol w:w="211"/>
        <w:gridCol w:w="826"/>
        <w:gridCol w:w="109"/>
        <w:gridCol w:w="109"/>
        <w:gridCol w:w="109"/>
        <w:gridCol w:w="109"/>
        <w:gridCol w:w="211"/>
        <w:gridCol w:w="826"/>
        <w:gridCol w:w="109"/>
        <w:gridCol w:w="109"/>
        <w:gridCol w:w="109"/>
        <w:gridCol w:w="109"/>
        <w:gridCol w:w="380"/>
        <w:gridCol w:w="1420"/>
        <w:gridCol w:w="196"/>
        <w:gridCol w:w="109"/>
        <w:gridCol w:w="109"/>
        <w:gridCol w:w="109"/>
        <w:gridCol w:w="396"/>
        <w:gridCol w:w="357"/>
        <w:gridCol w:w="1053"/>
      </w:tblGrid>
      <w:tr>
        <w:trPr/>
        <w:tc>
          <w:tcPr>
            <w:tcW w:w="120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2026 increased 8.4% to $529.7 million. The increase in adjusted EBITDA was primarily attributable to an increase in our gross margin (net revenues less direct advertising expenses, exclusive of depreciation and amortization and capitalized contract fulfillment costs, net) of $49.9 million, offset by an increase in total general and administrative and corporate expenses of $7.5 million, excluding the impact of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Segmented Adjusted EBITDA</w:t>
      </w:r>
    </w:p>
    <w:p>
      <w:pPr>
        <w:pStyle w:val="TextBody"/>
        <w:bidi w:val="0"/>
        <w:spacing w:before="0" w:after="0"/>
        <w:jc w:val="both"/>
        <w:rPr/>
      </w:pPr>
      <w:r>
        <w:rPr/>
      </w:r>
    </w:p>
    <w:tbl>
      <w:tblPr>
        <w:tblW w:w="10156" w:type="dxa"/>
        <w:jc w:val="left"/>
        <w:tblInd w:w="0" w:type="dxa"/>
        <w:tblLayout w:type="fixed"/>
        <w:tblCellMar>
          <w:top w:w="28" w:type="dxa"/>
          <w:left w:w="28" w:type="dxa"/>
          <w:bottom w:w="28" w:type="dxa"/>
          <w:right w:w="28" w:type="dxa"/>
        </w:tblCellMar>
      </w:tblPr>
      <w:tblGrid>
        <w:gridCol w:w="864"/>
        <w:gridCol w:w="759"/>
        <w:gridCol w:w="761"/>
        <w:gridCol w:w="211"/>
        <w:gridCol w:w="826"/>
        <w:gridCol w:w="109"/>
        <w:gridCol w:w="109"/>
        <w:gridCol w:w="109"/>
        <w:gridCol w:w="109"/>
        <w:gridCol w:w="211"/>
        <w:gridCol w:w="826"/>
        <w:gridCol w:w="109"/>
        <w:gridCol w:w="109"/>
        <w:gridCol w:w="109"/>
        <w:gridCol w:w="109"/>
        <w:gridCol w:w="474"/>
        <w:gridCol w:w="1621"/>
        <w:gridCol w:w="245"/>
        <w:gridCol w:w="109"/>
        <w:gridCol w:w="109"/>
        <w:gridCol w:w="109"/>
        <w:gridCol w:w="437"/>
        <w:gridCol w:w="437"/>
        <w:gridCol w:w="128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adjusted EBITDA</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(1)Logo and transit advertising do not meet the criteria to be reportable segments, and accordingly, are included in Other.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2026 increased 8.4% to $529.7 million. The increase in adjusted EBITDA was primarily attributable to the increase in our billboard advertising adjusted EBITDA of $37.7 million and an increase in other adjusted EBITDA of $4.4 million, offset by an increase in corporate expenses of $1.0 million, excluding the impact of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Income/FFO/AFFO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6"/>
        <w:gridCol w:w="1124"/>
        <w:gridCol w:w="1136"/>
        <w:gridCol w:w="211"/>
        <w:gridCol w:w="826"/>
        <w:gridCol w:w="109"/>
        <w:gridCol w:w="109"/>
        <w:gridCol w:w="109"/>
        <w:gridCol w:w="109"/>
        <w:gridCol w:w="211"/>
        <w:gridCol w:w="826"/>
        <w:gridCol w:w="109"/>
        <w:gridCol w:w="109"/>
        <w:gridCol w:w="109"/>
        <w:gridCol w:w="109"/>
        <w:gridCol w:w="329"/>
        <w:gridCol w:w="1214"/>
        <w:gridCol w:w="170"/>
        <w:gridCol w:w="109"/>
        <w:gridCol w:w="109"/>
        <w:gridCol w:w="109"/>
        <w:gridCol w:w="345"/>
        <w:gridCol w:w="309"/>
        <w:gridCol w:w="909"/>
      </w:tblGrid>
      <w:tr>
        <w:trPr/>
        <w:tc>
          <w:tcPr>
            <w:tcW w:w="13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related to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from sale or disposal of real estate and investments,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FFO</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Straight-line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FFO was $404.6 million as compared to $381.5 million for the same period in 2025, an increase of 6.0%. AFFO for the six months ended June 30, 2026 increased 9.2% to $425.5 million as compared to $389.6 million for the same period in 2025. The increase in AFFO was primarily attributable to an increase in our gross margin (net revenues less direct advertising expenses, exclusive of depreciation and amortization and capitalized contract fulfillment costs, net) of $49.9 million, offset by an increase in interest expense of $2.6 million and an increase in total general and administrative and corporate expenses of $7.5 million for the six months ended June 30, 2026.</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Net revenues increased $37.4 million or 6.5% to $616.7 million for the three months ended June 30, 2026 from $579.3 million for the same period in 2025. This increase was primarily attributable to an increase in billboard net revenues of $40.0 million and an increase in logo net revenues of $0.2 million, offset by a decrease in transit net revenues of $2.8 million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there was a $35.7 million increase in net revenues as compared to acquisition-adjusted net revenues for the three months ended June 30, 2025, which represents an increase of 6.1%. See "Reconciliations" below. The $35.7 million increase in net revenues is primarily due to an increase of $31.1 million in billboard net revenues, an increase of $0.5 million in logo net revenues, and an increase of $4.2 million in transit net revenues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Total operating expenses, exclusive of depreciation and amortization and gain on disposition of assets and investments, increased $19.3 million, or 6.3%, to $327.0 million for the three months ended June 30, 2026 from $307.7 million for the same period in 2025. The $19.3 million increase over the prior year is comprised of a $12.4 million increase in total direct, general and administrative and corporate expenses (excluding stock-based compensation) primarily related to the operations of our outdoor advertising assets, as well as a $6.9 million increase in stock-based compensation.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increased $6.3 million to $84.4 million for the three months ended June 30, 2026 as compared to $78.1 million for the same period in 2025, primarily related to acquisitions and capital expenditures completed in the last twelve months.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recognized a gain on disposition of assets and investments of $2.7 million, primarily resulting from transactions related to the sale of real estate and billboard locations and displays.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Due to the above factors, operating income increased by $10.3 million to $208.0 million for the three months ended June 30, 2026 as compared to $197.7 million for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$0.4 million for the three months ended June 30, 2026 to $41.1 million as compared to $40.7 million for the three months ended June 30, 2025 primarily due to the institutional private placement of the 5 3/8% Senior Notes in September 2025, offset by a decrease in interest rates on the senior credit facility and Accounts Receivable Securitization Program.</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increase in operating income, offset by the increase in interest expense, resulted in an increase in income before income tax expense of $10.0 million for the three months ended June 30, 2026 as compared to the same period in 2025. The effective tax rate for the three months ended June 30, 2026 was 1.6%, which differs from the federal statutory rate primarily due to our qualification for taxation as a REIT and adjustments for foreign items.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a result of the above factors, the Company recognized net income for the three months ended June 30, 2026 of $164.6 million, as compared to net income of $155.0 million for the same period in 2025.</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Reconciliations: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Because acquisitions occurring after December 31, 2024 have contributed to our net revenues results for the periods presented, we provide 2025 acquisition-adjusted net revenues, which adjusts our 2025 net revenues for the three months ended June 30, 2025 by adding to or subtracting from it the net revenues generated by the acquired or divested assets prior to our acquisition or divestiture of these assets for the same time frame that those assets were owned in the three months ended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Reconciliations of 2025 reported net revenues to 2025 acquisition-adjusted net revenues for the three months ended June 30, as well as a comparison of 2025 acquisition-adjusted net revenues to 2026 reported net revenues for the three months ended June 30, are provided below:</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Reconciliation and Comparison of Reported Net Revenues to Acquisition-Adjusted Net Revenues</w:t>
      </w:r>
    </w:p>
    <w:p>
      <w:pPr>
        <w:pStyle w:val="TextBody"/>
        <w:bidi w:val="0"/>
        <w:spacing w:before="0" w:after="0"/>
        <w:jc w:val="both"/>
        <w:rPr/>
      </w:pPr>
      <w:r>
        <w:rPr/>
      </w:r>
    </w:p>
    <w:tbl>
      <w:tblPr>
        <w:tblW w:w="4809" w:type="dxa"/>
        <w:jc w:val="left"/>
        <w:tblInd w:w="0" w:type="dxa"/>
        <w:tblLayout w:type="fixed"/>
        <w:tblCellMar>
          <w:top w:w="28" w:type="dxa"/>
          <w:left w:w="28" w:type="dxa"/>
          <w:bottom w:w="28" w:type="dxa"/>
          <w:right w:w="28" w:type="dxa"/>
        </w:tblCellMar>
      </w:tblPr>
      <w:tblGrid>
        <w:gridCol w:w="776"/>
        <w:gridCol w:w="682"/>
        <w:gridCol w:w="687"/>
        <w:gridCol w:w="211"/>
        <w:gridCol w:w="826"/>
        <w:gridCol w:w="109"/>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Income/Adjusted EBITDA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9"/>
        <w:gridCol w:w="960"/>
        <w:gridCol w:w="964"/>
        <w:gridCol w:w="211"/>
        <w:gridCol w:w="826"/>
        <w:gridCol w:w="109"/>
        <w:gridCol w:w="109"/>
        <w:gridCol w:w="109"/>
        <w:gridCol w:w="109"/>
        <w:gridCol w:w="211"/>
        <w:gridCol w:w="826"/>
        <w:gridCol w:w="109"/>
        <w:gridCol w:w="109"/>
        <w:gridCol w:w="109"/>
        <w:gridCol w:w="109"/>
        <w:gridCol w:w="404"/>
        <w:gridCol w:w="1382"/>
        <w:gridCol w:w="208"/>
        <w:gridCol w:w="109"/>
        <w:gridCol w:w="109"/>
        <w:gridCol w:w="109"/>
        <w:gridCol w:w="392"/>
        <w:gridCol w:w="357"/>
        <w:gridCol w:w="1056"/>
      </w:tblGrid>
      <w:tr>
        <w:trPr/>
        <w:tc>
          <w:tcPr>
            <w:tcW w:w="12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1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24,975 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increased 9.0% to $303.4 million. The increase in adjusted EBITDA was primarily attributable to an increase in our gross margin (net revenues less direct advertising expense, exclusive of depreciation and amortization and capitalized contract fulfillment costs, net) of $29.9 million offset by an increase in total general and administrative and corporate expenses of $5.0 million, excluding the impact of stock-based compensation expense.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Segmented Adjusted EBITDA</w:t>
      </w:r>
    </w:p>
    <w:p>
      <w:pPr>
        <w:pStyle w:val="TextBody"/>
        <w:bidi w:val="0"/>
        <w:spacing w:before="0" w:after="0"/>
        <w:jc w:val="both"/>
        <w:rPr/>
      </w:pPr>
      <w:r>
        <w:rPr/>
      </w:r>
    </w:p>
    <w:tbl>
      <w:tblPr>
        <w:tblW w:w="10156" w:type="dxa"/>
        <w:jc w:val="left"/>
        <w:tblInd w:w="0" w:type="dxa"/>
        <w:tblLayout w:type="fixed"/>
        <w:tblCellMar>
          <w:top w:w="28" w:type="dxa"/>
          <w:left w:w="28" w:type="dxa"/>
          <w:bottom w:w="28" w:type="dxa"/>
          <w:right w:w="28" w:type="dxa"/>
        </w:tblCellMar>
      </w:tblPr>
      <w:tblGrid>
        <w:gridCol w:w="864"/>
        <w:gridCol w:w="759"/>
        <w:gridCol w:w="761"/>
        <w:gridCol w:w="211"/>
        <w:gridCol w:w="826"/>
        <w:gridCol w:w="109"/>
        <w:gridCol w:w="109"/>
        <w:gridCol w:w="109"/>
        <w:gridCol w:w="109"/>
        <w:gridCol w:w="211"/>
        <w:gridCol w:w="826"/>
        <w:gridCol w:w="109"/>
        <w:gridCol w:w="109"/>
        <w:gridCol w:w="109"/>
        <w:gridCol w:w="109"/>
        <w:gridCol w:w="474"/>
        <w:gridCol w:w="1621"/>
        <w:gridCol w:w="245"/>
        <w:gridCol w:w="109"/>
        <w:gridCol w:w="109"/>
        <w:gridCol w:w="109"/>
        <w:gridCol w:w="437"/>
        <w:gridCol w:w="437"/>
        <w:gridCol w:w="128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adjusted EBITDA</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24,975 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(1)Logo and transit advertising do not meet the criteria to be reportable segments, and accordingly, are included in Other.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increased 9.0% to $303.4 million. The increase in adjusted EBITDA was primarily attributable to the increase in our billboard advertising adjusted EBITDA of $24.6 million, an increase in other adjusted EBITDA of $1.2 million and an increase in corporate expenses of $0.8 million, excluding the impact of stock-based compensation expense.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Income/FFO/AFFO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88"/>
        <w:gridCol w:w="1116"/>
        <w:gridCol w:w="1128"/>
        <w:gridCol w:w="211"/>
        <w:gridCol w:w="826"/>
        <w:gridCol w:w="109"/>
        <w:gridCol w:w="109"/>
        <w:gridCol w:w="109"/>
        <w:gridCol w:w="109"/>
        <w:gridCol w:w="211"/>
        <w:gridCol w:w="826"/>
        <w:gridCol w:w="109"/>
        <w:gridCol w:w="109"/>
        <w:gridCol w:w="109"/>
        <w:gridCol w:w="109"/>
        <w:gridCol w:w="344"/>
        <w:gridCol w:w="1177"/>
        <w:gridCol w:w="178"/>
        <w:gridCol w:w="109"/>
        <w:gridCol w:w="109"/>
        <w:gridCol w:w="109"/>
        <w:gridCol w:w="388"/>
        <w:gridCol w:w="308"/>
        <w:gridCol w:w="905"/>
      </w:tblGrid>
      <w:tr>
        <w:trPr/>
        <w:tc>
          <w:tcPr>
            <w:tcW w:w="138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related to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from sale or disposal of real estate and investments,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FFO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Straight line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FFO was $236.8 million as compared to $225.3 million for the same period in 2025 to $236.8 million, an increase of 5.1%. AFFO for the three months ended June 30, 2026 increased 10.1% to $247.9 million as compared to $225.3 million for the same period in 2025. The increase in AFFO was primarily attributable to an increase in our gross margin (net revenues less direct advertising expense, exclusive of depreciation and amortization and capitalized contract fulfillment costs, net) of $29.9 million, offset by an increase in total general and administrative and corporate expenses of $5.0 million, excluding the impact of stock-based compensation expense, as well as a decrease of $0.2 million in equity in earnings of investee.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satisfied its working capital requirements with cash from operations and borrowings under the senior credit facility and the Accounts Receivable Securitization Program. The Company’s wholly owned subsidiary, Lamar Media Corp., is the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Total Liquidity. </w:t>
      </w:r>
      <w:r>
        <w:rPr>
          <w:rFonts w:ascii="Times New Roman;serif" w:hAnsi="Times New Roman;serif"/>
          <w:b w:val="false"/>
          <w:color w:val="000000"/>
          <w:sz w:val="20"/>
        </w:rPr>
        <w:t>As of June 30, 2026 we had $720.2 million of total liquidity, which is comprised of $68.0 million in cash and cash equivalents and $652.2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accounting for borrowing the full amount available to us under the revolving portion of the senior credit facility.</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a working capital deficit of $293.4 million and $334.3 million, respectively. The decrease in working capital deficit of $40.9 million is primarily due to an increase in our receivables balance as of June 30, 2026.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Cash Generated by Operations.</w:t>
      </w:r>
      <w:r>
        <w:rPr>
          <w:color w:val="000000"/>
        </w:rPr>
        <w:t xml:space="preserve"> </w:t>
      </w:r>
      <w:r>
        <w:rPr>
          <w:rFonts w:ascii="Times New Roman;serif" w:hAnsi="Times New Roman;serif"/>
          <w:b w:val="false"/>
          <w:color w:val="000000"/>
          <w:sz w:val="20"/>
        </w:rPr>
        <w:t>For the six months ended June 30, 2026 and 2025, our cash provided by operating activities was $399.8 million and $357.2 million, respectively. We expect to generate cash flows from operations during 2026 in excess of our cash needs for operations, capital expenditures and dividends, as described herein. We believe we have sufficient liquidity available under our revolving credit facility to meet our operating cash needs for the next twelve months.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Accounts Receivable Securitization Program. </w:t>
      </w:r>
      <w:r>
        <w:rPr>
          <w:color w:val="000000"/>
        </w:rPr>
        <w:t> </w:t>
      </w:r>
      <w:r>
        <w:rPr>
          <w:rFonts w:ascii="Times New Roman;serif" w:hAnsi="Times New Roman;serif"/>
          <w:b w:val="false"/>
          <w:color w:val="000000"/>
          <w:sz w:val="20"/>
        </w:rPr>
        <w:t>On June 24, 2022, Lamar Media and the Special Purpose Subsidiaries entered into the Sixth Amendment (the "Sixth Amendment") to the Receivables Financing Agreement. The Sixth Amendment increased the Accounts Receivable Securitization Program from $175.0 million to $250.0 million. Additionally, the Sixth Amendment provides for the replacement of LIBOR-based interest rate mechanics with Term Secured Overnight Financing Rate ("Term SOFR") based interest rate mechanics for the Accounts Receivable Securitization Program.</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guarantee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$250.0 million in outstanding aggregate borrowings under the Accounts Receivable Securitization Program. Lamar Media had no additional availability under the Accounts Receivable Securitization Program as of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color w:val="000000"/>
        </w:rPr>
        <w:t>“</w:t>
      </w:r>
      <w:r>
        <w:rPr>
          <w:rFonts w:ascii="Times New Roman;serif" w:hAnsi="Times New Roman;serif"/>
          <w:b w:val="false"/>
          <w:i/>
          <w:color w:val="000000"/>
          <w:sz w:val="20"/>
        </w:rPr>
        <w:t>At-the-Market” Offering Program.</w:t>
      </w:r>
      <w:r>
        <w:rPr>
          <w:color w:val="000000"/>
        </w:rPr>
        <w:t xml:space="preserve"> </w:t>
      </w:r>
      <w:r>
        <w:rPr>
          <w:rFonts w:ascii="Times New Roman;serif" w:hAnsi="Times New Roman;serif"/>
          <w:b w:val="false"/>
          <w:color w:val="000000"/>
          <w:sz w:val="20"/>
        </w:rPr>
        <w:t>On July 24, 2024, the Company entered into an equity distribution agreement, or At-the-Market Offering 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conducted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or the prior sales agreement during the year ended December 31, 2025 and the six months ended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Shelf Registration Statement.</w:t>
      </w:r>
      <w:r>
        <w:rPr>
          <w:color w:val="000000"/>
        </w:rPr>
        <w:t xml:space="preserve"> </w:t>
      </w:r>
      <w:r>
        <w:rPr>
          <w:rFonts w:ascii="Times New Roman;serif" w:hAnsi="Times New Roman;serif"/>
          <w:b w:val="false"/>
          <w:color w:val="000000"/>
          <w:sz w:val="20"/>
        </w:rPr>
        <w:t>On July 24, 2024, the Company filed a new automatically effective shelf registration statement that allows the Company to offer and sell an indeterminate amount of additional shares of its Class A common stock. As of June 30, 2026, the Company has not issued any shares under the shelf registration statement.</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Credit Facilities. </w:t>
      </w:r>
      <w:r>
        <w:rPr>
          <w:rFonts w:ascii="Times New Roman;serif" w:hAnsi="Times New Roman;serif"/>
          <w:b w:val="false"/>
          <w:color w:val="000000"/>
          <w:sz w:val="20"/>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 xml:space="preserve">The senior credit facility, as established by the Fourth Amended and Restated Credit Agreement (as amended by the Amendments, as defined below) (the “senior credit facility”), consists of (i) a $750.0 million senior secured revolving credit facility which will mature on July 31, 2028, subject to certain conditions (see description of Amendment No. 4 below) (the “revolving credit facility”), (ii) a $700.0 million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calculated as described under </w:t>
      </w:r>
      <w:r>
        <w:rPr>
          <w:color w:val="000000"/>
        </w:rPr>
        <w:t>“</w:t>
      </w:r>
      <w:r>
        <w:rPr>
          <w:rFonts w:ascii="Times New Roman;serif" w:hAnsi="Times New Roman;serif"/>
          <w:b w:val="false"/>
          <w:i/>
          <w:color w:val="000000"/>
          <w:sz w:val="20"/>
        </w:rPr>
        <w:t>Restrictions under Senior Credit Facility”</w:t>
      </w:r>
      <w:r>
        <w:rPr>
          <w:color w:val="000000"/>
        </w:rPr>
        <w:t xml:space="preserve"> </w:t>
      </w:r>
      <w:r>
        <w:rPr>
          <w:rFonts w:ascii="Times New Roman;serif" w:hAnsi="Times New Roman;serif"/>
          <w:b w:val="false"/>
          <w:color w:val="000000"/>
          <w:sz w:val="20"/>
        </w:rPr>
        <w:t>of 4.50 to 1.00, as well as certain other conditions including lender approval.</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July 2, 2021, Lamar Media entered into Amendment No. 1 (the "Amendment No. 1"), to the Fourth Amended and Restated Credit Agreement. The Amendment No. 1 amended the definition of "Subsidiary" to exclude each of Lamar Partnering Sponsor LLC and Lamar Partnering Corporation and any of their subsidiaries (collectively, the “Lamar Partnering Entities”) such that, after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No. 1 also amended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July 29, 2022, Lamar Media entered into Amendment No. 2 ("Amendment No. 2") to the Fourth Amended and Restated Credit Agreement which established a new class of incremental Term A loans that were subsequently repaid in full on July 31, 2024.</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forth in the Fourth Amended and Restated Credit Agreement. All other material terms and conditions of the Fourth Amended and Restated Credit Agreement were unchanged by Amendment No. 3.</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 million revolving credit facility such that the revolving credit facility matures July 31, 2028; provided that, if on the date (the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Amendment No. 4 also established a $75.0 million swingline as a sublimit of the revolving credit facility, which allows Lamar Media to borrow revolving loans on a same-day basis, in an aggregate outstanding principal amount of up to $75.0 million.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23, 2025, Lamar Media entered into Amendment No. 5 (the “Amendment No. 5”, and together with the Amendment, Amendment No. 2, Amendment No. 3 and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 million in Term B loans on September 23, 2025. Proceeds from the Term B loans were used to repay $600.0 million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balance outstanding under the senior credit facility was $790.0 million, consisting of $700.0 million in Term B loans aggregate principal balance and $90.0 million in outstanding borrowings under our revolving credit facility. Lamar Media had approximately $652.2 million of unused capacity under the revolving credit facility.</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Factors Affecting Sources of Liquidity</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Internally Generated Funds. </w:t>
      </w:r>
      <w:r>
        <w:rPr>
          <w:rFonts w:ascii="Times New Roman;serif" w:hAnsi="Times New Roman;serif"/>
          <w:b w:val="false"/>
          <w:color w:val="000000"/>
          <w:sz w:val="20"/>
        </w:rPr>
        <w:t>The key factors affecting internally generated cash flow are general economic conditions, specific economic conditions in the markets where the Company conducts its business and overall spending on advertising by advertisers. We expect to generate cash flows from operations during 2026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Credit Facilities and Other Debt Securities.</w:t>
      </w:r>
      <w:r>
        <w:rPr>
          <w:color w:val="000000"/>
        </w:rPr>
        <w:t xml:space="preserve"> </w:t>
      </w:r>
      <w:r>
        <w:rPr>
          <w:rFonts w:ascii="Times New Roman;serif" w:hAnsi="Times New Roman;serif"/>
          <w:b w:val="false"/>
          <w:color w:val="000000"/>
          <w:sz w:val="20"/>
        </w:rPr>
        <w:t>The Company and Lamar Media must comply with certain covenants and restrictions related to the senior credit facility, its outstanding debt securities and its Accounts Receivable Securitization Program.</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Restrictions Under Debt Securities.</w:t>
      </w:r>
      <w:r>
        <w:rPr>
          <w:color w:val="000000"/>
        </w:rPr>
        <w:t xml:space="preserve"> </w:t>
      </w:r>
      <w:r>
        <w:rPr>
          <w:rFonts w:ascii="Times New Roman;serif" w:hAnsi="Times New Roman;serif"/>
          <w:b w:val="false"/>
          <w:color w:val="000000"/>
          <w:sz w:val="20"/>
        </w:rPr>
        <w:t>The Company and Lamar Media must comply with certain covenants and restrictions related to its outstanding debt securities. Currently, Lamar Media has outstanding the $600.0 million 3 3/4% Senior Notes issued February 2020, the $550.0 million 4% Senior Notes issued February 2020 and August 2020, the $400.0 million 4 7/8% Senior Notes issued in May 2020, the $550.0 million 3 5/8% Senior Notes issued in January 2021 and the $400.0 million 5 3/8% Senior Notes issued September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(and in the case of the 5 3/8% Notes, minus (z) unrestricted cash of Lamar Media and its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 addition to debt incurred under the provisions described in the preceding paragraph, the indentures relating to Lamar Media’s outstanding notes permit Lamar Media to incur indebtedness pursuant to the following baskets:</w:t>
      </w:r>
    </w:p>
    <w:p>
      <w:pPr>
        <w:pStyle w:val="TextBody"/>
        <w:bidi w:val="0"/>
        <w:spacing w:before="0" w:after="0"/>
        <w:ind w:left="0" w:right="0" w:firstLine="630"/>
        <w:jc w:val="both"/>
        <w:rPr/>
      </w:pPr>
      <w:r>
        <w:rPr/>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up to $2.0 billion of indebtedness under the senior credit facility;</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indebtedness outstanding on the date of the indentures or debt incurred to refinance outstanding debt;</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inter-company debt between Lamar Media and its restricted subsidiaries or between restricted subsidiaries;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certain purchase money indebtedness and capitalized lease obligations to acquire or lease property in the ordinary course of business that cannot exceed the greater of $50.0 million or 5% of Lamar Media’s net tangible assets;</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additional debt not to exceed $75.0 million; and</w:t>
      </w:r>
    </w:p>
    <w:p>
      <w:pPr>
        <w:pStyle w:val="TextBody"/>
        <w:bidi w:val="0"/>
        <w:spacing w:lineRule="atLeast" w:line="340" w:before="0" w:after="0"/>
        <w:ind w:left="0" w:right="0" w:hanging="630"/>
        <w:jc w:val="both"/>
        <w:rPr/>
      </w:pPr>
      <w:r>
        <w:rPr>
          <w:color w:val="000000"/>
        </w:rPr>
        <w:t>•</w:t>
      </w:r>
      <w:r>
        <w:rPr>
          <w:rFonts w:ascii="Times New Roman;serif" w:hAnsi="Times New Roman;serif"/>
          <w:b w:val="false"/>
          <w:color w:val="000000"/>
          <w:sz w:val="20"/>
        </w:rPr>
        <w:t>up to $500.0 million of permitted securitization financings.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Restrictions Under Senior Credit Facility. </w:t>
      </w:r>
      <w:r>
        <w:rPr>
          <w:rFonts w:ascii="Times New Roman;serif" w:hAnsi="Times New Roman;serif"/>
          <w:b w:val="false"/>
          <w:color w:val="000000"/>
          <w:sz w:val="20"/>
        </w:rPr>
        <w:t>Lamar Media is required to comply with certain covenants and restrictions under the senior credit 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As of June 30, 2026, we were, and currently we are, in compliance with all such tests under the senior credit facility.</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0"/>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serif" w:hAnsi="Times New Roman;serif"/>
          <w:b w:val="false"/>
          <w:i/>
          <w:color w:val="000000"/>
          <w:sz w:val="20"/>
        </w:rPr>
        <w:t>ources of Cash – Accounts Receivable Securitization Program))</w:t>
      </w:r>
      <w:r>
        <w:rPr>
          <w:color w:val="000000"/>
        </w:rPr>
        <w:t xml:space="preserve"> </w:t>
      </w:r>
      <w:r>
        <w:rPr>
          <w:rFonts w:ascii="Times New Roman;serif" w:hAnsi="Times New Roman;serif"/>
          <w:b w:val="false"/>
          <w:color w:val="000000"/>
          <w:sz w:val="20"/>
        </w:rPr>
        <w:t>to EBITDA, as defined below, for the period of four consecutive fiscal quarters then ended, of less than or equal to 4.5 to 1.0.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 is restricted from incurring additional indebtedness subject to exceptions, one of which is that it may incur additional indebtedness not exceeding the greater of $250.0 million or 6% of its total assets.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its current level of cash on hand, availability under the senior credit facility and future cash flows from operations are sufficient to meet its operating needs for the next twelve months. All debt obligations are reflected on the Company’s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Restrictions under Accounts Receivable Securitization Program. </w:t>
      </w:r>
      <w:r>
        <w:rPr>
          <w:rFonts w:ascii="Times New Roman;serif" w:hAnsi="Times New Roman;serif"/>
          <w:b w:val="false"/>
          <w:color w:val="000000"/>
          <w:sz w:val="20"/>
        </w:rPr>
        <w:t>The agreements governing the Accounts Receivable Securitization Program 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Uses of Cash</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Capital Expenditures.</w:t>
      </w:r>
      <w:r>
        <w:rPr>
          <w:color w:val="000000"/>
        </w:rPr>
        <w:t> </w:t>
      </w:r>
      <w:r>
        <w:rPr>
          <w:rFonts w:ascii="Times New Roman;serif" w:hAnsi="Times New Roman;serif"/>
          <w:b w:val="false"/>
          <w:color w:val="000000"/>
          <w:sz w:val="20"/>
        </w:rPr>
        <w:t>Capital expenditures, excluding acquisitions, were approximately $75.9 million for the six months ended June 30, 2026. We anticipate our 2026 total capital expenditures will be approximately $186.0 million.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Acquisitions. </w:t>
      </w:r>
      <w:r>
        <w:rPr>
          <w:rFonts w:ascii="Times New Roman;serif" w:hAnsi="Times New Roman;serif"/>
          <w:b w:val="false"/>
          <w:color w:val="000000"/>
          <w:sz w:val="20"/>
        </w:rPr>
        <w:t>During the six months ended June 30, 2026, the Company completed acquisitions for an aggregate cash purchase price of approximately $101.9 million, which were financed using available cash on hand and borrowings on the senior credit facility.</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Dividends.</w:t>
      </w:r>
      <w:r>
        <w:rPr>
          <w:color w:val="000000"/>
        </w:rPr>
        <w:t xml:space="preserve"> </w:t>
      </w:r>
      <w:r>
        <w:rPr>
          <w:rFonts w:ascii="Times New Roman;serif" w:hAnsi="Times New Roman;serif"/>
          <w:b w:val="false"/>
          <w:color w:val="000000"/>
          <w:sz w:val="20"/>
        </w:rPr>
        <w:t>On February 26, 2026, the Company's Board of Directors declared a quarterly cash dividend of $1.60 per common share of the Company, paid on March 31, 2026 to its stockholders of record of its Class A common stock, Class B common stock, and holders of common/LTIP units of Lamar LP, on March 16, 2026. On May 14, 2026, the Company's Board of Directors declared a quarterly cash dividend of $1.60 per common share of the Company, paid on June 30, 2026 to its stockholders of record of its Class A common stock, Class B common stock, and holders of common/LTIP units of Lamar LP, on June 16, 2026. Subject to approval of the Company's Board of Directors, the Company expects aggregate quarterly distributions to stockholders in 2026 will be at least $6.50 per share of common stock, including the dividends paid on March 31, 2026 and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Stock and Debt Repurchasing Program.</w:t>
      </w:r>
      <w:r>
        <w:rPr>
          <w:color w:val="000000"/>
        </w:rPr>
        <w:t xml:space="preserve"> </w:t>
      </w:r>
      <w:r>
        <w:rPr>
          <w:rFonts w:ascii="Times New Roman;serif" w:hAnsi="Times New Roman;serif"/>
          <w:b w:val="false"/>
          <w:color w:val="000000"/>
          <w:sz w:val="20"/>
        </w:rPr>
        <w:t>Prior to May 15, 2025, the Company’s Board of Directors had authorized the repurchase of up to $250.0 million of the Company’s Class A common stock. Additionally, the Board of Directors has authorized Lamar Media to repurchase up to $250.0 million in outstanding senior or senior subordinated notes and other indebtedness outstanding from time to time under its senior credit agreement. On May 15, 2025, the Company's Board of Directors approved the increase of the amount authorized under the Stock Repurchase Program by $150.0 million, bringing the total amount authorized under the Program to $400.0 million. On February 26, 2026, the Board of Directors authorized the extension of the Stock Repurchase Program through September 30, 2027. The Company’s management may opt not to make any repurchases under the program, or may make aggregate purchases less than the total amount authorized. During the year ended December 31, 2025, the Company repurchased 1,388,091 shares of the Company's Class A common stock outstanding for a total purchase price of $150.0 million. There were no repurchases made during the six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expected material cash requirements for the twelve months following June 30, 2026 and thereafter are comprised of contractual obligations, required annual distributions and other opportunistic expenditures.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Debt and Contractual Obligations. </w:t>
      </w:r>
      <w:r>
        <w:rPr>
          <w:rFonts w:ascii="Times New Roman;serif" w:hAnsi="Times New Roman;serif"/>
          <w:b w:val="false"/>
          <w:color w:val="000000"/>
          <w:sz w:val="20"/>
        </w:rPr>
        <w:t>The following table summarizes our future debt maturities, interest payment obligations, and contractual obligations including required payments under operating and financing leases as of June 30, 2026:</w:t>
      </w:r>
    </w:p>
    <w:p>
      <w:pPr>
        <w:pStyle w:val="TextBody"/>
        <w:bidi w:val="0"/>
        <w:spacing w:before="0" w:after="0"/>
        <w:ind w:left="0" w:right="0" w:firstLine="630"/>
        <w:jc w:val="both"/>
        <w:rPr/>
      </w:pPr>
      <w:r>
        <w:rPr/>
      </w:r>
    </w:p>
    <w:tbl>
      <w:tblPr>
        <w:tblW w:w="8207" w:type="dxa"/>
        <w:jc w:val="left"/>
        <w:tblInd w:w="0" w:type="dxa"/>
        <w:tblLayout w:type="fixed"/>
        <w:tblCellMar>
          <w:top w:w="28" w:type="dxa"/>
          <w:left w:w="28" w:type="dxa"/>
          <w:bottom w:w="28" w:type="dxa"/>
          <w:right w:w="28" w:type="dxa"/>
        </w:tblCellMar>
      </w:tblPr>
      <w:tblGrid>
        <w:gridCol w:w="1971"/>
        <w:gridCol w:w="1735"/>
        <w:gridCol w:w="1753"/>
        <w:gridCol w:w="291"/>
        <w:gridCol w:w="849"/>
        <w:gridCol w:w="150"/>
        <w:gridCol w:w="109"/>
        <w:gridCol w:w="109"/>
        <w:gridCol w:w="109"/>
        <w:gridCol w:w="211"/>
        <w:gridCol w:w="766"/>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Debt maturities</w:t>
            </w:r>
            <w:r>
              <w:rPr>
                <w:rFonts w:ascii="Times New Roman;serif" w:hAnsi="Times New Roman;serif"/>
                <w:b w:val="false"/>
                <w:color w:val="000000"/>
                <w:sz w:val="16"/>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obligations on long-term debt</w:t>
            </w:r>
            <w:r>
              <w:rPr>
                <w:rFonts w:ascii="Times New Roman;serif" w:hAnsi="Times New Roman;serif"/>
                <w:b w:val="false"/>
                <w:color w:val="000000"/>
                <w:sz w:val="16"/>
              </w:rPr>
              <w:t>(2)</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obligations, including operating and financing leases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due</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(1)Debt maturities assume there is no refinancing prior to the existing maturity date and is based on contractual maturities.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(2)Interest rates on our variable rate instruments assume rates at the June 30, 2026 levels.</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Required Annual Distributions.</w:t>
      </w:r>
      <w:r>
        <w:rPr>
          <w:color w:val="000000"/>
        </w:rPr>
        <w:t xml:space="preserve"> </w:t>
      </w:r>
      <w:r>
        <w:rPr>
          <w:rFonts w:ascii="Times New Roman;serif" w:hAnsi="Times New Roman;serif"/>
          <w:b w:val="false"/>
          <w:color w:val="000000"/>
          <w:sz w:val="20"/>
        </w:rPr>
        <w:t xml:space="preserve">As a REIT, the Company must annually distribute to its stockholders an amount equal to at least 90% of its REIT taxable income (determined before the deduction for distributed earnings and excluding any net capital gain). On February 26, 2026, the Company's Board of Directors declared a quarterly cash dividend of $1.60 per common share of the Company, paid on March 31, 2026 to its stockholders of record of its Class A common stock, Class B common stock, and holders of common/LTIP units of Lamar LP, on March 16, 2026. On May 14, 2026, the Company's Board of Directors declared a quarterly cash dividend of $1.60 per common share of the Company, paid on June 30, 2026 to its stockholders of record of its Class A common stock, Class B common stock, and holders of common/LTIP units of Lamar LP, on June 16, 2026. Subject to approval of the Company's Board of Directors, the Company expects aggregate quarterly distributions to stockholders in 2026 will be at least $6.50 per share of common stock, including the dividends paid on March 31, 2026 and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630"/>
        <w:jc w:val="both"/>
        <w:rPr/>
      </w:pPr>
      <w:r>
        <w:rPr>
          <w:rFonts w:ascii="Times New Roman;serif" w:hAnsi="Times New Roman;serif"/>
          <w:b w:val="false"/>
          <w:i/>
          <w:color w:val="000000"/>
          <w:sz w:val="20"/>
        </w:rPr>
        <w:t xml:space="preserve">Opportunistic Expenditures. </w:t>
      </w:r>
      <w:r>
        <w:rPr>
          <w:rFonts w:ascii="Times New Roman;serif" w:hAnsi="Times New Roman;serif"/>
          <w:b w:val="false"/>
          <w:color w:val="000000"/>
          <w:sz w:val="20"/>
        </w:rPr>
        <w:t>As part of our capital allocation strategy, we plan to continue to allocate our available capital among investment 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cash flows provided by operating activities increased $42.6 million from $357.2 million for the six months ended June 30, 2025 to $399.8 million for the six months ended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increased $128.8 million from $33.8 million for the six months ended June 30, 2025 to $162.5 million for the six months ended June 30, 2026. This change was primarily due to increases in acquisitions and capital expenditures during 2026, offset by the net change in proceeds received from the sale of the Company's equity investment in Vistar Media, Inc. of $115.9 million during 2025 as compared to $8.0 million received during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cash flows used in financing activities were $234.0 million for the six months ended June 30, 2026 as compared to $317.5 million for the six months ended June 30, 2025. The cash flows used in financing activities of $234.0 million for the six months ended June 30, 2026 were primarily due to cash paid for dividends and distributions, offset by borrowings on the revolving credit facility.</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2025 Combined Form 10-K.</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Standards and Regulatory Update</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See Note 14, "New Accounting Pronouncements" to our condensed consolidated financial statements included in Part 1, Item 1 of this report for a discussion of our Accounting Standards and Regulatory Update.</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consolidated financial condition and results of operations of Lamar Media for the three and six months ended June 30, 2026 and 2025. This discussion should be read in conjunction with the consolidated financial statements of Lamar Media and the related notes thereto.</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Net revenues increased $60.0 million, or 5.5%, to $1.14 billion for the six months ended June 30, 2026 from $1.08 billion for the same period in 2025. This increase was primarily attributable to an increase in billboard net revenues of $63.7 million and an increase in logo net revenues of $1.6 million, offset by a decrease in transit net revenues of $5.3 million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there was a $55.5 million increase in net revenues as compared to acquisition-adjusted net revenues for the six months ended June 30, 2025, which represents an increase of 5.1%. See "Reconciliations" below. The $55.5 million increase in net revenues is primarily due to an increase of $46.3 million in billboard net revenues, an increase of $1.8 million in logo net revenues, and an increase in transit net revenues of $7.4 million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Total operating expenses, exclusive of depreciation and amortization and gain on disposition of assets and investments, increased $25.8 million, or 4.2%, to $639.4 million for the six months ended June 30, 2026 from $613.6 million for the same period in 2025. The $25.8 million increase over the prior year is comprised of an $18.2 million increase in total direct, general and administrative and corporate expenses (excluding stock-based compensation) primarily related to the operations of our outdoor advertising assets, as well as a $7.5 million increase in stock-based compensation.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$10.5 million to $166.4 million for the six months ended June 30, 2026 as compared to $155.9 million for the same period in 2025, primarily related to acquisitions and capital expenditures completed in the last twelve months.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Lamar Media recognized a gain on disposition of assets and investments of $15.3 million as compared to $74.0 million for the same period in 2025. The $58.7 million decrease is primarily related to the gain associated with the sale of Lamar's equity interest in Vistar Media, Inc. during the six months ended June 30,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Due to the above factors, operating income decreased by $34.9 million to $354.3 million for the six months ended June 30, 2026 as compared to $389.2 million for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$2.6 million for the six months ended June 30, 2026 to $81.6 million as compared to $79.0 million for the six months ended June 30, 2025. The increase was primarily due to the institutional private placement of the 5 3/8% Senior Notes in September 2025, offset by a decrease in interest rates on the senior credit facility and Accounts Receivable Securitization Program.</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decrease in operating income, as well as the increase in interest expense, resulted in a $37.9 million decrease in income before income tax expense for the six months ended June 30, 2026 as compared to the same period in 2025. The effective tax rate for the six months ended June 30, 2026 was 2.5%, which differs from the federal statutory rate primarily due to our qualification for taxation as a REIT and adjustments for foreign items.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a result of the above factors, Lamar Media recognized net income for the six months ended June 30, 2026 of $266.8 million, as compared to net income of $294.5 million for the same period in 2025.</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Reconciliations: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Because acquisitions occurring after December 31, 2024 have contributed to our net revenues results for the periods presented, we provide 2025 acquisition-adjusted net revenues, which adjusts our 2025 net revenues for the six months ended June 30, 2025 by adding to or subtracting from it the net revenues generated by the acquired or divested assets prior to our acquisition or divestiture of these assets for the same time frame that those assets were owned in the six months ended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Reconciliations of 2025 reported net revenues to 2025 acquisition-adjusted net revenues for the six months ended June 30, as well as a comparison of 2025 acquisition-adjusted net revenues to 2026 reported net revenues for the six months ended June 30, are provided below:</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Reconciliation and Comparison of Reported Net Revenues to Acquisition-Adjusted Net Revenues</w:t>
      </w:r>
    </w:p>
    <w:p>
      <w:pPr>
        <w:pStyle w:val="TextBody"/>
        <w:bidi w:val="0"/>
        <w:spacing w:before="0" w:after="0"/>
        <w:ind w:left="0" w:right="0" w:firstLine="630"/>
        <w:jc w:val="both"/>
        <w:rPr/>
      </w:pPr>
      <w:r>
        <w:rPr/>
      </w:r>
    </w:p>
    <w:tbl>
      <w:tblPr>
        <w:tblW w:w="5109" w:type="dxa"/>
        <w:jc w:val="left"/>
        <w:tblInd w:w="0" w:type="dxa"/>
        <w:tblLayout w:type="fixed"/>
        <w:tblCellMar>
          <w:top w:w="28" w:type="dxa"/>
          <w:left w:w="28" w:type="dxa"/>
          <w:bottom w:w="28" w:type="dxa"/>
          <w:right w:w="28" w:type="dxa"/>
        </w:tblCellMar>
      </w:tblPr>
      <w:tblGrid>
        <w:gridCol w:w="776"/>
        <w:gridCol w:w="682"/>
        <w:gridCol w:w="687"/>
        <w:gridCol w:w="211"/>
        <w:gridCol w:w="976"/>
        <w:gridCol w:w="109"/>
        <w:gridCol w:w="109"/>
        <w:gridCol w:w="109"/>
        <w:gridCol w:w="109"/>
        <w:gridCol w:w="211"/>
        <w:gridCol w:w="97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Income/Adjusted EBITDA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5"/>
        <w:gridCol w:w="953"/>
        <w:gridCol w:w="957"/>
        <w:gridCol w:w="211"/>
        <w:gridCol w:w="826"/>
        <w:gridCol w:w="109"/>
        <w:gridCol w:w="109"/>
        <w:gridCol w:w="109"/>
        <w:gridCol w:w="109"/>
        <w:gridCol w:w="211"/>
        <w:gridCol w:w="826"/>
        <w:gridCol w:w="109"/>
        <w:gridCol w:w="109"/>
        <w:gridCol w:w="109"/>
        <w:gridCol w:w="109"/>
        <w:gridCol w:w="379"/>
        <w:gridCol w:w="1415"/>
        <w:gridCol w:w="195"/>
        <w:gridCol w:w="109"/>
        <w:gridCol w:w="109"/>
        <w:gridCol w:w="109"/>
        <w:gridCol w:w="386"/>
        <w:gridCol w:w="366"/>
        <w:gridCol w:w="1076"/>
      </w:tblGrid>
      <w:tr>
        <w:trPr/>
        <w:tc>
          <w:tcPr>
            <w:tcW w:w="120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2026 increased 8.4% to $530.0 million. The increase in adjusted EBITDA was primarily attributable to an increase in our gross margin (net revenues less direct advertising expenses, exclusive of depreciation and amortization and capitalized contract fulfillment costs, net) of $49.9 million, offset by an increase in total general and administrative and corporate expenses of $7.4 million, excluding the impact of stock-based compensation expense.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Segmented Adjusted EBITDA</w:t>
      </w:r>
    </w:p>
    <w:p>
      <w:pPr>
        <w:pStyle w:val="TextBody"/>
        <w:bidi w:val="0"/>
        <w:spacing w:before="0" w:after="0"/>
        <w:jc w:val="both"/>
        <w:rPr/>
      </w:pPr>
      <w:r>
        <w:rPr/>
      </w:r>
    </w:p>
    <w:tbl>
      <w:tblPr>
        <w:tblW w:w="10156" w:type="dxa"/>
        <w:jc w:val="left"/>
        <w:tblInd w:w="0" w:type="dxa"/>
        <w:tblLayout w:type="fixed"/>
        <w:tblCellMar>
          <w:top w:w="28" w:type="dxa"/>
          <w:left w:w="28" w:type="dxa"/>
          <w:bottom w:w="28" w:type="dxa"/>
          <w:right w:w="28" w:type="dxa"/>
        </w:tblCellMar>
      </w:tblPr>
      <w:tblGrid>
        <w:gridCol w:w="864"/>
        <w:gridCol w:w="759"/>
        <w:gridCol w:w="761"/>
        <w:gridCol w:w="211"/>
        <w:gridCol w:w="826"/>
        <w:gridCol w:w="109"/>
        <w:gridCol w:w="109"/>
        <w:gridCol w:w="109"/>
        <w:gridCol w:w="109"/>
        <w:gridCol w:w="211"/>
        <w:gridCol w:w="826"/>
        <w:gridCol w:w="109"/>
        <w:gridCol w:w="109"/>
        <w:gridCol w:w="109"/>
        <w:gridCol w:w="109"/>
        <w:gridCol w:w="474"/>
        <w:gridCol w:w="1621"/>
        <w:gridCol w:w="245"/>
        <w:gridCol w:w="109"/>
        <w:gridCol w:w="109"/>
        <w:gridCol w:w="109"/>
        <w:gridCol w:w="437"/>
        <w:gridCol w:w="437"/>
        <w:gridCol w:w="128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adjusted EBITDA</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(1)Logo and transit advertising do not meet the criteria to be reportable segments, and accordingly, are included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2026 increased 8.4% to $530.0 million. The increase in adjusted EBITDA was primarily attributable to the increase in our billboard advertising adjusted EBITDA of $37.7 million, and an increase in other adjusted EBITDA of $4.4 million, offset by an increase in corporate expenses of $1.0 million, excluding the impact of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Income/FFO/AFFO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6"/>
        <w:gridCol w:w="1124"/>
        <w:gridCol w:w="1136"/>
        <w:gridCol w:w="211"/>
        <w:gridCol w:w="826"/>
        <w:gridCol w:w="109"/>
        <w:gridCol w:w="109"/>
        <w:gridCol w:w="109"/>
        <w:gridCol w:w="109"/>
        <w:gridCol w:w="211"/>
        <w:gridCol w:w="826"/>
        <w:gridCol w:w="109"/>
        <w:gridCol w:w="109"/>
        <w:gridCol w:w="109"/>
        <w:gridCol w:w="109"/>
        <w:gridCol w:w="329"/>
        <w:gridCol w:w="1214"/>
        <w:gridCol w:w="170"/>
        <w:gridCol w:w="109"/>
        <w:gridCol w:w="109"/>
        <w:gridCol w:w="109"/>
        <w:gridCol w:w="345"/>
        <w:gridCol w:w="309"/>
        <w:gridCol w:w="909"/>
      </w:tblGrid>
      <w:tr>
        <w:trPr/>
        <w:tc>
          <w:tcPr>
            <w:tcW w:w="13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related to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from sale or disposal of real estate and investments,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FFO</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Straight-line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FFO was $404.8 million as compared to $381.7 million for the same period in 2025, an increase of 6.0%. AFFO for the six months ended June 30, 2026 increased 9.2% to $425.7 million as compared to $389.8 million for the same period in 2025. The increase in AFFO was primarily attributable to an increase in our gross margin (net revenues less direct advertising expenses, exclusive of depreciation and amortization and capitalized contract fulfillment costs, net) of $49.9 million, offset by an increase in interest expense of $2.6 million and an increase in total general and administrative and corporate expenses of $7.4 million, excluding the impact of stock-based compensation, for the six months ended June 30, 2026.</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Net revenues increased $37.4 million or 6.5% to $616.7 million for the three months ended June 30, 2026 from $579.3 million for the same period in 2025. This increase was primarily attributable to an increase in billboard net revenues of $40.0 million and an increase in logo net revenues of $0.2 million, offset by a decrease in transit net revenues of $2.8 million over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there was a $35.7 million increase in net revenues as compared to acquisition-adjusted net revenues for the three months ended June 30, 2025, which represents an increase of 6.1%. See "Reconciliations" below. The $35.7 million increase in net revenues is primarily due to an increase of $31.1 million in billboard net revenues, an increase of $0.5 million in logo net revenues, and an increase in transit net revenues of $4.2 million over the same period in 2025.</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Total operating expenses, exclusive of depreciation and amortization and gain on disposition of assets and investments, increased $19.3 million, or 6.3%, to $326.9 million for the three months ended June 30, 2026 from $307.5 million for the same period in 2025. The $19.3 million increase over the prior year is comprised of a $12.4 million increase in total direct, general and administrative and corporate expenses (excluding stock-based compensation) primarily related to the operations of our outdoor advertising assets, as well as a $6.9 million increase in stock-based compensation.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$6.3 million to $84.4 million for the three months ended June 30, 2026 as compared to $78.1 million for the same period in 2025, primarily related to acquisitions and capital expenditures completed in the last twelve months.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Lamar Media recognized a gain on disposition of assets and investments of $2.7 million, primarily resulting from transactions related to the sale of real estate and billboard locations and displays.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Due to the above factors, operating income increased by $10.3 million to $208.1 million for the three months ended June 30, 2026 as compared to $197.8 million for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$0.4 million for the three months ended June 30, 2026 to $41.1 million as compared to $40.7 million for the three months ended June 30, 2025 primarily due to the institutional private placement of the 5 3/8% Senior Notes in September 2025, offset by a decrease in interest rates on the senior credit facility and Accounts Receivable Securitization Program.</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increase in operating income, offset by the increase in interest expense, resulted in an increase in income before income tax expense of $10.0 million for the three months ended June 30, 2026 as compared to the same period in 2025. The effective tax rate for the three months ended June 30, 2026 was 1.6%, which differs from the federal statutory rate primarily due to our qualification for taxation as a REIT and adjustments for foreign items.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a result of the above factors, Lamar Media recognized net income for the three months ended June 30, 2026 of $164.8 million, as compared to net income of $155.2 million for the same period in 2025.</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Reconciliations: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Because acquisitions occurring after December 31, 2024 have contributed to our net revenues results for the periods presented, we provide 2025 acquisition-adjusted net revenues, which adjusts our 2025 net revenues for the three months ended June 30, 2025 by adding to or subtracting from it the net revenues generated by the acquired or divested assets prior to our acquisition or divestiture of these assets for the same time frame that those assets were owned in the three months ended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Reconciliations of 2025 reported net revenues to 2025 acquisition-adjusted net revenues for the three months ended June 30, as well as a comparison of 2025 acquisition-adjusted net revenues to 2026 reported net revenues for the three months ended June 30, are provided below:</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Reconciliation and Comparison of Reported Net Revenues to Acquisition-Adjusted Net Revenues</w:t>
      </w:r>
    </w:p>
    <w:p>
      <w:pPr>
        <w:pStyle w:val="TextBody"/>
        <w:bidi w:val="0"/>
        <w:spacing w:before="0" w:after="0"/>
        <w:jc w:val="both"/>
        <w:rPr/>
      </w:pPr>
      <w:r>
        <w:rPr/>
      </w:r>
    </w:p>
    <w:tbl>
      <w:tblPr>
        <w:tblW w:w="4809" w:type="dxa"/>
        <w:jc w:val="left"/>
        <w:tblInd w:w="0" w:type="dxa"/>
        <w:tblLayout w:type="fixed"/>
        <w:tblCellMar>
          <w:top w:w="28" w:type="dxa"/>
          <w:left w:w="28" w:type="dxa"/>
          <w:bottom w:w="28" w:type="dxa"/>
          <w:right w:w="28" w:type="dxa"/>
        </w:tblCellMar>
      </w:tblPr>
      <w:tblGrid>
        <w:gridCol w:w="776"/>
        <w:gridCol w:w="682"/>
        <w:gridCol w:w="687"/>
        <w:gridCol w:w="211"/>
        <w:gridCol w:w="826"/>
        <w:gridCol w:w="109"/>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Income/Adjusted EBITDA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9"/>
        <w:gridCol w:w="960"/>
        <w:gridCol w:w="964"/>
        <w:gridCol w:w="211"/>
        <w:gridCol w:w="826"/>
        <w:gridCol w:w="109"/>
        <w:gridCol w:w="109"/>
        <w:gridCol w:w="109"/>
        <w:gridCol w:w="109"/>
        <w:gridCol w:w="211"/>
        <w:gridCol w:w="826"/>
        <w:gridCol w:w="109"/>
        <w:gridCol w:w="109"/>
        <w:gridCol w:w="109"/>
        <w:gridCol w:w="109"/>
        <w:gridCol w:w="404"/>
        <w:gridCol w:w="1382"/>
        <w:gridCol w:w="208"/>
        <w:gridCol w:w="109"/>
        <w:gridCol w:w="109"/>
        <w:gridCol w:w="109"/>
        <w:gridCol w:w="392"/>
        <w:gridCol w:w="357"/>
        <w:gridCol w:w="1056"/>
      </w:tblGrid>
      <w:tr>
        <w:trPr/>
        <w:tc>
          <w:tcPr>
            <w:tcW w:w="12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1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increased 9.0% to $303.5 million. The increase in adjusted EBITDA was primarily attributable to an increase in our gross margin (net revenues less direct advertising expense, exclusive of depreciation and amortization and capitalized contract fulfillment costs, net) of $29.9 million offset by an increase in total general and administrative and corporate expenses of $5.0 million, excluding the impact of stock-based compensation expense.</w:t>
      </w:r>
    </w:p>
    <w:p>
      <w:pPr>
        <w:pStyle w:val="TextBody"/>
        <w:bidi w:val="0"/>
        <w:spacing w:before="0" w:after="0"/>
        <w:ind w:left="0" w:right="0" w:firstLine="63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Segmented Adjusted EBITDA</w:t>
      </w:r>
    </w:p>
    <w:p>
      <w:pPr>
        <w:pStyle w:val="TextBody"/>
        <w:bidi w:val="0"/>
        <w:spacing w:before="0" w:after="0"/>
        <w:jc w:val="both"/>
        <w:rPr/>
      </w:pPr>
      <w:r>
        <w:rPr/>
      </w:r>
    </w:p>
    <w:tbl>
      <w:tblPr>
        <w:tblW w:w="10156" w:type="dxa"/>
        <w:jc w:val="left"/>
        <w:tblInd w:w="0" w:type="dxa"/>
        <w:tblLayout w:type="fixed"/>
        <w:tblCellMar>
          <w:top w:w="28" w:type="dxa"/>
          <w:left w:w="28" w:type="dxa"/>
          <w:bottom w:w="28" w:type="dxa"/>
          <w:right w:w="28" w:type="dxa"/>
        </w:tblCellMar>
      </w:tblPr>
      <w:tblGrid>
        <w:gridCol w:w="864"/>
        <w:gridCol w:w="759"/>
        <w:gridCol w:w="761"/>
        <w:gridCol w:w="211"/>
        <w:gridCol w:w="826"/>
        <w:gridCol w:w="109"/>
        <w:gridCol w:w="109"/>
        <w:gridCol w:w="109"/>
        <w:gridCol w:w="109"/>
        <w:gridCol w:w="211"/>
        <w:gridCol w:w="826"/>
        <w:gridCol w:w="109"/>
        <w:gridCol w:w="109"/>
        <w:gridCol w:w="109"/>
        <w:gridCol w:w="109"/>
        <w:gridCol w:w="474"/>
        <w:gridCol w:w="1621"/>
        <w:gridCol w:w="245"/>
        <w:gridCol w:w="109"/>
        <w:gridCol w:w="109"/>
        <w:gridCol w:w="109"/>
        <w:gridCol w:w="437"/>
        <w:gridCol w:w="437"/>
        <w:gridCol w:w="128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Billboard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adjusted EBITDA</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(1)Logo and transit advertising do not meet the criteria to be reportable segments, and accordingly, are included in Other.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    </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increased 9.0% to $303.5 million. The increase in adjusted EBITDA was primarily attributable to the increase in our billboard advertising adjusted EBITDA of $24.6 million, an increase in other adjusted EBITDA of $1.2 million and an increase in corporate expenses of $0.8 million, excluding the impact of stock-based compensation expense.</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Income/FFO/AFFO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9"/>
        <w:gridCol w:w="1127"/>
        <w:gridCol w:w="1140"/>
        <w:gridCol w:w="211"/>
        <w:gridCol w:w="826"/>
        <w:gridCol w:w="109"/>
        <w:gridCol w:w="109"/>
        <w:gridCol w:w="109"/>
        <w:gridCol w:w="109"/>
        <w:gridCol w:w="211"/>
        <w:gridCol w:w="826"/>
        <w:gridCol w:w="109"/>
        <w:gridCol w:w="109"/>
        <w:gridCol w:w="109"/>
        <w:gridCol w:w="109"/>
        <w:gridCol w:w="346"/>
        <w:gridCol w:w="1184"/>
        <w:gridCol w:w="179"/>
        <w:gridCol w:w="109"/>
        <w:gridCol w:w="109"/>
        <w:gridCol w:w="109"/>
        <w:gridCol w:w="406"/>
        <w:gridCol w:w="291"/>
        <w:gridCol w:w="860"/>
      </w:tblGrid>
      <w:tr>
        <w:trPr/>
        <w:tc>
          <w:tcPr>
            <w:tcW w:w="139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3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related to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from sale or disposal of real estate and investments,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FFO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Straight-line expense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fulfillment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unconsolidated affiliates and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FFO was $236.9 million as compared to $225.5 million for the same period in 2025, an increase of 5.1%. AFFO for the three months ended June 30, 2026 increased 10.1% to $248.1 million as compared to $225.4 million for the same period in 2025. The increase in AFFO was primarily attributable to an increase in our gross margin (net revenues less direct advertising expenses, exclusive of depreciation and amortization and capitalized contract fulfillment costs, net) of $29.9 million, offset by an increase in total general and administrative and corporate expenses of $5.0 million, excluding the impact of stock-based compensation expense, as well as a decrease of $0.2 million in equity in earnings of investee.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Lamar Advertising Company and Lamar Media Corp.</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2026, and should be read in conjunction with Note 11 of the Notes to the Company’s Condensed Consolidated Financial Statements.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At June 30, 2026, there was approximately $1.04 billion of indebtedness outstanding under the senior credit facility and the Accounts Receivable Securitization Program, or approximately 29.3% of the Company’s outstanding long-term debt on that date, bearing interest at variable rates. The aggregate interest expense for 2026 with respect to borrowings under the senior credit facility and the Accounts Receivable Securitization Program was $24.8 million, and the weighted average interest rate applicable to these borrowings during 2026 was 5.0%. Assuming that the weighted average interest rate was 200 basis points higher (that is 7.0% rather than 5.0%), then the Company’s 2026 interest expense would have increased by approximately $9.5 million for the six months ended June 30,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it may take to mitigate this risk will be feasible or that, if these actions are taken, that they will be effective.</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hanging="360"/>
        <w:jc w:val="both"/>
        <w:rPr/>
      </w:pPr>
      <w:r>
        <w:rPr/>
      </w:r>
    </w:p>
    <w:p>
      <w:pPr>
        <w:pStyle w:val="TextBody"/>
        <w:bidi w:val="0"/>
        <w:spacing w:lineRule="auto" w:line="288" w:before="0" w:after="0"/>
        <w:ind w:left="0" w:right="0" w:hanging="630"/>
        <w:jc w:val="both"/>
        <w:rPr>
          <w:rFonts w:ascii="Times New Roman;serif" w:hAnsi="Times New Roman;serif"/>
          <w:b w:val="false"/>
          <w:i/>
          <w:color w:val="000000"/>
          <w:sz w:val="20"/>
        </w:rPr>
      </w:pPr>
      <w:r>
        <w:rPr>
          <w:rFonts w:ascii="Times New Roman;serif" w:hAnsi="Times New Roman;serif"/>
          <w:b w:val="false"/>
          <w:i/>
          <w:color w:val="000000"/>
          <w:sz w:val="20"/>
        </w:rPr>
        <w:t>(a)Conclusion Regarding the Effectiveness of Disclosure Controls and Procedures.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pStyle w:val="TextBody"/>
        <w:bidi w:val="0"/>
        <w:spacing w:before="0" w:after="0"/>
        <w:ind w:left="0" w:right="0" w:firstLine="630"/>
        <w:jc w:val="both"/>
        <w:rPr/>
      </w:pPr>
      <w:r>
        <w:rPr/>
      </w:r>
    </w:p>
    <w:p>
      <w:pPr>
        <w:pStyle w:val="TextBody"/>
        <w:bidi w:val="0"/>
        <w:spacing w:lineRule="auto" w:line="288" w:before="0" w:after="0"/>
        <w:ind w:left="0" w:right="0" w:hanging="630"/>
        <w:jc w:val="both"/>
        <w:rPr>
          <w:rFonts w:ascii="Times New Roman;serif" w:hAnsi="Times New Roman;serif"/>
          <w:b w:val="false"/>
          <w:i/>
          <w:color w:val="000000"/>
          <w:sz w:val="20"/>
        </w:rPr>
      </w:pPr>
      <w:r>
        <w:rPr>
          <w:rFonts w:ascii="Times New Roman;serif" w:hAnsi="Times New Roman;serif"/>
          <w:b w:val="false"/>
          <w:i/>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in Part I, Item 1A, “Risk Factors” in our combined Annual Report on Form 10-K for the year ended December 31, 2025,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2025.</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No repurchases were made during the three months ended June 30, 2026 under the Company’s previously announced stock repurchase program.</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Section 16 of the Securities Exchange Act of 1934, as amended) adopted or terminated a “Rule 10b5-1 trading arrangement” or adopted or terminated a “non-Rule 10b5-1 trading arrangement” (each as defined in Item 408(a) and (c) of Regulation S-K).</w:t>
      </w:r>
    </w:p>
    <w:p>
      <w:pPr>
        <w:pStyle w:val="TextBody"/>
        <w:bidi w:val="0"/>
        <w:spacing w:before="0" w:after="0"/>
        <w:ind w:left="0" w:right="0" w:firstLine="630"/>
        <w:jc w:val="both"/>
        <w:rPr/>
      </w:pPr>
      <w:r>
        <w:rPr/>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hanging="270"/>
        <w:jc w:val="both"/>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56"/>
        <w:gridCol w:w="2616"/>
        <w:gridCol w:w="374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18"/>
                  <w:u w:val="single"/>
                </w:rPr>
                <w:t>Amended and Restated Certificate of Incorporation of Lamar Advertising Company (the “Company”), as filed with the Secretary of the State of Delaware effective as of November 18, 2014.  Previously filed as Exhibit 3.1 to the Company’s Current Report on Form 8-K (File No. 1-36756) filed on November 19, 2014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18"/>
                  <w:u w:val="single"/>
                </w:rPr>
                <w:t>Certificate of Merger, effective as of November 18, 2014. Previously filed as Exhibit 3.2 to the Company’s Current Report on Form 8-K (File No. 1-36756) filed on November 19, 2014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Amended and Restated Certificate of Incorporation of Lamar Media Corp. (“Lamar Media”)  Previously filed as Exhibit 3.2 to the Company’s Quarterly Report on Form 10-Q for the period ended March 31, 2007 (File No. 0-30242) filed on May 10, 2007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8"/>
                  <w:u w:val="single"/>
                </w:rPr>
                <w:t>Amended and Restated Bylaws of the Company, adopted as of November 18, 2014.  Previously filed as Exhibit 3.3 to the Company’s Current Report on Form 8-K (File No. 1-36756) filed on November 19, 2014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18"/>
                  <w:u w:val="single"/>
                </w:rPr>
                <w:t>Amended and Restated Bylaws of Lamar Media. Previously filed as Exhibit 3.1 to Lamar Media’s Quarterly Report on Form 10-Q for the period ended September 30, 1999 (File No. 1-12407) filed on November 12, 1999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412026q2.htm">
              <w:r>
                <w:rPr>
                  <w:rStyle w:val="InternetLink"/>
                  <w:rFonts w:ascii="Times New Roman;serif" w:hAnsi="Times New Roman;serif"/>
                  <w:b w:val="false"/>
                  <w:color w:val="0000FF"/>
                  <w:sz w:val="18"/>
                  <w:u w:val="single"/>
                </w:rPr>
                <w:t>Supplemental Indenture to the Indenture dated as of April 24, 2026, among Lamar Media, the Guarantors named therein and U.S. Bank Trust Company, National Association, as Trustee, dated as of January 22, 2021, relating to Lamar Media’s 3.625% Senior Notes due 2031.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422026q2.htm">
              <w:r>
                <w:rPr>
                  <w:rStyle w:val="InternetLink"/>
                  <w:rFonts w:ascii="Times New Roman;serif" w:hAnsi="Times New Roman;serif"/>
                  <w:b w:val="false"/>
                  <w:color w:val="0000FF"/>
                  <w:sz w:val="18"/>
                  <w:u w:val="single"/>
                </w:rPr>
                <w:t>Supplemental Indenture to the Indenture dated as of April 24, 2026, among Lamar Media, the Guarantors named therein and U.S. Bank Trust Company, National Association, as Trustee, dated as of February 6, 2020, relating to Lamar Media’s 3.750% Senior Notes due 2028.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432026q2.htm">
              <w:r>
                <w:rPr>
                  <w:rStyle w:val="InternetLink"/>
                  <w:rFonts w:ascii="Times New Roman;serif" w:hAnsi="Times New Roman;serif"/>
                  <w:b w:val="false"/>
                  <w:color w:val="0000FF"/>
                  <w:sz w:val="18"/>
                  <w:u w:val="single"/>
                </w:rPr>
                <w:t>Supplemental Indenture to the Indenture dated as of April 24, 2026, among Lamar Media, the Guarantors named therein and U.S. Bank Trust Company, National Association, as Trustee, dated as of February 6, 2020, relating to Lamar Media’s 4.000% Senior Notes due 2030.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442026q2.htm">
              <w:r>
                <w:rPr>
                  <w:rStyle w:val="InternetLink"/>
                  <w:rFonts w:ascii="Times New Roman;serif" w:hAnsi="Times New Roman;serif"/>
                  <w:b w:val="false"/>
                  <w:color w:val="0000FF"/>
                  <w:sz w:val="18"/>
                  <w:u w:val="single"/>
                </w:rPr>
                <w:t>Supplemental Indenture to the Indenture dated as of April 24, 2026, among Lamar Media, the Guarantors named therein and U.S. Bank Trust Company, National Association, as Trustee, dated as of May 13, 2020, relating to Lamar Media’s 4.875% Senior Notes due 2029.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452026q2.htm">
              <w:r>
                <w:rPr>
                  <w:rStyle w:val="InternetLink"/>
                  <w:rFonts w:ascii="Times New Roman;serif" w:hAnsi="Times New Roman;serif"/>
                  <w:b w:val="false"/>
                  <w:color w:val="0000FF"/>
                  <w:sz w:val="18"/>
                  <w:u w:val="single"/>
                </w:rPr>
                <w:t>Supplemental Indenture to the Indenture dated as of April 24, 2026, among Lamar Media, the Guarantors named therein and U.S. Bank Trust Company, National Association, as Trustee, dated as of September 25, 2025, relating to Lamar Media’s 5.375% Senior Notes due 2033.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1012026q2.htm">
              <w:r>
                <w:rPr>
                  <w:rStyle w:val="InternetLink"/>
                  <w:rFonts w:ascii="Times New Roman;serif" w:hAnsi="Times New Roman;serif"/>
                  <w:b w:val="false"/>
                  <w:color w:val="0000FF"/>
                  <w:sz w:val="18"/>
                  <w:u w:val="single"/>
                </w:rPr>
                <w:t>Joinder Agreement, dated as of April 24, 2026, to the Fourth Amended and Restated Credit Agreement dated as of dated as of February 6, 2020 (as amended), among Lamar Media, the subsidiary borrower party thereto, the subsidiary guarantors party thereto, the lenders party thereto and TLC Properties III, LLC.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1022026q2.htm">
              <w:r>
                <w:rPr>
                  <w:rStyle w:val="InternetLink"/>
                  <w:rFonts w:ascii="Times New Roman;serif" w:hAnsi="Times New Roman;serif"/>
                  <w:b w:val="false"/>
                  <w:color w:val="0000FF"/>
                  <w:sz w:val="18"/>
                  <w:u w:val="single"/>
                </w:rPr>
                <w:t>Lamar Advertising Company 1996 Equity Incentive Plan, as amended and restated.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amr10qexhibit1032026q2.htm">
              <w:r>
                <w:rPr>
                  <w:rStyle w:val="InternetLink"/>
                  <w:rFonts w:ascii="Times New Roman;serif" w:hAnsi="Times New Roman;serif"/>
                  <w:b w:val="false"/>
                  <w:color w:val="0000FF"/>
                  <w:sz w:val="18"/>
                  <w:u w:val="single"/>
                </w:rPr>
                <w:t>Lamar Advertising Company 2019 Employee Stock Purchase Plan, as amended and restated.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mr10qexhibit3112026q2.htm">
              <w:r>
                <w:rPr>
                  <w:rStyle w:val="InternetLink"/>
                  <w:rFonts w:ascii="Times New Roman;serif" w:hAnsi="Times New Roman;serif"/>
                  <w:b w:val="false"/>
                  <w:color w:val="0000FF"/>
                  <w:sz w:val="18"/>
                  <w:u w:val="single"/>
                </w:rPr>
                <w:t>Certification of the Chief Executive Officer of the Company and Lamar Media pursuant to Securities Exchange Act Rules 13a-14(a) and 15d-14(a) as adopted pursuant to Section 302 of the Sarbanes-Oxley Act of 2002.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mr10qexhibit3122026q2.htm">
              <w:r>
                <w:rPr>
                  <w:rStyle w:val="InternetLink"/>
                  <w:rFonts w:ascii="Times New Roman;serif" w:hAnsi="Times New Roman;serif"/>
                  <w:b w:val="false"/>
                  <w:color w:val="0000FF"/>
                  <w:sz w:val="18"/>
                  <w:u w:val="single"/>
                </w:rPr>
                <w:t>Certification of the Chief Financial Officer of the Company and Lamar Media pursuant to Securities Exchange Act Rules 13a-14(a) and 15d-14(a) as adopted pursuant to Section 302 of the Sarbanes-Oxley Act of 2002.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amr10qexhibit3212026q2.htm">
              <w:r>
                <w:rPr>
                  <w:rStyle w:val="InternetLink"/>
                  <w:rFonts w:ascii="Times New Roman;serif" w:hAnsi="Times New Roman;serif"/>
                  <w:b w:val="false"/>
                  <w:color w:val="0000FF"/>
                  <w:sz w:val="18"/>
                  <w:u w:val="single"/>
                </w:rPr>
                <w:t>Certification pursuant to 18 U.S.C. Section 1350 as adopted pursuant to Section 906 of the Sarbanes-Oxley Act of 2002. Filed herewith.</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June 30, 2026,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tbl>
      <w:tblPr>
        <w:tblW w:w="7287"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1920"/>
        <w:gridCol w:w="1920"/>
        <w:gridCol w:w="272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thereunto duly authorized.</w:t>
      </w:r>
    </w:p>
    <w:p>
      <w:pPr>
        <w:pStyle w:val="TextBody"/>
        <w:bidi w:val="0"/>
        <w:spacing w:before="0" w:after="0"/>
        <w:jc w:val="both"/>
        <w:rPr/>
      </w:pPr>
      <w:r>
        <w:rPr/>
      </w:r>
    </w:p>
    <w:tbl>
      <w:tblPr>
        <w:tblW w:w="9488" w:type="dxa"/>
        <w:jc w:val="left"/>
        <w:tblInd w:w="0" w:type="dxa"/>
        <w:tblLayout w:type="fixed"/>
        <w:tblCellMar>
          <w:top w:w="28" w:type="dxa"/>
          <w:left w:w="28" w:type="dxa"/>
          <w:bottom w:w="28" w:type="dxa"/>
          <w:right w:w="28" w:type="dxa"/>
        </w:tblCellMar>
      </w:tblPr>
      <w:tblGrid>
        <w:gridCol w:w="765"/>
        <w:gridCol w:w="673"/>
        <w:gridCol w:w="676"/>
        <w:gridCol w:w="349"/>
        <w:gridCol w:w="349"/>
        <w:gridCol w:w="349"/>
        <w:gridCol w:w="349"/>
        <w:gridCol w:w="349"/>
        <w:gridCol w:w="349"/>
        <w:gridCol w:w="1534"/>
        <w:gridCol w:w="1534"/>
        <w:gridCol w:w="2212"/>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LAMAR ADVERTISING COMPANY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Jay L. Johnson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LAMAR MEDIA CORP.</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Jay L. Johnson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INDENTURE DATED JANUARY 22, 2021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SUPPLEMENTAL INDENTURE dated as of April 24, 2026, among LAMAR MEDIA CORP.,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undersigned Guarantors party hereto, TLC PROPERTIES III, LLC, a Delaware limited liability company (the “</w:t>
      </w:r>
      <w:r>
        <w:rPr>
          <w:rFonts w:ascii="Times New Roman;serif" w:hAnsi="Times New Roman;serif"/>
          <w:b w:val="false"/>
          <w:color w:val="000000"/>
          <w:sz w:val="24"/>
          <w:u w:val="single"/>
        </w:rPr>
        <w:t>New Guarantor</w:t>
      </w:r>
      <w:r>
        <w:rPr>
          <w:color w:val="000000"/>
        </w:rPr>
        <w:t>”</w:t>
      </w:r>
      <w:r>
        <w:rPr>
          <w:rFonts w:ascii="Times New Roman;serif" w:hAnsi="Times New Roman;serif"/>
          <w:b w:val="false"/>
          <w:color w:val="000000"/>
          <w:sz w:val="24"/>
        </w:rPr>
        <w:t>), and U.S. BANK TRUST COMPANY,</w:t>
      </w:r>
      <w:r>
        <w:rPr>
          <w:color w:val="000000"/>
        </w:rPr>
        <w:t xml:space="preserve"> </w:t>
      </w:r>
      <w:r>
        <w:rPr>
          <w:rFonts w:ascii="Times New Roman;serif" w:hAnsi="Times New Roman;serif"/>
          <w:b w:val="false"/>
          <w:color w:val="000000"/>
          <w:sz w:val="24"/>
        </w:rPr>
        <w:t>NATIONAL ASSOCIATION</w:t>
      </w:r>
      <w:r>
        <w:rPr>
          <w:color w:val="000000"/>
        </w:rPr>
        <w:t xml:space="preserve"> </w:t>
      </w:r>
      <w:r>
        <w:rPr>
          <w:rFonts w:ascii="Times New Roman;serif" w:hAnsi="Times New Roman;serif"/>
          <w:b w:val="false"/>
          <w:color w:val="000000"/>
          <w:sz w:val="24"/>
        </w:rPr>
        <w:t>(as successor in interest to U.S. Bank National Association)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3.625% Senior Notes due 2031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New Guarantor desires to provide a guarantee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of the obligations of the Company under the Notes and the Indenture in accordance with Article 10 of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8.01 of the Indenture, the Company, the Trustee, the Guarantors and the New Guarantor are authorized to execute and deliver this Supplemental Indenture;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precedent provided for in the Indenture relating to the execution of this Supplemental Indenture have been complied with.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hereto mutually covenant and agree for the equal and ratable benefit of the Holders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terms used herein without definition have the meanings ascribed to them in the Indenture.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Guarantee</w:t>
      </w:r>
      <w:r>
        <w:rPr>
          <w:rFonts w:ascii="Times New Roman;serif" w:hAnsi="Times New Roman;serif"/>
          <w:b w:val="false"/>
          <w:color w:val="000000"/>
          <w:sz w:val="24"/>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Effectiveness of Supplemental Indenture</w:t>
      </w:r>
      <w:r>
        <w:rPr>
          <w:rFonts w:ascii="Times New Roman;serif" w:hAnsi="Times New Roman;serif"/>
          <w:b w:val="false"/>
          <w:color w:val="000000"/>
          <w:sz w:val="24"/>
        </w:rPr>
        <w:t>. This Supplemental Indenture shall become effective upon the execution and delivery of this Supplemental Indenture by the Company, the Guarantors, the New Guarantor and the Trustee.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Indenture Remains in Full Force and Effect</w:t>
      </w:r>
      <w:r>
        <w:rPr>
          <w:rFonts w:ascii="Times New Roman;serif" w:hAnsi="Times New Roman;serif"/>
          <w:b w:val="false"/>
          <w:color w:val="000000"/>
          <w:sz w:val="24"/>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Sections of this Supplemental Indenture are inserted for convenience of reference and shall not be deemed a part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 without regard to principles of conflicts of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Trustee Disclaimer</w:t>
      </w:r>
      <w:r>
        <w:rPr>
          <w:rFonts w:ascii="Times New Roman;serif" w:hAnsi="Times New Roman;serif"/>
          <w:b w:val="false"/>
          <w:color w:val="000000"/>
          <w:sz w:val="24"/>
        </w:rPr>
        <w:t>. The Trustee is not responsible for the validity or sufficiency of this Supplemental Indenture nor for the recitals hereof, which shall be taken as the statements of the Company, the Guarantors and the New Guarantor.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undersigned have caused this Supplemental Indenture to be duly executed as of the day and year first above written.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GUARANTOR: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6"/>
        </w:rPr>
      </w:pPr>
      <w:r>
        <w:rPr>
          <w:rFonts w:ascii="Times New Roman;serif" w:hAnsi="Times New Roman;serif"/>
          <w:b w:val="false"/>
          <w:color w:val="000000"/>
          <w:sz w:val="26"/>
        </w:rPr>
        <w:t>TLC PROPERTIES III,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6415"/>
                <wp:effectExtent l="0" t="0" r="0" b="0"/>
                <wp:wrapNone/>
                <wp:docPr id="60" name="Frame6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LAMAR MEDIA CORP.</w:t>
      </w:r>
    </w:p>
    <w:p>
      <w:pPr>
        <w:pStyle w:val="TextBody"/>
        <w:bidi w:val="0"/>
        <w:spacing w:before="0" w:after="0"/>
        <w:ind w:left="0" w:right="0" w:hanging="576"/>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576"/>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ALABAMA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ARIZONA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COLORADO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DELAWARE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GEORGIA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INDIANA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KENTUCKY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LOUISIANA 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MAINE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MICHIGAN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MINNESOTA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MISSISSIPPI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MISSOURI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MONTANA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NEBRASKA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NEVADA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HAMPSHIRE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JERSEY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NEW MEXICO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NORTH CAROLINA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OHIO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OKLAHOMA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SOUTH CAROLINA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TENNESSEE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UTAH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VIRGINIA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WASHINGTON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WISCONSIN LOGOS,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Interstate Logos,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AIRPORT ADVERTISING COMPANY</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SKYHIGH MURALS – COLOSSAL MEDIA, LLC</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240" w:after="480"/>
        <w:ind w:left="0" w:right="0" w:hanging="374"/>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240" w:after="480"/>
        <w:ind w:left="0" w:right="0" w:hanging="374"/>
        <w:jc w:val="both"/>
        <w:rPr>
          <w:rFonts w:ascii="Times New Roman;serif" w:hAnsi="Times New Roman;serif"/>
          <w:b w:val="false"/>
          <w:color w:val="000000"/>
          <w:sz w:val="24"/>
        </w:rPr>
      </w:pPr>
      <w:r>
        <w:rPr>
          <w:rFonts w:ascii="Times New Roman;serif" w:hAnsi="Times New Roman;serif"/>
          <w:b w:val="false"/>
          <w:color w:val="000000"/>
          <w:sz w:val="24"/>
        </w:rPr>
        <w:t>FLORIDA LOGOS, LLC</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Interstate Logos TRS,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88"/>
        <w:ind w:left="0" w:right="0" w:hanging="288"/>
        <w:jc w:val="both"/>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88"/>
        <w:jc w:val="both"/>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ASHBY STREET OUTDOOR HOLDINGS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CENTRAL OUTDOOR,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SOUTHWEST,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THE LAMAR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TRS HOLDINGS,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480"/>
        <w:ind w:left="0" w:right="0" w:hanging="585"/>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283"/>
        <w:jc w:val="left"/>
        <w:rPr/>
      </w:pPr>
      <w:r>
        <w:rPr/>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INTERSTATE LOGOS TRS,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INVESTMENTS,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SERVICE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TRANSIT, LLC</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By: Lamar TRS Holdings,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CC, LLC</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By: Ashby Street Outdoor Holdings LLC, </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63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Jay L. Johnson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Jay L. Johnson</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TEXAS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634"/>
        <w:jc w:val="left"/>
        <w:rPr/>
      </w:pPr>
      <w:r>
        <w:rPr/>
      </w:r>
    </w:p>
    <w:p>
      <w:pPr>
        <w:pStyle w:val="TextBody"/>
        <w:bidi w:val="0"/>
        <w:ind w:left="0" w:right="0" w:hanging="63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COLORADO SPRINGS,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OF LOUISIANA,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MICHIGAN,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SOUTH DAKOTA,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YOUNGSTOWN,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LAMAR ELECTRICAL,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FLORIDA,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NORTH,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SOUTH,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OHIO OUTDOOR HOLDING,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TENNESSEE,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TLC PROPERTIES, LLC</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283"/>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FARMS, L.L.C.</w:t>
      </w:r>
    </w:p>
    <w:p>
      <w:pPr>
        <w:pStyle w:val="TextBody"/>
        <w:bidi w:val="0"/>
        <w:spacing w:before="0" w:after="0"/>
        <w:ind w:left="0" w:right="0" w:hanging="369"/>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By:    The Lamar Company, L.L.C., its Managing Member </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ADVANTAGE GP COMPANY, LLC</w:t>
        <w:br/>
        <w:t>LAMAR ADVANTAGE LP COMPANY, LLC</w:t>
        <w:br/>
        <w:t>TRIUMPH OUTDOOR HOLDINGS,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both"/>
        <w:rPr>
          <w:rFonts w:ascii="Times New Roman;serif" w:hAnsi="Times New Roman;serif"/>
          <w:b w:val="false"/>
          <w:color w:val="000000"/>
          <w:sz w:val="24"/>
        </w:rPr>
      </w:pPr>
      <w:r>
        <w:rPr>
          <w:rFonts w:ascii="Times New Roman;serif" w:hAnsi="Times New Roman;serif"/>
          <w:b w:val="false"/>
          <w:color w:val="000000"/>
          <w:sz w:val="24"/>
        </w:rPr>
        <w:t>LAMAR ADVANTAGE OUTDOOR COMPANY, L.P.</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LAMAR ADVANTAGE HOLDING COMPANY, LLC</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Outdoor Company, L.P.,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480"/>
        <w:ind w:left="0" w:right="0" w:hanging="36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480" w:after="480"/>
        <w:ind w:left="0" w:right="0" w:hanging="369"/>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MARKETING SYSTEMS,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PROMOTIONS 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TRIUMPH OUTDOOR RHODE ISLAND, LLC</w:t>
      </w:r>
    </w:p>
    <w:p>
      <w:pPr>
        <w:pStyle w:val="TextBody"/>
        <w:bidi w:val="0"/>
        <w:spacing w:before="0" w:after="0"/>
        <w:ind w:left="0" w:right="0" w:hanging="288"/>
        <w:jc w:val="both"/>
        <w:rPr/>
      </w:pPr>
      <w:r>
        <w:rPr/>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Managing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480" w:after="480"/>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PROPERTIES II, LLC</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Investments, LLC, its Managing Member</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OF PENN, LLC</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r>
    </w:p>
    <w:p>
      <w:pPr>
        <w:pStyle w:val="TextBody"/>
        <w:bidi w:val="0"/>
        <w:spacing w:lineRule="auto" w:line="288" w:before="0" w:after="0"/>
        <w:ind w:left="0" w:right="0" w:hanging="369"/>
        <w:jc w:val="left"/>
        <w:rPr>
          <w:rFonts w:ascii="Times New Roman;serif" w:hAnsi="Times New Roman;serif"/>
          <w:b w:val="false"/>
          <w:color w:val="000000"/>
          <w:sz w:val="24"/>
        </w:rPr>
      </w:pP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OBIE COMPANY,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1,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2,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MEDIA/LAMAR,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MEDIA GROUP,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OUTDOOR ADVERTISING,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HOLDINGS,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DOUGLAS OUTDOOR ADVERTISING OF GA.,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Magic Media/Lamar,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MCC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FMO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OLYMPUS MEDIA/INDIANA,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CCO INDIANA, LLC</w:t>
      </w:r>
    </w:p>
    <w:p>
      <w:pPr>
        <w:pStyle w:val="TextBody"/>
        <w:bidi w:val="0"/>
        <w:spacing w:before="0" w:after="0"/>
        <w:ind w:left="0" w:right="0" w:hanging="288"/>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LLC, its Managing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xml:space="preserve">    Title:    Executive Vice-President, Chief                 Financial Officer and Treasurer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GENERAL PARTNER, LLC</w:t>
      </w:r>
    </w:p>
    <w:p>
      <w:pPr>
        <w:pStyle w:val="TextBody"/>
        <w:bidi w:val="0"/>
        <w:spacing w:before="0" w:after="0"/>
        <w:jc w:val="both"/>
        <w:rPr/>
      </w:pPr>
      <w:r>
        <w:rPr/>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Wally Jones                </w:t>
      </w:r>
      <w:r>
        <w:rPr>
          <w:rFonts w:ascii="Times New Roman;serif" w:hAnsi="Times New Roman;serif"/>
          <w:b w:val="false"/>
          <w:color w:val="000000"/>
          <w:sz w:val="24"/>
        </w:rPr>
        <w:br/>
        <w:t>Name: Wally Jones</w:t>
        <w:b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6415"/>
                <wp:effectExtent l="0" t="0" r="0" b="0"/>
                <wp:wrapNone/>
                <wp:docPr id="77" name="Frame7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INDENTURE DATED FEBRUARY 6, 2020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SUPPLEMENTAL INDENTURE dated as of April 24, 2026, among LAMAR MEDIA CORP.,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undersigned Guarantors party hereto, TLC PROPERTIES III, LLC, a Delaware limited liability company (the “</w:t>
      </w:r>
      <w:r>
        <w:rPr>
          <w:rFonts w:ascii="Times New Roman;serif" w:hAnsi="Times New Roman;serif"/>
          <w:b w:val="false"/>
          <w:color w:val="000000"/>
          <w:sz w:val="24"/>
          <w:u w:val="single"/>
        </w:rPr>
        <w:t>New Guarantor</w:t>
      </w:r>
      <w:r>
        <w:rPr>
          <w:color w:val="000000"/>
        </w:rPr>
        <w:t>”</w:t>
      </w:r>
      <w:r>
        <w:rPr>
          <w:rFonts w:ascii="Times New Roman;serif" w:hAnsi="Times New Roman;serif"/>
          <w:b w:val="false"/>
          <w:color w:val="000000"/>
          <w:sz w:val="24"/>
        </w:rPr>
        <w:t>), and U.S. BANK TRUST COMPANY,</w:t>
      </w:r>
      <w:r>
        <w:rPr>
          <w:color w:val="000000"/>
        </w:rPr>
        <w:t xml:space="preserve"> </w:t>
      </w:r>
      <w:r>
        <w:rPr>
          <w:rFonts w:ascii="Times New Roman;serif" w:hAnsi="Times New Roman;serif"/>
          <w:b w:val="false"/>
          <w:color w:val="000000"/>
          <w:sz w:val="24"/>
        </w:rPr>
        <w:t>NATIONAL ASSOCIATION</w:t>
      </w:r>
      <w:r>
        <w:rPr>
          <w:color w:val="000000"/>
        </w:rPr>
        <w:t xml:space="preserve"> </w:t>
      </w:r>
      <w:r>
        <w:rPr>
          <w:rFonts w:ascii="Times New Roman;serif" w:hAnsi="Times New Roman;serif"/>
          <w:b w:val="false"/>
          <w:color w:val="000000"/>
          <w:sz w:val="24"/>
        </w:rPr>
        <w:t>(as successor in interest to U.S. Bank National Association)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each of the Company and the Guarantors (as defined in the Indenture referred to below) has heretofore executed and delivered to the original</w:t>
      </w:r>
      <w:r>
        <w:rPr>
          <w:color w:val="000000"/>
        </w:rPr>
        <w:t xml:space="preserve"> </w:t>
      </w:r>
      <w:r>
        <w:rPr>
          <w:rFonts w:ascii="Times New Roman;serif" w:hAnsi="Times New Roman;serif"/>
          <w:b w:val="false"/>
          <w:color w:val="000000"/>
          <w:sz w:val="24"/>
        </w:rPr>
        <w:t>trustee, The Bank of New York Mellon Trust Company, N.A., an Indenture, dated as of February 6, 2020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3.750% Senior Notes due 2028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New Guarantor desires to provide a guarantee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of the obligations of the Company under the Notes and the Indenture in accordance with Article 10 of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8.01 of the Indenture, the Company, the Trustee, the Guarantors and the New Guarantor are authorized to execute and deliver this Supplemental Indenture;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precedent provided for in the Indenture relating to the execution of this Supplemental Indenture have been complied with.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hereto mutually covenant and agree for the equal and ratable benefit of the Holders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terms used herein without definition have the meanings ascribed to them in the Indenture.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Guarantee</w:t>
      </w:r>
      <w:r>
        <w:rPr>
          <w:rFonts w:ascii="Times New Roman;serif" w:hAnsi="Times New Roman;serif"/>
          <w:b w:val="false"/>
          <w:color w:val="000000"/>
          <w:sz w:val="24"/>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Effectiveness of Supplemental Indenture</w:t>
      </w:r>
      <w:r>
        <w:rPr>
          <w:rFonts w:ascii="Times New Roman;serif" w:hAnsi="Times New Roman;serif"/>
          <w:b w:val="false"/>
          <w:color w:val="000000"/>
          <w:sz w:val="24"/>
        </w:rPr>
        <w:t>. This Supplemental Indenture shall become effective upon the execution and delivery of this Supplemental Indenture by the Company, the Guarantors, the New Guarantor and the Trustee.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Indenture Remains in Full Force and Effect</w:t>
      </w:r>
      <w:r>
        <w:rPr>
          <w:rFonts w:ascii="Times New Roman;serif" w:hAnsi="Times New Roman;serif"/>
          <w:b w:val="false"/>
          <w:color w:val="000000"/>
          <w:sz w:val="24"/>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Sections of this Supplemental Indenture are inserted for convenience of reference and shall not be deemed a part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 without regard to principles of conflicts of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Trustee Disclaimer</w:t>
      </w:r>
      <w:r>
        <w:rPr>
          <w:rFonts w:ascii="Times New Roman;serif" w:hAnsi="Times New Roman;serif"/>
          <w:b w:val="false"/>
          <w:color w:val="000000"/>
          <w:sz w:val="24"/>
        </w:rPr>
        <w:t>. The Trustee is not responsible for the validity or sufficiency of this Supplemental Indenture nor for the recitals hereof, which shall be taken as the statements of the Company, the Guarantors and the New Guarantor.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undersigned have caused this Supplemental Indenture to be duly executed as of the day and year first above written.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GUARANTOR: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6"/>
        </w:rPr>
      </w:pPr>
      <w:r>
        <w:rPr>
          <w:rFonts w:ascii="Times New Roman;serif" w:hAnsi="Times New Roman;serif"/>
          <w:b w:val="false"/>
          <w:color w:val="000000"/>
          <w:sz w:val="26"/>
        </w:rPr>
        <w:t>TLC PROPERTIES III,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6415"/>
                <wp:effectExtent l="0" t="0" r="0" b="0"/>
                <wp:wrapNone/>
                <wp:docPr id="80" name="Frame8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LAMAR MEDIA CORP.</w:t>
      </w:r>
    </w:p>
    <w:p>
      <w:pPr>
        <w:pStyle w:val="TextBody"/>
        <w:bidi w:val="0"/>
        <w:spacing w:before="0" w:after="0"/>
        <w:ind w:left="0" w:right="0" w:hanging="576"/>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576"/>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ALABAMA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ARIZONA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COLORADO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DELAWARE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GEORGIA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INDIANA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KENTUCKY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LOUISIANA 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MAINE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MICHIGAN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MINNESOTA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MISSISSIPPI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MISSOURI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MONTANA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NEBRASKA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NEVADA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HAMPSHIRE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JERSEY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NEW MEXICO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NORTH CAROLINA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OHIO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OKLAHOMA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SOUTH CAROLINA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TENNESSEE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UTAH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VIRGINIA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WASHINGTON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WISCONSIN LOGOS,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Interstate Logos,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AIRPORT ADVERTISING COMPANY</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SKYHIGH MURALS – COLOSSAL MEDIA, LLC</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240" w:after="480"/>
        <w:ind w:left="0" w:right="0" w:hanging="374"/>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240" w:after="480"/>
        <w:ind w:left="0" w:right="0" w:hanging="374"/>
        <w:jc w:val="both"/>
        <w:rPr>
          <w:rFonts w:ascii="Times New Roman;serif" w:hAnsi="Times New Roman;serif"/>
          <w:b w:val="false"/>
          <w:color w:val="000000"/>
          <w:sz w:val="24"/>
        </w:rPr>
      </w:pPr>
      <w:r>
        <w:rPr>
          <w:rFonts w:ascii="Times New Roman;serif" w:hAnsi="Times New Roman;serif"/>
          <w:b w:val="false"/>
          <w:color w:val="000000"/>
          <w:sz w:val="24"/>
        </w:rPr>
        <w:t>FLORIDA LOGOS, LLC</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Interstate Logos TRS,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88"/>
        <w:ind w:left="0" w:right="0" w:hanging="288"/>
        <w:jc w:val="both"/>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88"/>
        <w:jc w:val="both"/>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ASHBY STREET OUTDOOR HOLDINGS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CENTRAL OUTDOOR,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SOUTHWEST,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THE LAMAR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TRS HOLDINGS,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480"/>
        <w:ind w:left="0" w:right="0" w:hanging="585"/>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283"/>
        <w:jc w:val="left"/>
        <w:rPr/>
      </w:pPr>
      <w:r>
        <w:rPr/>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INTERSTATE LOGOS TRS,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INVESTMENTS,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SERVICE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TRANSIT, LLC</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By: Lamar TRS Holdings,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CC, LLC</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By: Ashby Street Outdoor Holdings LLC, </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63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Jay L. Johnson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Jay L. Johnson</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TEXAS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634"/>
        <w:jc w:val="left"/>
        <w:rPr/>
      </w:pPr>
      <w:r>
        <w:rPr/>
      </w:r>
    </w:p>
    <w:p>
      <w:pPr>
        <w:pStyle w:val="TextBody"/>
        <w:bidi w:val="0"/>
        <w:ind w:left="0" w:right="0" w:hanging="63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COLORADO SPRINGS,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OF LOUISIANA,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MICHIGAN,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SOUTH DAKOTA,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YOUNGSTOWN,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LAMAR ELECTRICAL,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FLORIDA,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NORTH,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SOUTH,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OHIO OUTDOOR HOLDING,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TENNESSEE,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TLC PROPERTIES, LLC</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283"/>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FARMS, L.L.C.</w:t>
      </w:r>
    </w:p>
    <w:p>
      <w:pPr>
        <w:pStyle w:val="TextBody"/>
        <w:bidi w:val="0"/>
        <w:spacing w:before="0" w:after="0"/>
        <w:ind w:left="0" w:right="0" w:hanging="369"/>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By:    The Lamar Company, L.L.C., its Managing Member </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ADVANTAGE GP COMPANY, LLC</w:t>
        <w:br/>
        <w:t>LAMAR ADVANTAGE LP COMPANY, LLC</w:t>
        <w:br/>
        <w:t>TRIUMPH OUTDOOR HOLDINGS,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both"/>
        <w:rPr>
          <w:rFonts w:ascii="Times New Roman;serif" w:hAnsi="Times New Roman;serif"/>
          <w:b w:val="false"/>
          <w:color w:val="000000"/>
          <w:sz w:val="24"/>
        </w:rPr>
      </w:pPr>
      <w:r>
        <w:rPr>
          <w:rFonts w:ascii="Times New Roman;serif" w:hAnsi="Times New Roman;serif"/>
          <w:b w:val="false"/>
          <w:color w:val="000000"/>
          <w:sz w:val="24"/>
        </w:rPr>
        <w:t>LAMAR ADVANTAGE OUTDOOR COMPANY, L.P.</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LAMAR ADVANTAGE HOLDING COMPANY, LLC</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Outdoor Company, L.P.,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480"/>
        <w:ind w:left="0" w:right="0" w:hanging="36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480" w:after="480"/>
        <w:ind w:left="0" w:right="0" w:hanging="369"/>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MARKETING SYSTEMS,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PROMOTIONS 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TRIUMPH OUTDOOR RHODE ISLAND, LLC</w:t>
      </w:r>
    </w:p>
    <w:p>
      <w:pPr>
        <w:pStyle w:val="TextBody"/>
        <w:bidi w:val="0"/>
        <w:spacing w:before="0" w:after="0"/>
        <w:ind w:left="0" w:right="0" w:hanging="288"/>
        <w:jc w:val="both"/>
        <w:rPr/>
      </w:pPr>
      <w:r>
        <w:rPr/>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Managing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480" w:after="480"/>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PROPERTIES II, LLC</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Investments, LLC, its Managing Member</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OF PENN, LLC</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r>
    </w:p>
    <w:p>
      <w:pPr>
        <w:pStyle w:val="TextBody"/>
        <w:bidi w:val="0"/>
        <w:spacing w:lineRule="auto" w:line="288" w:before="0" w:after="0"/>
        <w:ind w:left="0" w:right="0" w:hanging="369"/>
        <w:jc w:val="left"/>
        <w:rPr>
          <w:rFonts w:ascii="Times New Roman;serif" w:hAnsi="Times New Roman;serif"/>
          <w:b w:val="false"/>
          <w:color w:val="000000"/>
          <w:sz w:val="24"/>
        </w:rPr>
      </w:pP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OBIE COMPANY,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2"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1,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2,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MEDIA/LAMAR,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MEDIA GROUP,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OUTDOOR ADVERTISING,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3"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HOLDINGS,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DOUGLAS OUTDOOR ADVERTISING OF GA.,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Magic Media/Lamar,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MCC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FMO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OLYMPUS MEDIA/INDIANA,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CCO INDIANA, LLC</w:t>
      </w:r>
    </w:p>
    <w:p>
      <w:pPr>
        <w:pStyle w:val="TextBody"/>
        <w:bidi w:val="0"/>
        <w:spacing w:before="0" w:after="0"/>
        <w:ind w:left="0" w:right="0" w:hanging="288"/>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LLC, its Managing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xml:space="preserve">    Title:    Executive Vice-President, Chief                 Financial Officer and Treasurer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GENERAL PARTNER, LLC</w:t>
      </w:r>
    </w:p>
    <w:p>
      <w:pPr>
        <w:pStyle w:val="TextBody"/>
        <w:bidi w:val="0"/>
        <w:spacing w:before="0" w:after="0"/>
        <w:jc w:val="both"/>
        <w:rPr/>
      </w:pPr>
      <w:r>
        <w:rPr/>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Wally Jones                </w:t>
      </w:r>
      <w:r>
        <w:rPr>
          <w:rFonts w:ascii="Times New Roman;serif" w:hAnsi="Times New Roman;serif"/>
          <w:b w:val="false"/>
          <w:color w:val="000000"/>
          <w:sz w:val="24"/>
        </w:rPr>
        <w:br/>
        <w:t>Name: Wally Jones</w:t>
        <w:b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4.3</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6415"/>
                <wp:effectExtent l="0" t="0" r="0" b="0"/>
                <wp:wrapNone/>
                <wp:docPr id="97" name="Frame9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INDENTURE DATED FEBRUARY 6, 2020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SUPPLEMENTAL INDENTURE dated as of April 24, 2026, among LAMAR MEDIA CORP.,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undersigned Guarantors party hereto, TLC PROPERTIES III, LLC, a Delaware limited liability company (the “</w:t>
      </w:r>
      <w:r>
        <w:rPr>
          <w:rFonts w:ascii="Times New Roman;serif" w:hAnsi="Times New Roman;serif"/>
          <w:b w:val="false"/>
          <w:color w:val="000000"/>
          <w:sz w:val="24"/>
          <w:u w:val="single"/>
        </w:rPr>
        <w:t>New Guarantor</w:t>
      </w:r>
      <w:r>
        <w:rPr>
          <w:color w:val="000000"/>
        </w:rPr>
        <w:t>”</w:t>
      </w:r>
      <w:r>
        <w:rPr>
          <w:rFonts w:ascii="Times New Roman;serif" w:hAnsi="Times New Roman;serif"/>
          <w:b w:val="false"/>
          <w:color w:val="000000"/>
          <w:sz w:val="24"/>
        </w:rPr>
        <w:t>), and U.S. BANK TRUST COMPANY,</w:t>
      </w:r>
      <w:r>
        <w:rPr>
          <w:color w:val="000000"/>
        </w:rPr>
        <w:t xml:space="preserve"> </w:t>
      </w:r>
      <w:r>
        <w:rPr>
          <w:rFonts w:ascii="Times New Roman;serif" w:hAnsi="Times New Roman;serif"/>
          <w:b w:val="false"/>
          <w:color w:val="000000"/>
          <w:sz w:val="24"/>
        </w:rPr>
        <w:t>NATIONAL ASSOCIATION</w:t>
      </w:r>
      <w:r>
        <w:rPr>
          <w:color w:val="000000"/>
        </w:rPr>
        <w:t xml:space="preserve"> </w:t>
      </w:r>
      <w:r>
        <w:rPr>
          <w:rFonts w:ascii="Times New Roman;serif" w:hAnsi="Times New Roman;serif"/>
          <w:b w:val="false"/>
          <w:color w:val="000000"/>
          <w:sz w:val="24"/>
        </w:rPr>
        <w:t>(as successor in interest to U.S. Bank National Association)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each of the Company and the Guarantors (as defined in the Indenture referred to below) has heretofore executed and delivered to the original</w:t>
      </w:r>
      <w:r>
        <w:rPr>
          <w:color w:val="000000"/>
        </w:rPr>
        <w:t xml:space="preserve"> </w:t>
      </w:r>
      <w:r>
        <w:rPr>
          <w:rFonts w:ascii="Times New Roman;serif" w:hAnsi="Times New Roman;serif"/>
          <w:b w:val="false"/>
          <w:color w:val="000000"/>
          <w:sz w:val="24"/>
        </w:rPr>
        <w:t>trustee, The Bank of New York Mellon Trust Company, N.A., an Indenture, dated as of February 6, 2020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4.000% Senior Notes due 2030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New Guarantor desires to provide a guarantee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of the obligations of the Company under the Notes and the Indenture in accordance with Article 10 of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8.01 of the Indenture, the Company, the Trustee, the Guarantors and the New Guarantor are authorized to execute and deliver this Supplemental Indenture;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precedent provided for in the Indenture relating to the execution of this Supplemental Indenture have been complied with.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hereto mutually covenant and agree for the equal and ratable benefit of the Holders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terms used herein without definition have the meanings ascribed to them in the Indenture.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Guarantee</w:t>
      </w:r>
      <w:r>
        <w:rPr>
          <w:rFonts w:ascii="Times New Roman;serif" w:hAnsi="Times New Roman;serif"/>
          <w:b w:val="false"/>
          <w:color w:val="000000"/>
          <w:sz w:val="24"/>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Effectiveness of Supplemental Indenture</w:t>
      </w:r>
      <w:r>
        <w:rPr>
          <w:rFonts w:ascii="Times New Roman;serif" w:hAnsi="Times New Roman;serif"/>
          <w:b w:val="false"/>
          <w:color w:val="000000"/>
          <w:sz w:val="24"/>
        </w:rPr>
        <w:t>. This Supplemental Indenture shall become effective upon the execution and delivery of this Supplemental Indenture by the Company, the Guarantors, the New Guarantor and the Trustee.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Indenture Remains in Full Force and Effect</w:t>
      </w:r>
      <w:r>
        <w:rPr>
          <w:rFonts w:ascii="Times New Roman;serif" w:hAnsi="Times New Roman;serif"/>
          <w:b w:val="false"/>
          <w:color w:val="000000"/>
          <w:sz w:val="24"/>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Sections of this Supplemental Indenture are inserted for convenience of reference and shall not be deemed a part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 without regard to principles of conflicts of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Trustee Disclaimer</w:t>
      </w:r>
      <w:r>
        <w:rPr>
          <w:rFonts w:ascii="Times New Roman;serif" w:hAnsi="Times New Roman;serif"/>
          <w:b w:val="false"/>
          <w:color w:val="000000"/>
          <w:sz w:val="24"/>
        </w:rPr>
        <w:t>. The Trustee is not responsible for the validity or sufficiency of this Supplemental Indenture nor for the recitals hereof, which shall be taken as the statements of the Company, the Guarantors and the New Guarantor.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9" name="Frame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undersigned have caused this Supplemental Indenture to be duly executed as of the day and year first above written.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GUARANTOR: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6"/>
        </w:rPr>
      </w:pPr>
      <w:r>
        <w:rPr>
          <w:rFonts w:ascii="Times New Roman;serif" w:hAnsi="Times New Roman;serif"/>
          <w:b w:val="false"/>
          <w:color w:val="000000"/>
          <w:sz w:val="26"/>
        </w:rPr>
        <w:t>TLC PROPERTIES III,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6415"/>
                <wp:effectExtent l="0" t="0" r="0" b="0"/>
                <wp:wrapNone/>
                <wp:docPr id="100" name="Frame10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LAMAR MEDIA CORP.</w:t>
      </w:r>
    </w:p>
    <w:p>
      <w:pPr>
        <w:pStyle w:val="TextBody"/>
        <w:bidi w:val="0"/>
        <w:spacing w:before="0" w:after="0"/>
        <w:ind w:left="0" w:right="0" w:hanging="576"/>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1155"/>
                <wp:effectExtent l="0" t="0" r="0" b="0"/>
                <wp:wrapNone/>
                <wp:docPr id="101"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576"/>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ALABAMA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ARIZONA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COLORADO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DELAWARE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GEORGIA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INDIANA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KENTUCKY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LOUISIANA 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MAINE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MICHIGAN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MINNESOTA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MISSISSIPPI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MISSOURI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MONTANA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NEBRASKA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NEVADA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HAMPSHIRE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JERSEY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NEW MEXICO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NORTH CAROLINA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OHIO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OKLAHOMA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SOUTH CAROLINA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TENNESSEE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UTAH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VIRGINIA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WASHINGTON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WISCONSIN LOGOS,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Interstate Logos,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AIRPORT ADVERTISING COMPANY</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SKYHIGH MURALS – COLOSSAL MEDIA, LLC</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240" w:after="480"/>
        <w:ind w:left="0" w:right="0" w:hanging="374"/>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240" w:after="480"/>
        <w:ind w:left="0" w:right="0" w:hanging="374"/>
        <w:jc w:val="both"/>
        <w:rPr>
          <w:rFonts w:ascii="Times New Roman;serif" w:hAnsi="Times New Roman;serif"/>
          <w:b w:val="false"/>
          <w:color w:val="000000"/>
          <w:sz w:val="24"/>
        </w:rPr>
      </w:pPr>
      <w:r>
        <w:rPr>
          <w:rFonts w:ascii="Times New Roman;serif" w:hAnsi="Times New Roman;serif"/>
          <w:b w:val="false"/>
          <w:color w:val="000000"/>
          <w:sz w:val="24"/>
        </w:rPr>
        <w:t>FLORIDA LOGOS, LLC</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Interstate Logos TRS,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88"/>
        <w:ind w:left="0" w:right="0" w:hanging="288"/>
        <w:jc w:val="both"/>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03"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1155"/>
                <wp:effectExtent l="0" t="0" r="0" b="0"/>
                <wp:wrapNone/>
                <wp:docPr id="104" name="Frame1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88"/>
        <w:jc w:val="both"/>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ASHBY STREET OUTDOOR HOLDINGS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CENTRAL OUTDOOR,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SOUTHWEST,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THE LAMAR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TRS HOLDINGS,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480"/>
        <w:ind w:left="0" w:right="0" w:hanging="585"/>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283"/>
        <w:jc w:val="left"/>
        <w:rPr/>
      </w:pPr>
      <w:r>
        <w:rPr/>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INTERSTATE LOGOS TRS,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INVESTMENTS,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SERVICE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TRANSIT, LLC</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By: Lamar TRS Holdings,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5"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CC, LLC</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By: Ashby Street Outdoor Holdings LLC, </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63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Jay L. Johnson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Jay L. Johnson</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TEXAS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634"/>
        <w:jc w:val="left"/>
        <w:rPr/>
      </w:pPr>
      <w:r>
        <w:rPr/>
      </w:r>
    </w:p>
    <w:p>
      <w:pPr>
        <w:pStyle w:val="TextBody"/>
        <w:bidi w:val="0"/>
        <w:ind w:left="0" w:right="0" w:hanging="63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6"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COLORADO SPRINGS,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OF LOUISIANA,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MICHIGAN,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SOUTH DAKOTA,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YOUNGSTOWN,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LAMAR ELECTRICAL,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FLORIDA,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NORTH,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SOUTH,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OHIO OUTDOOR HOLDING,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TENNESSEE,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TLC PROPERTIES, LLC</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283"/>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1155"/>
                <wp:effectExtent l="0" t="0" r="0" b="0"/>
                <wp:wrapNone/>
                <wp:docPr id="107" name="Frame1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FARMS, L.L.C.</w:t>
      </w:r>
    </w:p>
    <w:p>
      <w:pPr>
        <w:pStyle w:val="TextBody"/>
        <w:bidi w:val="0"/>
        <w:spacing w:before="0" w:after="0"/>
        <w:ind w:left="0" w:right="0" w:hanging="369"/>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By:    The Lamar Company, L.L.C., its Managing Member </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ADVANTAGE GP COMPANY, LLC</w:t>
        <w:br/>
        <w:t>LAMAR ADVANTAGE LP COMPANY, LLC</w:t>
        <w:br/>
        <w:t>TRIUMPH OUTDOOR HOLDINGS,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1155"/>
                <wp:effectExtent l="0" t="0" r="0" b="0"/>
                <wp:wrapNone/>
                <wp:docPr id="108" name="Frame1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both"/>
        <w:rPr>
          <w:rFonts w:ascii="Times New Roman;serif" w:hAnsi="Times New Roman;serif"/>
          <w:b w:val="false"/>
          <w:color w:val="000000"/>
          <w:sz w:val="24"/>
        </w:rPr>
      </w:pPr>
      <w:r>
        <w:rPr>
          <w:rFonts w:ascii="Times New Roman;serif" w:hAnsi="Times New Roman;serif"/>
          <w:b w:val="false"/>
          <w:color w:val="000000"/>
          <w:sz w:val="24"/>
        </w:rPr>
        <w:t>LAMAR ADVANTAGE OUTDOOR COMPANY, L.P.</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LAMAR ADVANTAGE HOLDING COMPANY, LLC</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Outdoor Company, L.P.,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480"/>
        <w:ind w:left="0" w:right="0" w:hanging="36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1155"/>
                <wp:effectExtent l="0" t="0" r="0" b="0"/>
                <wp:wrapNone/>
                <wp:docPr id="109" name="Frame10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480" w:after="480"/>
        <w:ind w:left="0" w:right="0" w:hanging="369"/>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MARKETING SYSTEMS,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PROMOTIONS 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TRIUMPH OUTDOOR RHODE ISLAND, LLC</w:t>
      </w:r>
    </w:p>
    <w:p>
      <w:pPr>
        <w:pStyle w:val="TextBody"/>
        <w:bidi w:val="0"/>
        <w:spacing w:before="0" w:after="0"/>
        <w:ind w:left="0" w:right="0" w:hanging="288"/>
        <w:jc w:val="both"/>
        <w:rPr/>
      </w:pPr>
      <w:r>
        <w:rPr/>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Managing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480" w:after="480"/>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PROPERTIES II, LLC</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Investments, LLC, its Managing Member</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1155"/>
                <wp:effectExtent l="0" t="0" r="0" b="0"/>
                <wp:wrapNone/>
                <wp:docPr id="110" name="Frame1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OF PENN, LLC</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r>
    </w:p>
    <w:p>
      <w:pPr>
        <w:pStyle w:val="TextBody"/>
        <w:bidi w:val="0"/>
        <w:spacing w:lineRule="auto" w:line="288" w:before="0" w:after="0"/>
        <w:ind w:left="0" w:right="0" w:hanging="369"/>
        <w:jc w:val="left"/>
        <w:rPr>
          <w:rFonts w:ascii="Times New Roman;serif" w:hAnsi="Times New Roman;serif"/>
          <w:b w:val="false"/>
          <w:color w:val="000000"/>
          <w:sz w:val="24"/>
        </w:rPr>
      </w:pP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1155"/>
                <wp:effectExtent l="0" t="0" r="0" b="0"/>
                <wp:wrapNone/>
                <wp:docPr id="111" name="Frame1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OBIE COMPANY,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1155"/>
                <wp:effectExtent l="0" t="0" r="0" b="0"/>
                <wp:wrapNone/>
                <wp:docPr id="112" name="Frame1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1,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2,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MEDIA/LAMAR,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MEDIA GROUP,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OUTDOOR ADVERTISING,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1155"/>
                <wp:effectExtent l="0" t="0" r="0" b="0"/>
                <wp:wrapNone/>
                <wp:docPr id="113" name="Frame1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HOLDINGS,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1155"/>
                <wp:effectExtent l="0" t="0" r="0" b="0"/>
                <wp:wrapNone/>
                <wp:docPr id="114" name="Frame1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DOUGLAS OUTDOOR ADVERTISING OF GA.,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Magic Media/Lamar,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MCC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FMO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OLYMPUS MEDIA/INDIANA,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CCO INDIANA, LLC</w:t>
      </w:r>
    </w:p>
    <w:p>
      <w:pPr>
        <w:pStyle w:val="TextBody"/>
        <w:bidi w:val="0"/>
        <w:spacing w:before="0" w:after="0"/>
        <w:ind w:left="0" w:right="0" w:hanging="288"/>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LLC, its Managing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1155"/>
                <wp:effectExtent l="0" t="0" r="0" b="0"/>
                <wp:wrapNone/>
                <wp:docPr id="115"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xml:space="preserve">    Title:    Executive Vice-President, Chief                 Financial Officer and Treasurer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GENERAL PARTNER, LLC</w:t>
      </w:r>
    </w:p>
    <w:p>
      <w:pPr>
        <w:pStyle w:val="TextBody"/>
        <w:bidi w:val="0"/>
        <w:spacing w:before="0" w:after="0"/>
        <w:jc w:val="both"/>
        <w:rPr/>
      </w:pPr>
      <w:r>
        <w:rPr/>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1155"/>
                <wp:effectExtent l="0" t="0" r="0" b="0"/>
                <wp:wrapNone/>
                <wp:docPr id="116"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Wally Jones                </w:t>
      </w:r>
      <w:r>
        <w:rPr>
          <w:rFonts w:ascii="Times New Roman;serif" w:hAnsi="Times New Roman;serif"/>
          <w:b w:val="false"/>
          <w:color w:val="000000"/>
          <w:sz w:val="24"/>
        </w:rPr>
        <w:br/>
        <w:t>Name: Wally Jones</w:t>
        <w:b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4.4</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6415"/>
                <wp:effectExtent l="0" t="0" r="0" b="0"/>
                <wp:wrapNone/>
                <wp:docPr id="117"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INDENTURE DATED MAY 13, 2020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SUPPLEMENTAL INDENTURE dated as of April 24, 2026, among LAMAR MEDIA CORP.,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undersigned Guarantors party hereto, TLC PROPERTIES III, LLC, a Delaware limited liability company (the “</w:t>
      </w:r>
      <w:r>
        <w:rPr>
          <w:rFonts w:ascii="Times New Roman;serif" w:hAnsi="Times New Roman;serif"/>
          <w:b w:val="false"/>
          <w:color w:val="000000"/>
          <w:sz w:val="24"/>
          <w:u w:val="single"/>
        </w:rPr>
        <w:t>New Guarantor</w:t>
      </w:r>
      <w:r>
        <w:rPr>
          <w:color w:val="000000"/>
        </w:rPr>
        <w:t>”</w:t>
      </w:r>
      <w:r>
        <w:rPr>
          <w:rFonts w:ascii="Times New Roman;serif" w:hAnsi="Times New Roman;serif"/>
          <w:b w:val="false"/>
          <w:color w:val="000000"/>
          <w:sz w:val="24"/>
        </w:rPr>
        <w:t>), and U.S. BANK TRUST COMPANY,</w:t>
      </w:r>
      <w:r>
        <w:rPr>
          <w:color w:val="000000"/>
        </w:rPr>
        <w:t xml:space="preserve"> </w:t>
      </w:r>
      <w:r>
        <w:rPr>
          <w:rFonts w:ascii="Times New Roman;serif" w:hAnsi="Times New Roman;serif"/>
          <w:b w:val="false"/>
          <w:color w:val="000000"/>
          <w:sz w:val="24"/>
        </w:rPr>
        <w:t>NATIONAL ASSOCIATION</w:t>
      </w:r>
      <w:r>
        <w:rPr>
          <w:color w:val="000000"/>
        </w:rPr>
        <w:t xml:space="preserve"> </w:t>
      </w:r>
      <w:r>
        <w:rPr>
          <w:rFonts w:ascii="Times New Roman;serif" w:hAnsi="Times New Roman;serif"/>
          <w:b w:val="false"/>
          <w:color w:val="000000"/>
          <w:sz w:val="24"/>
        </w:rPr>
        <w:t>(as successor in interest to U.S. Bank National Association)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4.875% Senior Notes due 2029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New Guarantor desires to provide a guarantee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of the obligations of the Company under the Notes and the Indenture in accordance with Article 10 of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8.01 of the Indenture, the Company, the Trustee, the Guarantors and the New Guarantor are authorized to execute and deliver this Supplemental Indenture;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precedent provided for in the Indenture relating to the execution of this Supplemental Indenture have been complied with.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hereto mutually covenant and agree for the equal and ratable benefit of the Holders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terms used herein without definition have the meanings ascribed to them in the Indenture.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Guarantee</w:t>
      </w:r>
      <w:r>
        <w:rPr>
          <w:rFonts w:ascii="Times New Roman;serif" w:hAnsi="Times New Roman;serif"/>
          <w:b w:val="false"/>
          <w:color w:val="000000"/>
          <w:sz w:val="24"/>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Effectiveness of Supplemental Indenture</w:t>
      </w:r>
      <w:r>
        <w:rPr>
          <w:rFonts w:ascii="Times New Roman;serif" w:hAnsi="Times New Roman;serif"/>
          <w:b w:val="false"/>
          <w:color w:val="000000"/>
          <w:sz w:val="24"/>
        </w:rPr>
        <w:t>. This Supplemental Indenture shall become effective upon the execution and delivery of this Supplemental Indenture by the Company, the Guarantors, the New Guarantor and the Trustee.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8"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Indenture Remains in Full Force and Effect</w:t>
      </w:r>
      <w:r>
        <w:rPr>
          <w:rFonts w:ascii="Times New Roman;serif" w:hAnsi="Times New Roman;serif"/>
          <w:b w:val="false"/>
          <w:color w:val="000000"/>
          <w:sz w:val="24"/>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Sections of this Supplemental Indenture are inserted for convenience of reference and shall not be deemed a part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 without regard to principles of conflicts of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Trustee Disclaimer</w:t>
      </w:r>
      <w:r>
        <w:rPr>
          <w:rFonts w:ascii="Times New Roman;serif" w:hAnsi="Times New Roman;serif"/>
          <w:b w:val="false"/>
          <w:color w:val="000000"/>
          <w:sz w:val="24"/>
        </w:rPr>
        <w:t>. The Trustee is not responsible for the validity or sufficiency of this Supplemental Indenture nor for the recitals hereof, which shall be taken as the statements of the Company, the Guarantors and the New Guarantor.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1155"/>
                <wp:effectExtent l="0" t="0" r="0" b="0"/>
                <wp:wrapNone/>
                <wp:docPr id="119"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undersigned have caused this Supplemental Indenture to be duly executed as of the day and year first above written.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GUARANTOR: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6"/>
        </w:rPr>
      </w:pPr>
      <w:r>
        <w:rPr>
          <w:rFonts w:ascii="Times New Roman;serif" w:hAnsi="Times New Roman;serif"/>
          <w:b w:val="false"/>
          <w:color w:val="000000"/>
          <w:sz w:val="26"/>
        </w:rPr>
        <w:t>TLC PROPERTIES III,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6415"/>
                <wp:effectExtent l="0" t="0" r="0" b="0"/>
                <wp:wrapNone/>
                <wp:docPr id="120" name="Frame1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LAMAR MEDIA CORP.</w:t>
      </w:r>
    </w:p>
    <w:p>
      <w:pPr>
        <w:pStyle w:val="TextBody"/>
        <w:bidi w:val="0"/>
        <w:spacing w:before="0" w:after="0"/>
        <w:ind w:left="0" w:right="0" w:hanging="576"/>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1155"/>
                <wp:effectExtent l="0" t="0" r="0" b="0"/>
                <wp:wrapNone/>
                <wp:docPr id="121" name="Frame1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576"/>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ALABAMA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ARIZONA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COLORADO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DELAWARE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GEORGIA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INDIANA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KENTUCKY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LOUISIANA 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MAINE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MICHIGAN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MINNESOTA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MISSISSIPPI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MISSOURI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MONTANA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NEBRASKA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NEVADA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HAMPSHIRE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JERSEY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NEW MEXICO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NORTH CAROLINA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OHIO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OKLAHOMA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SOUTH CAROLINA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TENNESSEE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UTAH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VIRGINIA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WASHINGTON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WISCONSIN LOGOS,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Interstate Logos,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1155"/>
                <wp:effectExtent l="0" t="0" r="0" b="0"/>
                <wp:wrapNone/>
                <wp:docPr id="122" name="Frame1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AIRPORT ADVERTISING COMPANY</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SKYHIGH MURALS – COLOSSAL MEDIA, LLC</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240" w:after="480"/>
        <w:ind w:left="0" w:right="0" w:hanging="374"/>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240" w:after="480"/>
        <w:ind w:left="0" w:right="0" w:hanging="374"/>
        <w:jc w:val="both"/>
        <w:rPr>
          <w:rFonts w:ascii="Times New Roman;serif" w:hAnsi="Times New Roman;serif"/>
          <w:b w:val="false"/>
          <w:color w:val="000000"/>
          <w:sz w:val="24"/>
        </w:rPr>
      </w:pPr>
      <w:r>
        <w:rPr>
          <w:rFonts w:ascii="Times New Roman;serif" w:hAnsi="Times New Roman;serif"/>
          <w:b w:val="false"/>
          <w:color w:val="000000"/>
          <w:sz w:val="24"/>
        </w:rPr>
        <w:t>FLORIDA LOGOS, LLC</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Interstate Logos TRS,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88"/>
        <w:ind w:left="0" w:right="0" w:hanging="288"/>
        <w:jc w:val="both"/>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1155"/>
                <wp:effectExtent l="0" t="0" r="0" b="0"/>
                <wp:wrapNone/>
                <wp:docPr id="123" name="Frame1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1155"/>
                <wp:effectExtent l="0" t="0" r="0" b="0"/>
                <wp:wrapNone/>
                <wp:docPr id="124" name="Frame1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88"/>
        <w:jc w:val="both"/>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ASHBY STREET OUTDOOR HOLDINGS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CENTRAL OUTDOOR,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SOUTHWEST,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THE LAMAR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TRS HOLDINGS,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480"/>
        <w:ind w:left="0" w:right="0" w:hanging="585"/>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283"/>
        <w:jc w:val="left"/>
        <w:rPr/>
      </w:pPr>
      <w:r>
        <w:rPr/>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INTERSTATE LOGOS TRS,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INVESTMENTS,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SERVICE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TRANSIT, LLC</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By: Lamar TRS Holdings,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1155"/>
                <wp:effectExtent l="0" t="0" r="0" b="0"/>
                <wp:wrapNone/>
                <wp:docPr id="125" name="Frame1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CC, LLC</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By: Ashby Street Outdoor Holdings LLC, </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63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Jay L. Johnson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Jay L. Johnson</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TEXAS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634"/>
        <w:jc w:val="left"/>
        <w:rPr/>
      </w:pPr>
      <w:r>
        <w:rPr/>
      </w:r>
    </w:p>
    <w:p>
      <w:pPr>
        <w:pStyle w:val="TextBody"/>
        <w:bidi w:val="0"/>
        <w:ind w:left="0" w:right="0" w:hanging="63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1155"/>
                <wp:effectExtent l="0" t="0" r="0" b="0"/>
                <wp:wrapNone/>
                <wp:docPr id="126" name="Frame1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COLORADO SPRINGS,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OF LOUISIANA,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MICHIGAN,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SOUTH DAKOTA,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YOUNGSTOWN,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LAMAR ELECTRICAL,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FLORIDA,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NORTH,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SOUTH,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OHIO OUTDOOR HOLDING,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TENNESSEE,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TLC PROPERTIES, LLC</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283"/>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27" name="Frame1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FARMS, L.L.C.</w:t>
      </w:r>
    </w:p>
    <w:p>
      <w:pPr>
        <w:pStyle w:val="TextBody"/>
        <w:bidi w:val="0"/>
        <w:spacing w:before="0" w:after="0"/>
        <w:ind w:left="0" w:right="0" w:hanging="369"/>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By:    The Lamar Company, L.L.C., its Managing Member </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ADVANTAGE GP COMPANY, LLC</w:t>
        <w:br/>
        <w:t>LAMAR ADVANTAGE LP COMPANY, LLC</w:t>
        <w:br/>
        <w:t>TRIUMPH OUTDOOR HOLDINGS,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28"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both"/>
        <w:rPr>
          <w:rFonts w:ascii="Times New Roman;serif" w:hAnsi="Times New Roman;serif"/>
          <w:b w:val="false"/>
          <w:color w:val="000000"/>
          <w:sz w:val="24"/>
        </w:rPr>
      </w:pPr>
      <w:r>
        <w:rPr>
          <w:rFonts w:ascii="Times New Roman;serif" w:hAnsi="Times New Roman;serif"/>
          <w:b w:val="false"/>
          <w:color w:val="000000"/>
          <w:sz w:val="24"/>
        </w:rPr>
        <w:t>LAMAR ADVANTAGE OUTDOOR COMPANY, L.P.</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LAMAR ADVANTAGE HOLDING COMPANY, LLC</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Outdoor Company, L.P.,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480"/>
        <w:ind w:left="0" w:right="0" w:hanging="36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9" name="Frame1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480" w:after="480"/>
        <w:ind w:left="0" w:right="0" w:hanging="369"/>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MARKETING SYSTEMS,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PROMOTIONS 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TRIUMPH OUTDOOR RHODE ISLAND, LLC</w:t>
      </w:r>
    </w:p>
    <w:p>
      <w:pPr>
        <w:pStyle w:val="TextBody"/>
        <w:bidi w:val="0"/>
        <w:spacing w:before="0" w:after="0"/>
        <w:ind w:left="0" w:right="0" w:hanging="288"/>
        <w:jc w:val="both"/>
        <w:rPr/>
      </w:pPr>
      <w:r>
        <w:rPr/>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Managing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480" w:after="480"/>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PROPERTIES II, LLC</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Investments, LLC, its Managing Member</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30" name="Frame1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OF PENN, LLC</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r>
    </w:p>
    <w:p>
      <w:pPr>
        <w:pStyle w:val="TextBody"/>
        <w:bidi w:val="0"/>
        <w:spacing w:lineRule="auto" w:line="288" w:before="0" w:after="0"/>
        <w:ind w:left="0" w:right="0" w:hanging="369"/>
        <w:jc w:val="left"/>
        <w:rPr>
          <w:rFonts w:ascii="Times New Roman;serif" w:hAnsi="Times New Roman;serif"/>
          <w:b w:val="false"/>
          <w:color w:val="000000"/>
          <w:sz w:val="24"/>
        </w:rPr>
      </w:pP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1155"/>
                <wp:effectExtent l="0" t="0" r="0" b="0"/>
                <wp:wrapNone/>
                <wp:docPr id="131" name="Frame1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OBIE COMPANY,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2" name="Frame1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1,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2,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MEDIA/LAMAR,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MEDIA GROUP,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OUTDOOR ADVERTISING,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3" name="Frame1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HOLDINGS,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4" name="Frame1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DOUGLAS OUTDOOR ADVERTISING OF GA.,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Magic Media/Lamar,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MCC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FMO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OLYMPUS MEDIA/INDIANA,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CCO INDIANA, LLC</w:t>
      </w:r>
    </w:p>
    <w:p>
      <w:pPr>
        <w:pStyle w:val="TextBody"/>
        <w:bidi w:val="0"/>
        <w:spacing w:before="0" w:after="0"/>
        <w:ind w:left="0" w:right="0" w:hanging="288"/>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LLC, its Managing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5" name="Frame1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xml:space="preserve">    Title:    Executive Vice-President, Chief                 Financial Officer and Treasurer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GENERAL PARTNER, LLC</w:t>
      </w:r>
    </w:p>
    <w:p>
      <w:pPr>
        <w:pStyle w:val="TextBody"/>
        <w:bidi w:val="0"/>
        <w:spacing w:before="0" w:after="0"/>
        <w:jc w:val="both"/>
        <w:rPr/>
      </w:pPr>
      <w:r>
        <w:rPr/>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1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Wally Jones                </w:t>
      </w:r>
      <w:r>
        <w:rPr>
          <w:rFonts w:ascii="Times New Roman;serif" w:hAnsi="Times New Roman;serif"/>
          <w:b w:val="false"/>
          <w:color w:val="000000"/>
          <w:sz w:val="24"/>
        </w:rPr>
        <w:br/>
        <w:t>Name: Wally Jones</w:t>
        <w:b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4.5</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INDENTURE DATED SEPTEMBER 25,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SUPPLEMENTAL INDENTURE dated as of April 24, 2026, among LAMAR MEDIA CORP.,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undersigned Guarantors party hereto, TLC PROPERTIES III, LLC, a Delaware limited liability company (the “</w:t>
      </w:r>
      <w:r>
        <w:rPr>
          <w:rFonts w:ascii="Times New Roman;serif" w:hAnsi="Times New Roman;serif"/>
          <w:b w:val="false"/>
          <w:color w:val="000000"/>
          <w:sz w:val="24"/>
          <w:u w:val="single"/>
        </w:rPr>
        <w:t>New Guarantor</w:t>
      </w:r>
      <w:r>
        <w:rPr>
          <w:color w:val="000000"/>
        </w:rPr>
        <w:t>”</w:t>
      </w:r>
      <w:r>
        <w:rPr>
          <w:rFonts w:ascii="Times New Roman;serif" w:hAnsi="Times New Roman;serif"/>
          <w:b w:val="false"/>
          <w:color w:val="000000"/>
          <w:sz w:val="24"/>
        </w:rPr>
        <w:t>), and U.S. BANK TRUST COMPANY,</w:t>
      </w:r>
      <w:r>
        <w:rPr>
          <w:color w:val="000000"/>
        </w:rPr>
        <w:t xml:space="preserve"> </w:t>
      </w:r>
      <w:r>
        <w:rPr>
          <w:rFonts w:ascii="Times New Roman;serif" w:hAnsi="Times New Roman;serif"/>
          <w:b w:val="false"/>
          <w:color w:val="000000"/>
          <w:sz w:val="24"/>
        </w:rPr>
        <w:t>NATIONAL ASSOCIATION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each of the Company and the Guarantors (as defined in the Indenture referred to below) has heretofore executed and delivered to the Trustee an Indenture, dated as of September 25, 2025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5.375% Senior Notes due 2033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New Guarantor desires to provide a guarantee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of the obligations of the Company under the Notes and the Indenture in accordance with Article 10 of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8.01 of the Indenture, the Company, the Trustee, the Guarantors and the New Guarantor are authorized to execute and deliver this Supplemental Indenture;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precedent provided for in the Indenture relating to the execution of this Supplemental Indenture have been complied with.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hereto mutually covenant and agree for the equal and ratable benefit of the Holders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terms used herein without definition have the meanings ascribed to them in the Indenture.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Guarantee</w:t>
      </w:r>
      <w:r>
        <w:rPr>
          <w:rFonts w:ascii="Times New Roman;serif" w:hAnsi="Times New Roman;serif"/>
          <w:b w:val="false"/>
          <w:color w:val="000000"/>
          <w:sz w:val="24"/>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Effectiveness of Supplemental Indenture</w:t>
      </w:r>
      <w:r>
        <w:rPr>
          <w:rFonts w:ascii="Times New Roman;serif" w:hAnsi="Times New Roman;serif"/>
          <w:b w:val="false"/>
          <w:color w:val="000000"/>
          <w:sz w:val="24"/>
        </w:rPr>
        <w:t>. This Supplemental Indenture shall become effective upon the execution and delivery of this Supplemental Indenture by the Company, the Guarantors, the New Guarantor and the Trustee.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8"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Indenture Remains in Full Force and Effect</w:t>
      </w:r>
      <w:r>
        <w:rPr>
          <w:rFonts w:ascii="Times New Roman;serif" w:hAnsi="Times New Roman;serif"/>
          <w:b w:val="false"/>
          <w:color w:val="000000"/>
          <w:sz w:val="24"/>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Sections of this Supplemental Indenture are inserted for convenience of reference and shall not be deemed a part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 without regard to principles of conflicts of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Trustee Disclaimer</w:t>
      </w:r>
      <w:r>
        <w:rPr>
          <w:rFonts w:ascii="Times New Roman;serif" w:hAnsi="Times New Roman;serif"/>
          <w:b w:val="false"/>
          <w:color w:val="000000"/>
          <w:sz w:val="24"/>
        </w:rPr>
        <w:t>. The Trustee is not responsible for the validity or sufficiency of this Supplemental Indenture nor for the recitals hereof, which shall be taken as the statements of the Company, the Guarantors and the New Guarantor.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undersigned have caused this Supplemental Indenture to be duly executed as of the day and year first above written.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GUARANTOR: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6"/>
        </w:rPr>
      </w:pPr>
      <w:r>
        <w:rPr>
          <w:rFonts w:ascii="Times New Roman;serif" w:hAnsi="Times New Roman;serif"/>
          <w:b w:val="false"/>
          <w:color w:val="000000"/>
          <w:sz w:val="26"/>
        </w:rPr>
        <w:t>TLC PROPERTIES III,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6415"/>
                <wp:effectExtent l="0" t="0" r="0" b="0"/>
                <wp:wrapNone/>
                <wp:docPr id="140" name="Frame1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Supplemental Indenture</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LAMAR MEDIA CORP.</w:t>
      </w:r>
    </w:p>
    <w:p>
      <w:pPr>
        <w:pStyle w:val="TextBody"/>
        <w:bidi w:val="0"/>
        <w:spacing w:before="0" w:after="0"/>
        <w:ind w:left="0" w:right="0" w:hanging="576"/>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576"/>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ALABAMA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ARIZONA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ARKANSAS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COLORADO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DELAWARE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GEORGIA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INDIANA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KANSAS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KENTUCKY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LOUISIANA 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MAINE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MICHIGAN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MINNESOTA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MISSISSIPPI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MISSOURI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MONTANA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NEBRASKA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NEVADA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HAMPSHIRE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NEW JERSEY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NEW MEXICO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NORTH CAROLINA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OHIO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OKLAHOMA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SOUTH CAROLINA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TENNESSEE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 xml:space="preserve">UTAH LOGOS,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VIRGINIA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WASHINGTON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WISCONSIN LOGOS,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Interstate Logos,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AIRPORT ADVERTISING COMPANY</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SKYHIGH MURALS – COLOSSAL MEDIA, LLC</w:t>
      </w:r>
    </w:p>
    <w:p>
      <w:pPr>
        <w:pStyle w:val="TextBody"/>
        <w:bidi w:val="0"/>
        <w:spacing w:before="0" w:after="0"/>
        <w:ind w:left="0" w:right="0" w:hanging="288"/>
        <w:jc w:val="left"/>
        <w:rPr/>
      </w:pPr>
      <w:r>
        <w:rPr/>
      </w:r>
    </w:p>
    <w:p>
      <w:pPr>
        <w:pStyle w:val="TextBody"/>
        <w:bidi w:val="0"/>
        <w:spacing w:before="0" w:after="0"/>
        <w:ind w:left="0" w:right="0" w:hanging="630"/>
        <w:jc w:val="left"/>
        <w:rPr/>
      </w:pPr>
      <w:r>
        <w:rPr/>
      </w:r>
    </w:p>
    <w:p>
      <w:pPr>
        <w:pStyle w:val="TextBody"/>
        <w:bidi w:val="0"/>
        <w:spacing w:lineRule="auto" w:line="288" w:before="240" w:after="480"/>
        <w:ind w:left="0" w:right="0" w:hanging="374"/>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240" w:after="480"/>
        <w:ind w:left="0" w:right="0" w:hanging="374"/>
        <w:jc w:val="both"/>
        <w:rPr>
          <w:rFonts w:ascii="Times New Roman;serif" w:hAnsi="Times New Roman;serif"/>
          <w:b w:val="false"/>
          <w:color w:val="000000"/>
          <w:sz w:val="24"/>
        </w:rPr>
      </w:pPr>
      <w:r>
        <w:rPr>
          <w:rFonts w:ascii="Times New Roman;serif" w:hAnsi="Times New Roman;serif"/>
          <w:b w:val="false"/>
          <w:color w:val="000000"/>
          <w:sz w:val="24"/>
        </w:rPr>
        <w:t>FLORIDA LOGOS, LLC</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Interstate Logos TRS,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88"/>
        <w:ind w:left="0" w:right="0" w:hanging="288"/>
        <w:jc w:val="both"/>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4"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288"/>
        <w:jc w:val="both"/>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ASHBY STREET OUTDOOR HOLDINGS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INTERSTATE LOGOS,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CENTRAL OUTDOOR,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SOUTHWEST,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THE LAMAR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TRS HOLDINGS,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480"/>
        <w:ind w:left="0" w:right="0" w:hanging="585"/>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283"/>
        <w:jc w:val="left"/>
        <w:rPr/>
      </w:pPr>
      <w:r>
        <w:rPr/>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INTERSTATE LOGOS TRS,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INVESTMENTS,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SERVICE COMPANY,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TRANSIT, LLC</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By: Lamar TRS Holdings,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5"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ASHBY STREET OUTDOOR CC, LLC</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By: Ashby Street Outdoor Holdings LLC, </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0"/>
        <w:ind w:left="0" w:right="0" w:hanging="63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before="0" w:after="0"/>
        <w:ind w:left="0" w:right="0" w:hanging="288"/>
        <w:jc w:val="left"/>
        <w:rPr/>
      </w:pPr>
      <w:r>
        <w:rPr/>
      </w:r>
    </w:p>
    <w:p>
      <w:pPr>
        <w:pStyle w:val="TextBody"/>
        <w:bidi w:val="0"/>
        <w:spacing w:lineRule="auto" w:line="288" w:before="0" w:after="0"/>
        <w:ind w:left="0" w:right="0" w:hanging="288"/>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Jay L. Johnson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Jay L. Johnson</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TEXAS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General Partner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9"/>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720"/>
        <w:jc w:val="left"/>
        <w:rPr/>
      </w:pPr>
      <w:r>
        <w:rPr/>
      </w:r>
    </w:p>
    <w:p>
      <w:pPr>
        <w:pStyle w:val="TextBody"/>
        <w:bidi w:val="0"/>
        <w:spacing w:before="0" w:after="0"/>
        <w:ind w:left="0" w:right="0" w:hanging="634"/>
        <w:jc w:val="left"/>
        <w:rPr/>
      </w:pPr>
      <w:r>
        <w:rPr/>
      </w:r>
    </w:p>
    <w:p>
      <w:pPr>
        <w:pStyle w:val="TextBody"/>
        <w:bidi w:val="0"/>
        <w:ind w:left="0" w:right="0" w:hanging="63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COLORADO SPRINGS,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OF LOUISIANA,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MICHIGAN,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LAMAR ADVERTISING OF SOUTH DAKOTA, L.L.C.</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LAMAR ADVERTISING OF YOUNGSTOWN, LLC </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AIR,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LAMAR ELECTRICAL,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FLORIDA,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NORTH,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OCI SOUTH,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OHIO OUTDOOR HOLDING,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TENNESSEE,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TLC PROPERTIES, LLC</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283"/>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7"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FARMS, L.L.C.</w:t>
      </w:r>
    </w:p>
    <w:p>
      <w:pPr>
        <w:pStyle w:val="TextBody"/>
        <w:bidi w:val="0"/>
        <w:spacing w:before="0" w:after="0"/>
        <w:ind w:left="0" w:right="0" w:hanging="369"/>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By:    The Lamar Company, L.L.C., its Managing Member </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ADVANTAGE GP COMPANY, LLC</w:t>
        <w:br/>
        <w:t>LAMAR ADVANTAGE LP COMPANY, LLC</w:t>
        <w:br/>
        <w:t>TRIUMPH OUTDOOR HOLDINGS,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8" name="Frame1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both"/>
        <w:rPr>
          <w:rFonts w:ascii="Times New Roman;serif" w:hAnsi="Times New Roman;serif"/>
          <w:b w:val="false"/>
          <w:color w:val="000000"/>
          <w:sz w:val="24"/>
        </w:rPr>
      </w:pPr>
      <w:r>
        <w:rPr>
          <w:rFonts w:ascii="Times New Roman;serif" w:hAnsi="Times New Roman;serif"/>
          <w:b w:val="false"/>
          <w:color w:val="000000"/>
          <w:sz w:val="24"/>
        </w:rPr>
        <w:t>LAMAR ADVANTAGE OUTDOOR COMPANY, L.P.</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LAMAR ADVANTAGE HOLDING COMPANY, LLC</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Outdoor Company, L.P.,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Advantage GP Company, LLC, its General Partner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Central Outdoor,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480" w:after="480"/>
        <w:ind w:left="0" w:right="0" w:hanging="36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9" name="Frame1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480" w:after="480"/>
        <w:ind w:left="0" w:right="0" w:hanging="369"/>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MARKETING SYSTEMS,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OUTDOOR PROMOTIONS WEST, LLC</w: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TRIUMPH OUTDOOR RHODE ISLAND, LLC</w:t>
      </w:r>
    </w:p>
    <w:p>
      <w:pPr>
        <w:pStyle w:val="TextBody"/>
        <w:bidi w:val="0"/>
        <w:spacing w:before="0" w:after="0"/>
        <w:ind w:left="0" w:right="0" w:hanging="288"/>
        <w:jc w:val="both"/>
        <w:rPr/>
      </w:pPr>
      <w:r>
        <w:rPr/>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Managing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480" w:after="480"/>
        <w:ind w:left="0" w:right="0" w:hanging="369"/>
        <w:jc w:val="both"/>
        <w:rPr>
          <w:rFonts w:ascii="Times New Roman;serif" w:hAnsi="Times New Roman;serif"/>
          <w:b w:val="false"/>
          <w:color w:val="000000"/>
          <w:sz w:val="24"/>
        </w:rPr>
      </w:pPr>
      <w:r>
        <w:rPr>
          <w:rFonts w:ascii="Times New Roman;serif" w:hAnsi="Times New Roman;serif"/>
          <w:b w:val="false"/>
          <w:color w:val="000000"/>
          <w:sz w:val="24"/>
        </w:rPr>
        <w:t>TLC PROPERTIES II, LLC</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Investments, LLC, its Managing Member</w:t>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1155"/>
                <wp:effectExtent l="0" t="0" r="0" b="0"/>
                <wp:wrapNone/>
                <wp:docPr id="150" name="Frame1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ADVERTISING OF PENN, LLC</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The Lamar Company, L.L.C.,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r>
    </w:p>
    <w:p>
      <w:pPr>
        <w:pStyle w:val="TextBody"/>
        <w:bidi w:val="0"/>
        <w:spacing w:lineRule="auto" w:line="288" w:before="0" w:after="0"/>
        <w:ind w:left="0" w:right="0" w:hanging="369"/>
        <w:jc w:val="left"/>
        <w:rPr>
          <w:rFonts w:ascii="Times New Roman;serif" w:hAnsi="Times New Roman;serif"/>
          <w:b w:val="false"/>
          <w:color w:val="000000"/>
          <w:sz w:val="24"/>
        </w:rPr>
      </w:pPr>
      <w:r>
        <w:rPr>
          <w:rFonts w:ascii="Times New Roman;serif" w:hAnsi="Times New Roman;serif"/>
          <w:b w:val="false"/>
          <w:color w:val="000000"/>
          <w:sz w:val="24"/>
        </w:rPr>
        <w:t>Name:    Jay L. Johnson</w:t>
        <w:br/>
        <w:t>Title:    Executive Vice-President, 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51" name="Frame1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88"/>
        <w:jc w:val="both"/>
        <w:rPr>
          <w:rFonts w:ascii="Times New Roman;serif" w:hAnsi="Times New Roman;serif"/>
          <w:b w:val="false"/>
          <w:color w:val="000000"/>
          <w:sz w:val="24"/>
        </w:rPr>
      </w:pPr>
      <w:r>
        <w:rPr>
          <w:rFonts w:ascii="Times New Roman;serif" w:hAnsi="Times New Roman;serif"/>
          <w:b w:val="false"/>
          <w:color w:val="000000"/>
          <w:sz w:val="24"/>
        </w:rPr>
        <w:t>LAMAR OBIE COMPANY, LLC</w:t>
      </w:r>
    </w:p>
    <w:p>
      <w:pPr>
        <w:pStyle w:val="TextBody"/>
        <w:bidi w:val="0"/>
        <w:spacing w:before="0" w:after="0"/>
        <w:ind w:left="0" w:right="0" w:hanging="288"/>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Class A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Transit, LLC, its Class B Member</w:t>
      </w:r>
    </w:p>
    <w:p>
      <w:pPr>
        <w:pStyle w:val="TextBody"/>
        <w:bidi w:val="0"/>
        <w:spacing w:lineRule="auto" w:line="288" w:before="0" w:after="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TRS Holdings,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1155"/>
                <wp:effectExtent l="0" t="0" r="0" b="0"/>
                <wp:wrapNone/>
                <wp:docPr id="152" name="Frame1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1,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LAMAR-FAIRWAY BLOCKER 2,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MEDIA/LAMAR,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MEDIA GROUP,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FAIRWAY OUTDOOR ADVERTISING, LLC </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1155"/>
                <wp:effectExtent l="0" t="0" r="0" b="0"/>
                <wp:wrapNone/>
                <wp:docPr id="153" name="Frame1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HOLDINGS,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OUTDOOR FUNDING,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1155"/>
                <wp:effectExtent l="0" t="0" r="0" b="0"/>
                <wp:wrapNone/>
                <wp:docPr id="154" name="Frame1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DOUGLAS OUTDOOR ADVERTISING OF GA., LLC</w:t>
      </w:r>
    </w:p>
    <w:p>
      <w:pPr>
        <w:pStyle w:val="TextBody"/>
        <w:bidi w:val="0"/>
        <w:spacing w:before="0" w:after="0"/>
        <w:jc w:val="both"/>
        <w:rPr/>
      </w:pPr>
      <w:r>
        <w:rPr/>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Magic Media/Lamar,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MCC OUTDOOR,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MAGIC MEDIA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FMO REAL ESTATE,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OLYMPUS MEDIA/INDIANA,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FAIRWAY CCO INDIANA, LLC</w:t>
      </w:r>
    </w:p>
    <w:p>
      <w:pPr>
        <w:pStyle w:val="TextBody"/>
        <w:bidi w:val="0"/>
        <w:spacing w:before="0" w:after="0"/>
        <w:ind w:left="0" w:right="0" w:hanging="288"/>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LLC, its Managing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Funding Holdings,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Fairway Outdoor Advertising, LLC, its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Fairway Media Group, LLC,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extBody"/>
        <w:bidi w:val="0"/>
        <w:spacing w:lineRule="auto" w:line="288" w:before="0" w:after="0"/>
        <w:ind w:left="0" w:right="0" w:hanging="58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603"/>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ind w:left="0" w:right="0" w:hanging="288"/>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pStyle w:val="TextBody"/>
        <w:bidi w:val="0"/>
        <w:spacing w:before="0" w:after="0"/>
        <w:ind w:left="0" w:right="0" w:hanging="288"/>
        <w:jc w:val="left"/>
        <w:rPr/>
      </w:pPr>
      <w:r>
        <w:rPr/>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1155"/>
                <wp:effectExtent l="0" t="0" r="0" b="0"/>
                <wp:wrapNone/>
                <wp:docPr id="155" name="Frame1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LIMITED PARTNERSHIP</w:t>
      </w:r>
    </w:p>
    <w:p>
      <w:pPr>
        <w:pStyle w:val="TextBody"/>
        <w:bidi w:val="0"/>
        <w:spacing w:before="0" w:after="0"/>
        <w:ind w:left="0" w:right="0" w:hanging="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480" w:after="480"/>
        <w:ind w:left="0" w:right="0" w:hanging="369"/>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xml:space="preserve">    Title:    Executive Vice-President, Chief                 Financial Officer and Treasurer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LAMAR ADVERTISING GENERAL PARTNER, LLC</w:t>
      </w:r>
    </w:p>
    <w:p>
      <w:pPr>
        <w:pStyle w:val="TextBody"/>
        <w:bidi w:val="0"/>
        <w:spacing w:before="0" w:after="0"/>
        <w:jc w:val="both"/>
        <w:rPr/>
      </w:pPr>
      <w:r>
        <w:rPr/>
      </w:r>
    </w:p>
    <w:p>
      <w:pPr>
        <w:pStyle w:val="TextBody"/>
        <w:bidi w:val="0"/>
        <w:spacing w:lineRule="auto" w:line="288" w:before="0" w:after="480"/>
        <w:ind w:left="0" w:right="0" w:hanging="576"/>
        <w:jc w:val="both"/>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color w:val="000000"/>
        </w:rPr>
        <w:t>        </w:t>
      </w:r>
      <w:r>
        <w:rPr>
          <w:rFonts w:ascii="Times New Roman;serif" w:hAnsi="Times New Roman;serif"/>
          <w:b w:val="false"/>
          <w:color w:val="000000"/>
          <w:sz w:val="24"/>
        </w:rPr>
        <w:t>Name:    Jay L. Johnson</w:t>
        <w:br/>
        <w:t>        Title:    Executive Vice-President,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1155"/>
                <wp:effectExtent l="0" t="0" r="0" b="0"/>
                <wp:wrapNone/>
                <wp:docPr id="156" name="Frame1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Wally Jones                </w:t>
      </w:r>
      <w:r>
        <w:rPr>
          <w:rFonts w:ascii="Times New Roman;serif" w:hAnsi="Times New Roman;serif"/>
          <w:b w:val="false"/>
          <w:color w:val="000000"/>
          <w:sz w:val="24"/>
        </w:rPr>
        <w:br/>
        <w:t>Name: Wally Jones</w:t>
        <w:b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0520"/>
                <wp:effectExtent l="0" t="0" r="0" b="0"/>
                <wp:wrapNone/>
                <wp:docPr id="157" name="Frame1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JOINDER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JOINDER AGREEMENT dated as of April 24, 2026, by TLC Properties III, LLC, a Delaware limited liability company (the “</w:t>
      </w:r>
      <w:r>
        <w:rPr>
          <w:rFonts w:ascii="Times New Roman;serif" w:hAnsi="Times New Roman;serif"/>
          <w:b w:val="false"/>
          <w:color w:val="000000"/>
          <w:sz w:val="24"/>
          <w:u w:val="single"/>
        </w:rPr>
        <w:t>Additional Subsidiary Guarantor</w:t>
      </w:r>
      <w:r>
        <w:rPr>
          <w:color w:val="000000"/>
        </w:rPr>
        <w:t>”</w:t>
      </w:r>
      <w:r>
        <w:rPr>
          <w:rFonts w:ascii="Times New Roman;serif" w:hAnsi="Times New Roman;serif"/>
          <w:b w:val="false"/>
          <w:color w:val="000000"/>
          <w:sz w:val="24"/>
        </w:rPr>
        <w:t>), in favor of JPMorgan Chase Bank, N.A., as administrative agent for the Lenders party to the Credit Agreement referred to below (in such capacity, together with its successors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Lamar Media Corp.,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each Additional Subsidiary Borrower that may be or may become a party thereto (each an “</w:t>
      </w:r>
      <w:r>
        <w:rPr>
          <w:rFonts w:ascii="Times New Roman;serif" w:hAnsi="Times New Roman;serif"/>
          <w:b w:val="false"/>
          <w:color w:val="000000"/>
          <w:sz w:val="24"/>
          <w:u w:val="single"/>
        </w:rPr>
        <w:t>Additional Subsidiary Borrower</w:t>
      </w:r>
      <w:r>
        <w:rPr>
          <w:color w:val="000000"/>
        </w:rPr>
        <w:t xml:space="preserve">” </w:t>
      </w:r>
      <w:r>
        <w:rPr>
          <w:rFonts w:ascii="Times New Roman;serif" w:hAnsi="Times New Roman;serif"/>
          <w:b w:val="false"/>
          <w:color w:val="000000"/>
          <w:sz w:val="24"/>
        </w:rPr>
        <w:t>and together with the Company, the “</w:t>
      </w:r>
      <w:r>
        <w:rPr>
          <w:rFonts w:ascii="Times New Roman;serif" w:hAnsi="Times New Roman;serif"/>
          <w:b w:val="false"/>
          <w:color w:val="000000"/>
          <w:sz w:val="24"/>
          <w:u w:val="single"/>
        </w:rPr>
        <w:t>Borrowers</w:t>
      </w:r>
      <w:r>
        <w:rPr>
          <w:color w:val="000000"/>
        </w:rPr>
        <w:t>”</w:t>
      </w:r>
      <w:r>
        <w:rPr>
          <w:rFonts w:ascii="Times New Roman;serif" w:hAnsi="Times New Roman;serif"/>
          <w:b w:val="false"/>
          <w:color w:val="000000"/>
          <w:sz w:val="24"/>
        </w:rPr>
        <w:t>) and certain of its subsidiaries (collectively, the “</w:t>
      </w:r>
      <w:r>
        <w:rPr>
          <w:rFonts w:ascii="Times New Roman;serif" w:hAnsi="Times New Roman;serif"/>
          <w:b w:val="false"/>
          <w:color w:val="000000"/>
          <w:sz w:val="24"/>
          <w:u w:val="single"/>
        </w:rPr>
        <w:t>Existing Subsidiary Guarantors</w:t>
      </w:r>
      <w:r>
        <w:rPr>
          <w:color w:val="000000"/>
        </w:rPr>
        <w:t xml:space="preserve">” </w:t>
      </w:r>
      <w:r>
        <w:rPr>
          <w:rFonts w:ascii="Times New Roman;serif" w:hAnsi="Times New Roman;serif"/>
          <w:b w:val="false"/>
          <w:color w:val="000000"/>
          <w:sz w:val="24"/>
        </w:rPr>
        <w:t>and, together with the Borrowers, the “</w:t>
      </w:r>
      <w:r>
        <w:rPr>
          <w:rFonts w:ascii="Times New Roman;serif" w:hAnsi="Times New Roman;serif"/>
          <w:b w:val="false"/>
          <w:color w:val="000000"/>
          <w:sz w:val="24"/>
          <w:u w:val="single"/>
        </w:rPr>
        <w:t>Securing Parties</w:t>
      </w:r>
      <w:r>
        <w:rPr>
          <w:color w:val="000000"/>
        </w:rPr>
        <w:t>”</w:t>
      </w:r>
      <w:r>
        <w:rPr>
          <w:rFonts w:ascii="Times New Roman;serif" w:hAnsi="Times New Roman;serif"/>
          <w:b w:val="false"/>
          <w:color w:val="000000"/>
          <w:sz w:val="24"/>
        </w:rPr>
        <w:t>) are parties to that certain Fourth Amended and Restated Credit Agreement dated as of February 6, 2020 (as amended by that certain Amendment No. 1, dated as of July 2, 2021, as amended by that certain Amendment No. 2, dated as of July 29, 2022, as amended by that certain Amendment No. 3, dated as of April 26, 2023, as amended by that certain Amendment No. 4, dated as of July 31, 2023, as amended by Amendment No. 5, dated as of September 23, 2025, and as further amended, restated, amended and restated, extended,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and, together with Administrative Agent and any successors or assigns of any of the foregoing, the “</w:t>
      </w:r>
      <w:r>
        <w:rPr>
          <w:rFonts w:ascii="Times New Roman;serif" w:hAnsi="Times New Roman;serif"/>
          <w:b w:val="false"/>
          <w:color w:val="000000"/>
          <w:sz w:val="24"/>
          <w:u w:val="single"/>
        </w:rPr>
        <w:t>Secured Parties</w:t>
      </w:r>
      <w:r>
        <w:rPr>
          <w:color w:val="000000"/>
        </w:rPr>
        <w:t>”</w:t>
      </w:r>
      <w:r>
        <w:rPr>
          <w:rFonts w:ascii="Times New Roman;serif" w:hAnsi="Times New Roman;serif"/>
          <w:b w:val="false"/>
          <w:color w:val="000000"/>
          <w:sz w:val="24"/>
        </w:rPr>
        <w:t>) to the Borrowers. In addition, the Borrowers may from time to time be obligated to one or more of the Lenders under the Credit Agreement in respect of Swap Agreements under and as defined in the Credit Agreement (collectively, the “</w:t>
      </w:r>
      <w:r>
        <w:rPr>
          <w:rFonts w:ascii="Times New Roman;serif" w:hAnsi="Times New Roman;serif"/>
          <w:b w:val="false"/>
          <w:color w:val="000000"/>
          <w:sz w:val="24"/>
          <w:u w:val="single"/>
        </w:rPr>
        <w:t>Swap Agreements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In connection with the Credit Agreement, the Borrowers, the Existing Subsidiary Guarantors and the Administrative Agent are parties to that certain Amended and Restated Pledge Agreement dated as of February 3, 2014 (the “</w:t>
      </w:r>
      <w:r>
        <w:rPr>
          <w:rFonts w:ascii="Times New Roman;serif" w:hAnsi="Times New Roman;serif"/>
          <w:b w:val="false"/>
          <w:color w:val="000000"/>
          <w:sz w:val="24"/>
          <w:u w:val="single"/>
        </w:rPr>
        <w:t>Pledge Agreement</w:t>
      </w:r>
      <w:r>
        <w:rPr>
          <w:color w:val="000000"/>
        </w:rPr>
        <w:t>”</w:t>
      </w:r>
      <w:r>
        <w:rPr>
          <w:rFonts w:ascii="Times New Roman;serif" w:hAnsi="Times New Roman;serif"/>
          <w:b w:val="false"/>
          <w:color w:val="000000"/>
          <w:sz w:val="24"/>
        </w:rPr>
        <w:t xml:space="preserve">) pursuant to which the Securing Parties have, </w:t>
      </w:r>
      <w:r>
        <w:rPr>
          <w:rFonts w:ascii="Times New Roman;serif" w:hAnsi="Times New Roman;serif"/>
          <w:b w:val="false"/>
          <w:color w:val="000000"/>
          <w:sz w:val="24"/>
          <w:u w:val="single"/>
        </w:rPr>
        <w:t>inter</w:t>
      </w:r>
      <w:r>
        <w:rPr>
          <w:color w:val="000000"/>
        </w:rPr>
        <w:t xml:space="preserve"> </w:t>
      </w:r>
      <w:r>
        <w:rPr>
          <w:rFonts w:ascii="Times New Roman;serif" w:hAnsi="Times New Roman;serif"/>
          <w:b w:val="false"/>
          <w:color w:val="000000"/>
          <w:sz w:val="24"/>
          <w:u w:val="single"/>
        </w:rPr>
        <w:t>alia</w:t>
      </w:r>
      <w:r>
        <w:rPr>
          <w:rFonts w:ascii="Times New Roman;serif" w:hAnsi="Times New Roman;serif"/>
          <w:b w:val="false"/>
          <w:color w:val="000000"/>
          <w:sz w:val="24"/>
        </w:rPr>
        <w:t>, granted a security interest in the Collateral (as defined in the Pledge Agreement) as collateral security for the Secured Obligations (as so defined). Terms defined in the Pledge Agreement are used herein as defined therein.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To induce the Secured Parties to enter into the Credit Agreement, and to extend credit thereunder and to extend credit 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Accordingly, the parties hereto agree as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Definitions</w:t>
      </w:r>
      <w:r>
        <w:rPr>
          <w:rFonts w:ascii="Times New Roman;serif" w:hAnsi="Times New Roman;serif"/>
          <w:b w:val="false"/>
          <w:color w:val="000000"/>
          <w:sz w:val="24"/>
        </w:rPr>
        <w:t>. Terms defined in the Credit Agreement are used herein as defined therein.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Joinder to Agreements</w:t>
      </w:r>
      <w:r>
        <w:rPr>
          <w:rFonts w:ascii="Times New Roman;serif" w:hAnsi="Times New Roman;serif"/>
          <w:b w:val="false"/>
          <w:color w:val="000000"/>
          <w:sz w:val="24"/>
        </w:rPr>
        <w:t>. Effective upon the execution and delivery hereof, the Additional Subsidiary Guarantor hereby agrees that it shall become a “Subsidiary Guarantor” under and for all purposes of the Credit Agreement and a “Securing Party” under and for all purposes of the Pledge Agreement with all the rights and obligations of a Subsidiary Guarantor and Securing Party thereunder, as applicable. Without limiting the generality of the foregoing, the Additional Subsidiary Guarantor hereby: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(iv)    submits to the jurisdiction of the courts, and waives jury trial, as provided in Sections 10.09 and 10.10 of the Credit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Additional Subsidiary Guarantor hereby instructs its counsel to deliver the opinions referred to in Section 6.10(a)(iii) of the Credit Agreement to the Secured Parties.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9"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Additional Subsidiary Guarantor has caused this Joinder Agreement to be duly executed and delivered as of the day and year first above written.</w:t>
      </w:r>
    </w:p>
    <w:p>
      <w:pPr>
        <w:pStyle w:val="TextBody"/>
        <w:bidi w:val="0"/>
        <w:spacing w:lineRule="auto" w:line="288" w:before="0" w:after="0"/>
        <w:ind w:left="0" w:right="0" w:hanging="432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ADDITIONAL SUBSIDIARY GUARANTOR: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TLC PROPERTIES III,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TLC Properties, LLC, its Managing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The Lamar Company, L.L.C., its Managing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 xml:space="preserve">By:     Lamar Advertising Limited Partnership, its </w:t>
      </w:r>
    </w:p>
    <w:p>
      <w:pPr>
        <w:pStyle w:val="TextBody"/>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extBody"/>
        <w:bidi w:val="0"/>
        <w:spacing w:before="0" w:after="0"/>
        <w:ind w:left="0" w:right="0" w:hanging="63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extBody"/>
        <w:bidi w:val="0"/>
        <w:spacing w:before="0" w:after="0"/>
        <w:ind w:left="0" w:right="0" w:hanging="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Jay L. Johnson    </w:t>
        <w:br/>
      </w:r>
      <w:r>
        <w:rPr>
          <w:rFonts w:ascii="Times New Roman;serif" w:hAnsi="Times New Roman;serif"/>
          <w:b w:val="false"/>
          <w:color w:val="000000"/>
          <w:sz w:val="24"/>
        </w:rPr>
        <w:t xml:space="preserve">Name:    Jay L. Johnson, Executive Vice-President,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Attest: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James R. McIlwain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James R. McIlwain,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01675"/>
                <wp:effectExtent l="0" t="0" r="0" b="0"/>
                <wp:wrapNone/>
                <wp:docPr id="160" name="Frame16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Joinder Agreement</w:t>
                            </w:r>
                            <w:r>
                              <w:rPr>
                                <w:rFonts w:ascii="Times New Roman;serif" w:hAnsi="Times New Roman;serif"/>
                                <w:b w:val="false"/>
                                <w:color w:val="000000"/>
                                <w:sz w:val="20"/>
                              </w:rPr>
                              <w:t>]</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Joinder Agreement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JPMORGAN CHASE BANK, 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Chandan Kumar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Chandan Kumar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01040"/>
                <wp:effectExtent l="0" t="0" r="0" b="0"/>
                <wp:wrapNone/>
                <wp:docPr id="161" name="Frame16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hereby respectively pledges and grants a security interest in the Pledged Equity that it owns as described in Appendix A hereto and agrees that Schedule 1, Part 2 – Pledged Equity of the Pledge Agreement is hereby supplemented by adding thereto the information listed on Appendix A.</w:t>
      </w:r>
    </w:p>
    <w:p>
      <w:pPr>
        <w:pStyle w:val="TextBody"/>
        <w:bidi w:val="0"/>
        <w:spacing w:before="0" w:after="0"/>
        <w:jc w:val="both"/>
        <w:rPr/>
      </w:pPr>
      <w:r>
        <w:rPr/>
      </w:r>
    </w:p>
    <w:tbl>
      <w:tblPr>
        <w:tblW w:w="8714" w:type="dxa"/>
        <w:jc w:val="left"/>
        <w:tblInd w:w="0" w:type="dxa"/>
        <w:tblLayout w:type="fixed"/>
        <w:tblCellMar>
          <w:top w:w="28" w:type="dxa"/>
          <w:left w:w="28" w:type="dxa"/>
          <w:bottom w:w="28" w:type="dxa"/>
          <w:right w:w="28" w:type="dxa"/>
        </w:tblCellMar>
      </w:tblPr>
      <w:tblGrid>
        <w:gridCol w:w="2790"/>
        <w:gridCol w:w="2451"/>
        <w:gridCol w:w="3473"/>
      </w:tblGrid>
      <w:tr>
        <w:trPr/>
        <w:tc>
          <w:tcPr>
            <w:tcW w:w="2790"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8714" w:type="dxa"/>
            <w:gridSpan w:val="3"/>
            <w:tcBorders/>
            <w:tcMar>
              <w:top w:w="0" w:type="dxa"/>
              <w:left w:w="0" w:type="dxa"/>
              <w:bottom w:w="0" w:type="dxa"/>
              <w:right w:w="0" w:type="dxa"/>
            </w:tcMar>
            <w:vAlign w:val="center"/>
          </w:tcPr>
          <w:p>
            <w:pPr>
              <w:pStyle w:val="TableContents"/>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TLC Properties, LLC, Issuee</w:t>
            </w:r>
          </w:p>
          <w:p>
            <w:pPr>
              <w:pStyle w:val="TableContents"/>
              <w:bidi w:val="0"/>
              <w:spacing w:before="0" w:after="0"/>
              <w:ind w:left="0" w:right="0" w:hanging="630"/>
              <w:jc w:val="left"/>
              <w:rPr/>
            </w:pPr>
            <w:r>
              <w:rPr/>
            </w:r>
          </w:p>
          <w:p>
            <w:pPr>
              <w:pStyle w:val="TableContents"/>
              <w:bidi w:val="0"/>
              <w:spacing w:lineRule="auto" w:line="288" w:before="0" w:after="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By: The Lamar Company, L.L.C., its Managing Member</w:t>
            </w:r>
          </w:p>
          <w:p>
            <w:pPr>
              <w:pStyle w:val="TableContents"/>
              <w:bidi w:val="0"/>
              <w:spacing w:before="0" w:after="0"/>
              <w:ind w:left="0" w:right="0" w:hanging="630"/>
              <w:jc w:val="left"/>
              <w:rPr/>
            </w:pPr>
            <w:r>
              <w:rPr/>
            </w:r>
          </w:p>
          <w:p>
            <w:pPr>
              <w:pStyle w:val="TableContents"/>
              <w:bidi w:val="0"/>
              <w:spacing w:lineRule="auto" w:line="288" w:before="0" w:after="0"/>
              <w:ind w:left="0" w:right="0" w:hanging="675"/>
              <w:jc w:val="left"/>
              <w:rPr>
                <w:rFonts w:ascii="Times New Roman;serif" w:hAnsi="Times New Roman;serif"/>
                <w:b w:val="false"/>
                <w:color w:val="000000"/>
                <w:sz w:val="24"/>
              </w:rPr>
            </w:pPr>
            <w:r>
              <w:rPr>
                <w:rFonts w:ascii="Times New Roman;serif" w:hAnsi="Times New Roman;serif"/>
                <w:b w:val="false"/>
                <w:color w:val="000000"/>
                <w:sz w:val="24"/>
              </w:rPr>
              <w:t>By:    Lamar Advertising Limited Partnership, its Managing Member</w:t>
            </w:r>
          </w:p>
          <w:p>
            <w:pPr>
              <w:pStyle w:val="TableContents"/>
              <w:bidi w:val="0"/>
              <w:spacing w:before="0" w:after="0"/>
              <w:jc w:val="both"/>
              <w:rPr/>
            </w:pPr>
            <w:r>
              <w:rPr/>
            </w:r>
          </w:p>
          <w:p>
            <w:pPr>
              <w:pStyle w:val="TableContents"/>
              <w:bidi w:val="0"/>
              <w:spacing w:lineRule="auto" w:line="288" w:before="0" w:after="0"/>
              <w:ind w:left="0" w:right="0" w:hanging="675"/>
              <w:jc w:val="both"/>
              <w:rPr>
                <w:rFonts w:ascii="Times New Roman;serif" w:hAnsi="Times New Roman;serif"/>
                <w:b w:val="false"/>
                <w:color w:val="000000"/>
                <w:sz w:val="24"/>
              </w:rPr>
            </w:pPr>
            <w:r>
              <w:rPr>
                <w:rFonts w:ascii="Times New Roman;serif" w:hAnsi="Times New Roman;serif"/>
                <w:b w:val="false"/>
                <w:color w:val="000000"/>
                <w:sz w:val="24"/>
              </w:rPr>
              <w:t>By:    Lamar Advertising General Partner, LLC, its General Partner</w:t>
            </w:r>
          </w:p>
          <w:p>
            <w:pPr>
              <w:pStyle w:val="TableContents"/>
              <w:bidi w:val="0"/>
              <w:spacing w:before="0" w:after="0"/>
              <w:jc w:val="both"/>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Lamar Media Corp., its Managing Member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Jay L. Johnson </w:t>
              <w:br/>
            </w:r>
            <w:r>
              <w:rPr>
                <w:rFonts w:ascii="Times New Roman;serif" w:hAnsi="Times New Roman;serif"/>
                <w:b w:val="false"/>
                <w:color w:val="000000"/>
                <w:sz w:val="24"/>
              </w:rPr>
              <w:t>Name:    Jay L. Johnson, Executive Vice-President, Chief Financial Officer, and Treasurer</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5780"/>
                <wp:effectExtent l="0" t="0" r="0" b="0"/>
                <wp:wrapNone/>
                <wp:docPr id="162" name="Frame16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LAMAR ADVERTISING COMPANY</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1996 EQUITY INCENTIVE PLAN</w:t>
      </w:r>
    </w:p>
    <w:p>
      <w:pPr>
        <w:pStyle w:val="TextBody"/>
        <w:bidi w:val="0"/>
        <w:spacing w:lineRule="auto" w:line="288" w:before="0" w:after="480"/>
        <w:jc w:val="center"/>
        <w:rPr>
          <w:rFonts w:ascii="Times New Roman;serif" w:hAnsi="Times New Roman;serif"/>
          <w:b/>
          <w:i/>
          <w:color w:val="000000"/>
          <w:sz w:val="22"/>
        </w:rPr>
      </w:pPr>
      <w:r>
        <w:rPr>
          <w:rFonts w:ascii="Times New Roman;serif" w:hAnsi="Times New Roman;serif"/>
          <w:b/>
          <w:i/>
          <w:color w:val="000000"/>
          <w:sz w:val="22"/>
        </w:rPr>
        <w:t xml:space="preserve">as amended and restated </w:t>
      </w:r>
    </w:p>
    <w:p>
      <w:pPr>
        <w:pStyle w:val="TextBody"/>
        <w:bidi w:val="0"/>
        <w:spacing w:lineRule="auto" w:line="240" w:before="0" w:after="240"/>
        <w:jc w:val="both"/>
        <w:rPr/>
      </w:pPr>
      <w:r>
        <w:rPr>
          <w:rFonts w:ascii="Times New Roman;serif" w:hAnsi="Times New Roman;serif"/>
          <w:b w:val="false"/>
          <w:color w:val="000000"/>
          <w:sz w:val="22"/>
        </w:rPr>
        <w:t>1.</w:t>
      </w:r>
      <w:r>
        <w:rPr>
          <w:rFonts w:ascii="Times New Roman;serif" w:hAnsi="Times New Roman;serif"/>
          <w:b/>
          <w:i/>
          <w:color w:val="000000"/>
          <w:sz w:val="22"/>
        </w:rPr>
        <w:t>Purpose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purpose of the Lamar Advertising Company 1996 Equity Incentive Plan (the “Plan”) is to attract and retain directors, key employees and consultants of the Company and its Affiliates, to provide an incentive for them to achieve long-range performance goals, and to enable them to participate in the long-term growth of the Company by granting Awards with respect to the Company’s Class A Common Stock (the “Common Stock”). Certain capitalized terms used herein are defined in Section 9 below.</w:t>
      </w:r>
    </w:p>
    <w:p>
      <w:pPr>
        <w:pStyle w:val="TextBody"/>
        <w:bidi w:val="0"/>
        <w:spacing w:lineRule="auto" w:line="240" w:before="0" w:after="240"/>
        <w:jc w:val="both"/>
        <w:rPr/>
      </w:pPr>
      <w:r>
        <w:rPr>
          <w:rFonts w:ascii="Times New Roman;serif" w:hAnsi="Times New Roman;serif"/>
          <w:b w:val="false"/>
          <w:color w:val="000000"/>
          <w:sz w:val="22"/>
        </w:rPr>
        <w:t>2.</w:t>
      </w:r>
      <w:r>
        <w:rPr>
          <w:rFonts w:ascii="Times New Roman;serif" w:hAnsi="Times New Roman;serif"/>
          <w:b/>
          <w:i/>
          <w:color w:val="000000"/>
          <w:sz w:val="22"/>
        </w:rPr>
        <w:t>Administration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Plan shall be administered by the Committee. The Committee shall select the Participants to receive Awards and shall determine the terms and conditions of the Awards and designate any Performance Measures, as applicable. The Committee shall have authority to adopt, alter and repeal such administrative rules, guidelines and practices governing the operation of the Plan as it shall from time to time consider advisable, and to interpret the provisions of the Plan. The Committee’s decisions shall be final and binding. To the extent permitted by applicable law, the Committee may delegate to one or more executive officers of the Company the power to make Awards to Participants who are not Reporting Persons and all determinations under the Plan with respect thereto, provided that the Committee shall fix the maximum amount of such Awards for all such Participants and a maximum for any one Participant. In its absolute discretion, the Board may at any time and from time to time exercise any and all rights and duties of the Committee under this Plan except with respect to matters which under Rule 16b-3 are required to be determined in the sole discretion of the Committee. </w: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val="false"/>
          <w:color w:val="000000"/>
          <w:sz w:val="22"/>
        </w:rPr>
        <w:t>3.</w:t>
      </w:r>
      <w:r>
        <w:rPr>
          <w:rFonts w:ascii="Times New Roman;serif" w:hAnsi="Times New Roman;serif"/>
          <w:b/>
          <w:i/>
          <w:color w:val="000000"/>
          <w:sz w:val="22"/>
        </w:rPr>
        <w:t>Eligibility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directors, employees and consultants of the Company or any Affiliate capable of contributing significantly to the successful performance of the Company, other than a person who has irrevocably elected not to be eligible, are eligible to be Participants in the Plan. Incentive Stock Options may be granted only to persons eligible to receive such Options under the Code.</w:t>
      </w:r>
    </w:p>
    <w:p>
      <w:pPr>
        <w:pStyle w:val="TextBody"/>
        <w:bidi w:val="0"/>
        <w:spacing w:lineRule="auto" w:line="240" w:before="0" w:after="240"/>
        <w:jc w:val="both"/>
        <w:rPr/>
      </w:pPr>
      <w:r>
        <w:rPr>
          <w:rFonts w:ascii="Times New Roman;serif" w:hAnsi="Times New Roman;serif"/>
          <w:b w:val="false"/>
          <w:color w:val="000000"/>
          <w:sz w:val="22"/>
        </w:rPr>
        <w:t>4.</w:t>
      </w:r>
      <w:r>
        <w:rPr>
          <w:rFonts w:ascii="Times New Roman;serif" w:hAnsi="Times New Roman;serif"/>
          <w:b/>
          <w:i/>
          <w:color w:val="000000"/>
          <w:sz w:val="22"/>
        </w:rPr>
        <w:t>Stock/Cash Available for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i/>
          <w:color w:val="000000"/>
          <w:sz w:val="22"/>
        </w:rPr>
        <w:t>Amount</w:t>
      </w:r>
      <w:r>
        <w:rPr>
          <w:rFonts w:ascii="Times New Roman;serif" w:hAnsi="Times New Roman;serif"/>
          <w:b w:val="false"/>
          <w:color w:val="000000"/>
          <w:sz w:val="22"/>
        </w:rPr>
        <w:t xml:space="preserve">. Subject to adjustment under subsection (b), Awards (including Incentive Stock Options) may be made under the Plan for up to 19,500,000 shares of Common Stock. Except as otherwise set forth in Section 5(d), if any Award expires or is terminated unexercised or is forfeited or settled without issuance of shares of Common Stock, the shares subject to such Award, to the extent of such expiration, termination, forfeiture or decrease, shall again be available for award under the Plan. Common Stock issued through the assumption or substitution of outstanding grants from an acquired company shall not reduce the shares available for Awards under the Plan. To the extent an Award under the Plan is paid out in cash rather than shares of Common Stock, such cash payment will not result in reducing the number of shares of Common Stock available for issuance under the Plan. Shares issued under the Plan may consist in whole or in part of authorized but unissued shares or treasury shares.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Adjustment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(i)For Awards issued prior to January 1, 2020, in the event that the Committee determines that any stock dividend, extraordinary cash dividend, recapitalization,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35915"/>
                <wp:effectExtent l="0" t="0" r="0" b="0"/>
                <wp:wrapNone/>
                <wp:docPr id="163" name="Frame16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merger, consolidation, split-up, spin-off, combination, exchange of shares or other transaction affects the Common Stock such that an adjustment is required in order to preserve the benefits intended to be provided by the Plan, then the Committee (subject in the case of Incentive Stock Options to any limitation required under the Code) shall equitably adjust any or all of (i) the number and kind of shares in respect of which Awards may be made under the Plan, (ii) the number and kind of shares subject to such outstanding Awards and (iii) the exercise price with respect to any of the foregoing, and if considered appropriate, the Committee may make provision for a cash bonus with respect to an outstanding Award, provided that the number of shares subject to any Award shall always be a whole number.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(ii)For Awards issued on or after January 1, 2020, subject to Section 8(e) below, in the event that the Committee determines that any stock dividend, extraordinary cash dividend, recapitalization, reorganization, merger, consolidation, split-up, spin-off, combination, exchange of shares or other transaction affects the Common Stock such that an adjustment is required in order to preserve the benefits intended to be provided by the Plan, then the Committee (subject in the case of Incentive Stock Options to any limitation required under the Code), in its sole discretion and on such terms and conditions as it deems appropriate, either by amendment of the terms of any outstanding Awards or by action taken prior to the occurrence of such transaction or event, and is hereby authorized to take any one or more of the following actions: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Subsection (b)(ii)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(3)To make adjustments in the number and type of shares of common stock (or other securities or property) subject to outstanding Awards, and in the number and kind of outstanding Awards and/or in the terms and conditions of (including the grant or exercise price), and the criteria included in, outstanding Awards and Awards which may be granted in the future;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(4)To provide that the Award cannot vest, be exercised or become payable after such event. </w:t>
      </w:r>
    </w:p>
    <w:p>
      <w:pPr>
        <w:pStyle w:val="TextBody"/>
        <w:bidi w:val="0"/>
        <w:spacing w:lineRule="auto" w:line="288" w:before="0" w:after="240"/>
        <w:jc w:val="both"/>
        <w:rPr/>
      </w:pPr>
      <w:r>
        <w:rPr>
          <w:rFonts w:ascii="Times New Roman;serif" w:hAnsi="Times New Roman;serif"/>
          <w:b w:val="false"/>
          <w:color w:val="000000"/>
          <w:sz w:val="24"/>
        </w:rPr>
        <w:t>(c)</w:t>
      </w:r>
      <w:r>
        <w:rPr>
          <w:rFonts w:ascii="Times New Roman;serif" w:hAnsi="Times New Roman;serif"/>
          <w:b w:val="false"/>
          <w:color w:val="000000"/>
          <w:sz w:val="22"/>
        </w:rPr>
        <w:t>Notwithstanding the foregoing: (x) any adjustments made pursuant to this subsection to Awards that are considered “deferred compensation” within the meaning of Section 409A of the Code shall be made in compliance with the requirements of Section 409A of the Code unless the Participant consents otherwise; (y) any such adjustments made to Awards that are not considered “deferred compensation” subject to Section 409A of the Code shall be made in such a manner as to ensure that after such adjustment, the Awards either continue not to be subject to Section 409A of the Code or comply with the requirements of Section 409A of the Code unless the Participant consents otherwise; and (z) the Committee shall not have the authority to make any such adjustments to the extent that the existence of such authority would cause an Award that is not intended to be subject to Section 409A of the Code to be subject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i/>
          <w:color w:val="000000"/>
          <w:sz w:val="22"/>
        </w:rPr>
        <w:t>Limit on Director Grants</w:t>
      </w:r>
      <w:r>
        <w:rPr>
          <w:rFonts w:ascii="Times New Roman;serif" w:hAnsi="Times New Roman;serif"/>
          <w:b w:val="false"/>
          <w:color w:val="000000"/>
          <w:sz w:val="22"/>
        </w:rPr>
        <w:t xml:space="preserve">. The maximum number of shares of Common Stock that may be paid, issued or granted to any Director in the aggregate in any calendar year shall not exceed $500,000 (the value of which will be based on the grant date fair value of the Award determined in accordance with U.S. generally accepted accounting principles). Any Awards paid or provided to an individual for his or her services as an employee or consultant (other than as a Director), will not count for purposes of the limitation under this Section 4(c). </w:t>
      </w:r>
    </w:p>
    <w:p>
      <w:pPr>
        <w:pStyle w:val="TextBody"/>
        <w:bidi w:val="0"/>
        <w:spacing w:lineRule="auto" w:line="240" w:before="0" w:after="240"/>
        <w:jc w:val="both"/>
        <w:rPr/>
      </w:pPr>
      <w:r>
        <w:rPr>
          <w:rFonts w:ascii="Times New Roman;serif" w:hAnsi="Times New Roman;serif"/>
          <w:b w:val="false"/>
          <w:color w:val="000000"/>
          <w:sz w:val="22"/>
        </w:rPr>
        <w:t>5.</w:t>
      </w:r>
      <w:r>
        <w:rPr>
          <w:rFonts w:ascii="Times New Roman;serif" w:hAnsi="Times New Roman;serif"/>
          <w:b/>
          <w:i/>
          <w:color w:val="000000"/>
          <w:sz w:val="22"/>
        </w:rPr>
        <w:t>Stock Options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i/>
          <w:color w:val="000000"/>
          <w:sz w:val="22"/>
        </w:rPr>
        <w:t>Grant of Options</w:t>
      </w:r>
      <w:r>
        <w:rPr>
          <w:rFonts w:ascii="Times New Roman;serif" w:hAnsi="Times New Roman;serif"/>
          <w:b w:val="false"/>
          <w:color w:val="000000"/>
          <w:sz w:val="22"/>
        </w:rPr>
        <w:t>. Subject to the provisions of the Plan, the Committee may grant options (“Options”) to purchase shares of Common Stock (i) complying with the requirements of Section 422 of the Code or any successor provision and any regulations thereunder (“Incentive Stock Options” or “ISOs”), and (ii) not intended to comply with such requirements (“Nonstatutory Stock Options” or “NSOs”). The Committee shall determine the number of shares subject to each Option and the exercise price therefor, which shall not be less than 100% of the Fair Market Value of the Common Stock on the date of grant. No Incentive Stock Options may be granted hereunder more than ten years after the last date on which the Plan was approved for purposes of Section 422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Terms and Conditions</w:t>
      </w:r>
      <w:r>
        <w:rPr>
          <w:rFonts w:ascii="Times New Roman;serif" w:hAnsi="Times New Roman;serif"/>
          <w:b w:val="false"/>
          <w:color w:val="000000"/>
          <w:sz w:val="22"/>
        </w:rPr>
        <w:t xml:space="preserve">. Each Option shall be exercisable at such times and subject to such terms and conditions as the Committee may specify in the applicable grant or thereafter. The Committee may impose such conditions with respect to the exercise of Options, including conditions relating to applicable federal or state securities laws, as it considers necessary or advisable. If, after grant of an Option, the price of shares subject to such Option is reduced, the transaction shall be treated as a cancellation of the Option and a grant of a new Option.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i/>
          <w:color w:val="000000"/>
          <w:sz w:val="22"/>
        </w:rPr>
        <w:t>Payment</w:t>
      </w:r>
      <w:r>
        <w:rPr>
          <w:rFonts w:ascii="Times New Roman;serif" w:hAnsi="Times New Roman;serif"/>
          <w:b w:val="false"/>
          <w:color w:val="000000"/>
          <w:sz w:val="22"/>
        </w:rPr>
        <w:t>. No shares shall be delivered pursuant to any exercise of an Option until payment in full of the exercise price therefor is received by the Company. Such payment may be made in whole or in part in cash or, to the extent permitted by the Committee at or after the grant of the Option, by delivery of a note or other commitment satisfactory to the Committee or shares of Common Stock owned by the optionee, including Restricted Stock, Restricted Stock Units or by retaining shares otherwise issuable pursuant to the Option, in each case valued at their Fair Market Value on the date of delivery or retention, or such other lawful consideration as the Committee may determine.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i/>
          <w:color w:val="000000"/>
          <w:sz w:val="22"/>
        </w:rPr>
        <w:t>Unexercised Options and Other Rights</w:t>
      </w:r>
      <w:r>
        <w:rPr>
          <w:rFonts w:ascii="Times New Roman;serif" w:hAnsi="Times New Roman;serif"/>
          <w:b w:val="false"/>
          <w:color w:val="000000"/>
          <w:sz w:val="22"/>
        </w:rPr>
        <w:t xml:space="preserve">. In no event will the following shares of Common Stock again become available for Awards or increase the number of shares of Common Stock available for grant under the Plan as set forth in Section 4(a): (i) shares of Common Stock tendered by the Participant in payment of the exercise price of an Option; (ii) shares of Common Stock repurchased by the Company with proceeds received from the exercise of an Option; and (iii) shares of Common Stock withheld from exercised Awards for tax withholding purposes. To the extent that a share is subject to an outstanding Option, Stock Appreciation Right or other stock-based Award, such share shall reduce the share authorization by one share of stock. </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i/>
          <w:color w:val="000000"/>
          <w:sz w:val="22"/>
        </w:rPr>
        <w:t>Annual Limit on Incentive Stock Options</w:t>
      </w:r>
      <w:r>
        <w:rPr>
          <w:rFonts w:ascii="Times New Roman;serif" w:hAnsi="Times New Roman;serif"/>
          <w:b w:val="false"/>
          <w:color w:val="000000"/>
          <w:sz w:val="22"/>
        </w:rPr>
        <w:t>. Each eligible employee may be granted Options treated as ISOs only to the extent that, in the aggregate under this Plan and all incentive stock option plans of the Company, ISOs do not become exercisable for the first time by such employee during any calendar year with respect to stock having a fair market value (determined at the time the ISOs were granted) in excess of $100,000. The Company intends to designate any Options granted in excess of such limitation as NSOs.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i/>
          <w:color w:val="000000"/>
          <w:sz w:val="22"/>
        </w:rPr>
        <w:t>Restrictions on Repricing of Options and SARs</w:t>
      </w:r>
      <w:r>
        <w:rPr>
          <w:rFonts w:ascii="Times New Roman;serif" w:hAnsi="Times New Roman;serif"/>
          <w:b w:val="false"/>
          <w:color w:val="000000"/>
          <w:sz w:val="22"/>
        </w:rPr>
        <w:t>. Except as provided in Sections 4(b), 8(e), or 8(h), the terms of outstanding Options or SARs may not be amended to reduce the exercise price of outstanding Options or SARs or cancel, exchange, substitute, buyout or surrender outstanding Options or SARs in exchange for cash, other Awards, Options or SARs with an exercise price that is less than the exercise price of the original Options or SARs without stockholder approval to the extent that stockholder approval is required by law or applicable exchange requirement.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i/>
          <w:color w:val="000000"/>
          <w:sz w:val="22"/>
        </w:rPr>
        <w:t>Treatment of Dividend Rights</w:t>
      </w:r>
      <w:r>
        <w:rPr>
          <w:rFonts w:ascii="Times New Roman;serif" w:hAnsi="Times New Roman;serif"/>
          <w:b w:val="false"/>
          <w:color w:val="000000"/>
          <w:sz w:val="22"/>
        </w:rPr>
        <w:t xml:space="preserve">. No cash distribution or dividend equivalent rights will be payable with respect to Options and no adjustment will be made for a dividend or other right for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record date is prior to the date the shares of Common Stock are issued with respect to the Option, except as provided in Section 4(b) of the Plan.</w:t>
      </w:r>
    </w:p>
    <w:p>
      <w:pPr>
        <w:pStyle w:val="TextBody"/>
        <w:bidi w:val="0"/>
        <w:spacing w:lineRule="auto" w:line="240" w:before="0" w:after="240"/>
        <w:jc w:val="both"/>
        <w:rPr/>
      </w:pPr>
      <w:r>
        <w:rPr>
          <w:rFonts w:ascii="Times New Roman;serif" w:hAnsi="Times New Roman;serif"/>
          <w:b w:val="false"/>
          <w:color w:val="000000"/>
          <w:sz w:val="22"/>
        </w:rPr>
        <w:t>6.</w:t>
      </w:r>
      <w:r>
        <w:rPr>
          <w:rFonts w:ascii="Times New Roman;serif" w:hAnsi="Times New Roman;serif"/>
          <w:b/>
          <w:i/>
          <w:color w:val="000000"/>
          <w:sz w:val="22"/>
        </w:rPr>
        <w:t>Stock Appreciation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i/>
          <w:color w:val="000000"/>
          <w:sz w:val="22"/>
        </w:rPr>
        <w:t>Grant of SARs</w:t>
      </w:r>
      <w:r>
        <w:rPr>
          <w:rFonts w:ascii="Times New Roman;serif" w:hAnsi="Times New Roman;serif"/>
          <w:b w:val="false"/>
          <w:color w:val="000000"/>
          <w:sz w:val="22"/>
        </w:rPr>
        <w:t>. Subject to the provisions of the Plan, the Committee may grant rights to receive any excess in value of shares of Common Stock over the exercise price (“Stock Appreciation Rights” or “SARs”) in tandem with an Option (at or after the award of the Option), or alone and unrelated to an Option. SARs in tandem with an Option shall terminate to the extent that the related Option is exercised, and the related Option shall terminate to the extent that the tandem SARs are exercised. The Committee shall determine at the time of grant or thereafter whether SARs are settled in cash, Common Stock or other securities of the Company, Awards or other property, and may define the manner of determining the excess in value of the shares of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Exercise Price</w:t>
      </w:r>
      <w:r>
        <w:rPr>
          <w:rFonts w:ascii="Times New Roman;serif" w:hAnsi="Times New Roman;serif"/>
          <w:b w:val="false"/>
          <w:color w:val="000000"/>
          <w:sz w:val="22"/>
        </w:rPr>
        <w:t>. The Committee shall fix the exercise price of each SAR or specify the manner in which the price shall be determined. An SAR granted in tandem with an Option shall have an exercise price not less than the exercise price of the related Option. SARs granted alone and unrelated to an Option may be granted at such exercise prices as the Committee may determine, but no less than Fair Market Value.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i/>
          <w:color w:val="000000"/>
          <w:sz w:val="22"/>
        </w:rPr>
        <w:t xml:space="preserve">Treatment of Dividend Rights. </w:t>
      </w:r>
      <w:r>
        <w:rPr>
          <w:rFonts w:ascii="Times New Roman;serif" w:hAnsi="Times New Roman;serif"/>
          <w:b w:val="false"/>
          <w:color w:val="000000"/>
          <w:sz w:val="22"/>
        </w:rPr>
        <w:t>No SAR shall include a right to dividends between the date of grant and date of exercise in the absence of a separate agreement in compliance with the requirements of Section 409A of the Code.</w:t>
      </w:r>
    </w:p>
    <w:p>
      <w:pPr>
        <w:pStyle w:val="TextBody"/>
        <w:bidi w:val="0"/>
        <w:spacing w:lineRule="auto" w:line="240" w:before="0" w:after="240"/>
        <w:jc w:val="both"/>
        <w:rPr/>
      </w:pPr>
      <w:r>
        <w:rPr>
          <w:rFonts w:ascii="Times New Roman;serif" w:hAnsi="Times New Roman;serif"/>
          <w:b w:val="false"/>
          <w:color w:val="000000"/>
          <w:sz w:val="22"/>
        </w:rPr>
        <w:t>7.</w:t>
      </w:r>
      <w:r>
        <w:rPr>
          <w:rFonts w:ascii="Times New Roman;serif" w:hAnsi="Times New Roman;serif"/>
          <w:b/>
          <w:i/>
          <w:color w:val="000000"/>
          <w:sz w:val="22"/>
        </w:rPr>
        <w:t>Stock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i/>
          <w:color w:val="000000"/>
          <w:sz w:val="22"/>
        </w:rPr>
        <w:t>Grant of Restricted or Unrestricted Stock</w:t>
      </w:r>
      <w:r>
        <w:rPr>
          <w:rFonts w:ascii="Times New Roman;serif" w:hAnsi="Times New Roman;serif"/>
          <w:b w:val="false"/>
          <w:color w:val="000000"/>
          <w:sz w:val="22"/>
        </w:rPr>
        <w:t>. Subject to the provisions of the Plan, the Committee may grant shares of Common Stock subject to forfeiture (“Restricted Stock”) and determine the duration of the period (the “Restricted Period”) during which, and the conditions under which, the shares may be forfeited to the Company and the other terms and conditions of such Awards. Shares of Restricted Stock may be issued for no cash consideration, such minimum consideration as may be required by applicable law or such other consideration as the Committee may determine. Shares of Restricted Stock may not be sold, assigned, transferred, pledged or otherwise encumbered, except as permitted by the Committee or the applicable Restricted Stock Agreement during the Restricted Period. Shares of Restricted Stock shall be evidenced in such manner as the Committee may determine. Any certificates issued in respect of shares of Restricted Stock shall be registered in the name of the Participant and unless otherwise determined by the Committee, deposited by the Participant, together with a stock power endorsed in blank, with the Company. At the expiration of the Restricted Period, the Company shall deliver such certificates to the Participant or if the Participant has died, to the Participant’s Designated Beneficiary. The Committee also may make Awards of shares of Common Stock that are not subject to restrictions or forfeiture, on such terms and conditions as the Committee may determine from time to time (“Unrestricted Stock”).</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Performance Awards.</w:t>
      </w:r>
      <w:r>
        <w:rPr>
          <w:color w:val="000000"/>
        </w:rPr>
        <w:t xml:space="preserve"> </w:t>
      </w:r>
      <w:r>
        <w:rPr>
          <w:rFonts w:ascii="Times New Roman;serif" w:hAnsi="Times New Roman;serif"/>
          <w:b w:val="false"/>
          <w:color w:val="000000"/>
          <w:sz w:val="22"/>
        </w:rPr>
        <w:t>The Committee may grant Performance Awards to eligible individuals. The value of such Performance Awards may be linked to the market value, book value, net profits or other measure of the value of Common Stock or other specific performance criteria determined appropriate by the Committee, or may be based upon the appreciation in the market value, book value, net profits or other measure of the value of a specified number of shares of Common Stock over a fixed period or periods determined by the Committee.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i/>
          <w:color w:val="000000"/>
          <w:sz w:val="22"/>
        </w:rPr>
        <w:t xml:space="preserve">Other Stock Based Awards. </w:t>
      </w:r>
      <w:r>
        <w:rPr>
          <w:rFonts w:ascii="Times New Roman;serif" w:hAnsi="Times New Roman;serif"/>
          <w:b w:val="false"/>
          <w:color w:val="000000"/>
          <w:sz w:val="22"/>
        </w:rPr>
        <w:t>The Committee shall have the right to grant such Awards based upon the Common Stock having terms and conditions as the Board may determine, including, without limitation, the grant of shares based upon certain conditions, the grant of securities convertible into Common Stock, the grant of warrants to purchase Common Stock or grant Restricted Stock Units, and the grant of Awards with respect to partnership interests which are convertible into, exchangeable for or redeemable in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8.</w:t>
      </w:r>
      <w:r>
        <w:rPr>
          <w:rFonts w:ascii="Times New Roman;serif" w:hAnsi="Times New Roman;serif"/>
          <w:b/>
          <w:i/>
          <w:color w:val="000000"/>
          <w:sz w:val="22"/>
        </w:rPr>
        <w:t>General Provisions Applicable to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i/>
          <w:color w:val="000000"/>
          <w:sz w:val="22"/>
        </w:rPr>
        <w:t>Documentation</w:t>
      </w:r>
      <w:r>
        <w:rPr>
          <w:rFonts w:ascii="Times New Roman;serif" w:hAnsi="Times New Roman;serif"/>
          <w:b w:val="false"/>
          <w:color w:val="000000"/>
          <w:sz w:val="22"/>
        </w:rPr>
        <w:t>. Each Award under the Plan shall be evidenced by a writing delivered to the Participant or agreement executed by the Participant (an “Award Agreement”) specifying the terms and conditions thereof and containing such other terms and conditions not inconsistent with the provisions of the Plan as the Committee considers necessary or advisable to achieve the purposes of the Plan or to comply with applicable tax and regulatory laws and accounting principles.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Committee Discretion</w:t>
      </w:r>
      <w:r>
        <w:rPr>
          <w:rFonts w:ascii="Times New Roman;serif" w:hAnsi="Times New Roman;serif"/>
          <w:b w:val="false"/>
          <w:color w:val="000000"/>
          <w:sz w:val="22"/>
        </w:rPr>
        <w:t>. Each type of Award may be made alone, in addition to or in relation to any other Award. The terms of each type of Award need not be identical, and the Committee need not treat Participants uniformly. Except as otherwise provided by the Plan or a particular Award, any determination with respect to an Award may be made by the Committee at the time of grant or at any time thereafter.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i/>
          <w:color w:val="000000"/>
          <w:sz w:val="22"/>
        </w:rPr>
        <w:t>Dividends and Cash Awards</w:t>
      </w:r>
      <w:r>
        <w:rPr>
          <w:rFonts w:ascii="Times New Roman;serif" w:hAnsi="Times New Roman;serif"/>
          <w:b w:val="false"/>
          <w:color w:val="000000"/>
          <w:sz w:val="22"/>
        </w:rPr>
        <w:t>. In the discretion of the Committee, any Award under the Plan may provide the Participant with (i) dividends or dividend equivalents payable (in cash or in the form of Awards under the Plan) currently or deferred with or without interest and (ii) cash payments in lieu of or in addition to an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i/>
          <w:color w:val="000000"/>
          <w:sz w:val="22"/>
        </w:rPr>
        <w:t>Termination of Employment</w:t>
      </w:r>
      <w:r>
        <w:rPr>
          <w:rFonts w:ascii="Times New Roman;serif" w:hAnsi="Times New Roman;serif"/>
          <w:b w:val="false"/>
          <w:color w:val="000000"/>
          <w:sz w:val="22"/>
        </w:rPr>
        <w:t>. The Committee shall determine the effect on an Award of the disability, death, retirement or other termination of employment of a Participant and the extent to which, and the period during which, the Participant’s legal representative, guardian or Designated Beneficiary may receive payment of an Award or exercise rights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i/>
          <w:color w:val="000000"/>
          <w:sz w:val="22"/>
        </w:rPr>
        <w:t>Change in Control</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(i)For Awards issued on or after January 1, 2020, notwithstanding any other provisions of the Plan or the applicable Award Agreement to the contrary, the provisions of Sections 8(e)(ii)-(iv) shall apply to Awards in the event of a Change in Control. </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Treatment of Awards Assumed or Replaced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(1)Unless otherwise provided in the Award Agreement, if a Participant is employed by the Company or one of its Affiliates on the date a Change in Control occurs and such employment is, within the 24 month period commencing on the effective date of such Change in Control, either involuntarily terminated by the Company or, if the Participant has an employment agreement which permits resignation for “good reason” the Participant resigns for “good reason” as defined in such employment agreement (each referred to as a “Qualifying Termination”), then immediately prior to such termination (A) each Award granted under this Plan to the Participant shall become immediately vested and fully exercisable and any restrictions applicable to the Award shall lapse; provided that any Performance Award shall be determined under subparagraph (3) below; and (B) if the Award is an Option or SAR, the Award shall remain exercisable until the expiration of the remaining term of the Award. The amount payable under clause (A) shall be paid in cash, shares or a combination thereof as provided for under the applicable Award Agreement within thirty (30) days following the date of the Participant’s Qualifying Termination (except to the extent that settlement of the Award must be made pursuant to its original schedule in order to comply with Section 409A of the Code), notwithstanding that the applicable performance period, retention period or other restrictions and conditions have not been completed or satisfied.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(2)Unless otherwise provided in the Award Agreement, the vesting and settlement of Performance Awards in connection with a Change in Control shall be made in accordance with the following: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a.The amount payable with respect to Award shall be equal to the greater of (x) the amount payable if each of the Performance Measures (or, for Awards issued prior to June 1, 2026, Performance Goals) shall be deemed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satisfied at the target payment level, provided the Award shall be prorated based on the total number of days during the performance period prior to date of the Participant’s Qualifying Termination in relation to the total number of days during the performance period, or (y) the amount payable based on the actual performance for each of the performance criteria through the date of the Participant’s Qualifying Termination.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amount payable under subparagraph (1) shall be paid in cash, shares or a combination thereof as provided for under the applicable Award Agreement within thirty (30) days following the date of the Participant’s Qualifying Termination (except to the extent that settlement of the Award must be made pursuant to its original schedule in order to comply with Section 409A of the Code), notwithstanding that the applicable performance period, retention period or other restrictions and conditions have not been completed or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Treatment of Awards Not Assumed or Replaced</w:t>
      </w:r>
      <w:r>
        <w:rPr>
          <w:rFonts w:ascii="Times New Roman;serif" w:hAnsi="Times New Roman;serif"/>
          <w:b w:val="false"/>
          <w:color w:val="000000"/>
          <w:sz w:val="22"/>
        </w:rPr>
        <w:t xml:space="preserve">. For Awards issued on or after June 1, 2026, unless otherwise provide in the Award Agreement, to the extent outstanding Awards are not assumed, converted or replaced by the resulting entity in the Change in Control, then upon the Change in Control, such outstanding Awards that may be exercised shall become fully exercisable, all restrictions with respect to such outstanding Awards, other than for Performance Awards, shall lapse and the Award shall become vested and non-forfeitable, and for any outstanding Performance Awards the payout opportunities attainable under such Awards shall be deemed to have vested immediately prior to such Change in Control based on the greater of (i) actual performance through the closing date, or (ii) the target performance level.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(iv)Notwithstanding foregoing the provisions of this Section 8(e), if any Award constitutes a “nonqualified deferred compensation plan” within the meaning of Section 409A of the Code, the timing of settlement of such Award pursuant to this Section 8(e) shall be in accordance with the settlement terms set forth in the applicable Award Agreement if such Change in Control fails to constitute a “change in the ownership of the corporation,” a “change in effective control of the corporation” or a “change in the ownership of a substantial portion of the assets of the corporation,” within the meaning of Section 409A(a)(2)(A)(v) of the Code.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(v)Notwithstanding the foregoing provisions, for Awards issued prior to January 1, 2020, in order to preserve a Participant’s rights under an Award in the event of a change in control of the Company (as defined by the Committee), the Committee in its discretion may, at the time an Award is made or at any time thereafter, take one or more of the following actions: (i) provide for the acceleration of any time period relating to the exercise or payment of the Award, (ii) provide for payment to the Participant of cash or other property with a Fair Market Value equal to the amount that would have been received upon the exercise or payment of the Award had the Award been exercised or paid upon the change in control, (iii) adjust the terms of the Award in a manner determined by the Committee to reflect the change in control, (iv) cause the Award to be assumed, or new rights substituted therefor, by another entity, or (v) make such other provision as the Committee may consider equitable to Participants and in the best interests of the Company.</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i/>
          <w:color w:val="000000"/>
          <w:sz w:val="22"/>
        </w:rPr>
        <w:t>Transferability</w:t>
      </w:r>
      <w:r>
        <w:rPr>
          <w:rFonts w:ascii="Times New Roman;serif" w:hAnsi="Times New Roman;serif"/>
          <w:b w:val="false"/>
          <w:color w:val="000000"/>
          <w:sz w:val="22"/>
        </w:rPr>
        <w:t>. In the discretion of the Committee, any Award may be made transferable upon such terms and conditions and to such extent as the Committee determines, provided that Incentive Stock Options may be transferable only to the extent permitted by the Code. The Committee may in its discretion waive any restriction on transferability.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i/>
          <w:color w:val="000000"/>
          <w:sz w:val="22"/>
        </w:rPr>
        <w:t>Loans</w:t>
      </w:r>
      <w:r>
        <w:rPr>
          <w:rFonts w:ascii="Times New Roman;serif" w:hAnsi="Times New Roman;serif"/>
          <w:b w:val="false"/>
          <w:color w:val="000000"/>
          <w:sz w:val="22"/>
        </w:rPr>
        <w:t>. The Committee may authorize the making of loans or cash payments to Participants in connection with the grant or exercise any Award under the Plan, which loans may be secured by any security, including Common Stock, underlying or related to such Award (provided that the loan shall not exceed the Fair Market Value of the security subject to such Award), and which may be forgiven upon such terms and conditions as the Committee may establish at the time of such loan or at any time thereafter.</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i/>
          <w:color w:val="000000"/>
          <w:sz w:val="22"/>
        </w:rPr>
        <w:t>Withholding Taxes</w:t>
      </w:r>
      <w:r>
        <w:rPr>
          <w:rFonts w:ascii="Times New Roman;serif" w:hAnsi="Times New Roman;serif"/>
          <w:b w:val="false"/>
          <w:color w:val="000000"/>
          <w:sz w:val="22"/>
        </w:rPr>
        <w:t xml:space="preserve">. The Participant shall pay to the Company, or make provision satisfactory to the Committee for payment of, any taxes required by law to be withheld in respect of Awards under the Plan no later than the date of the event creating the tax liability. The Company and its Affiliates may, to the extent permitted by law, deduct any such tax obligations from any payment of any kind otherwise due to the Participant hereunder or otherwise. In addition, a Participant may direct the Company to satisfy such Participant’s tax obligations through the withholding of shares of Common Stock otherwise to be acquired upon the exercise of payment of an Award, but only to the extent such withholding does not cause a charge to the Company’s financial earnings. </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i/>
          <w:color w:val="000000"/>
          <w:sz w:val="22"/>
        </w:rPr>
        <w:t>Foreign Nationals</w:t>
      </w:r>
      <w:r>
        <w:rPr>
          <w:rFonts w:ascii="Times New Roman;serif" w:hAnsi="Times New Roman;serif"/>
          <w:b w:val="false"/>
          <w:color w:val="000000"/>
          <w:sz w:val="22"/>
        </w:rPr>
        <w:t>. Awards may be made to Participants who are foreign nationals or employed outside the United States on such terms and conditions different from those specified in the Plan as the Committee considers necessary or advisable to achieve the purposes of the Plan or to comply with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i/>
          <w:color w:val="000000"/>
          <w:sz w:val="22"/>
        </w:rPr>
        <w:t>Amendment of Award</w:t>
      </w:r>
      <w:r>
        <w:rPr>
          <w:rFonts w:ascii="Times New Roman;serif" w:hAnsi="Times New Roman;serif"/>
          <w:b w:val="false"/>
          <w:color w:val="000000"/>
          <w:sz w:val="22"/>
        </w:rPr>
        <w:t>. Subject to Section 5(f), the Committee may amend, modify or terminate any outstanding Award, including substituting therefor another Award of the same or a different type, changing the date of exercise or realization and converting an Incentive Stock Option to a Nonstatutory Stock Option and enter into and execute any repricing transaction including but not limited to reducing the exercise price of such Award. Any such action shall require the Participant’s consent unless: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 the case of a termination of, or a reduction in the number of shares issuable under, an Option, any time period relating to the exercise of such Option or the eliminated portion, as the case may be, is waived or accelerated before such termination or reduction (and in such case the Committee may provide for the Participant to receive cash or other property equal to the net value that would have been received upon exercise of the terminated Option or the eliminated portion, as the case may be);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 any other case, the Committee determines that the action, taking into account any related action, would not materially and adversely affect the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i/>
          <w:color w:val="000000"/>
          <w:sz w:val="22"/>
        </w:rPr>
        <w:t>Limitations Applicable to Section 16 Persons</w:t>
      </w:r>
      <w:r>
        <w:rPr>
          <w:rFonts w:ascii="Times New Roman;serif" w:hAnsi="Times New Roman;serif"/>
          <w:b w:val="false"/>
          <w:color w:val="000000"/>
          <w:sz w:val="22"/>
        </w:rPr>
        <w:t xml:space="preserve">. Notwithstanding any other provision of this Plan, any Option, Performance Award or other Award or Restricted Stock or Restricted Stock Unit granted to a Reporting Person who is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and this Plan shall be deemed amended to the extent necessary to conform to such limitations. </w:t>
      </w:r>
    </w:p>
    <w:p>
      <w:pPr>
        <w:pStyle w:val="TextBody"/>
        <w:bidi w:val="0"/>
        <w:spacing w:lineRule="auto" w:line="288" w:before="0" w:after="0"/>
        <w:ind w:left="0" w:right="0" w:firstLine="720"/>
        <w:jc w:val="both"/>
        <w:rPr/>
      </w:pPr>
      <w:r>
        <w:rPr>
          <w:rFonts w:ascii="Times New Roman;serif" w:hAnsi="Times New Roman;serif"/>
          <w:b w:val="false"/>
          <w:color w:val="000000"/>
          <w:sz w:val="22"/>
        </w:rPr>
        <w:t>(l)    </w:t>
      </w:r>
      <w:r>
        <w:rPr>
          <w:rFonts w:ascii="Times New Roman;serif" w:hAnsi="Times New Roman;serif"/>
          <w:b/>
          <w:i/>
          <w:color w:val="000000"/>
          <w:sz w:val="22"/>
        </w:rPr>
        <w:t>Approval of Plan by Stockholders.</w:t>
      </w:r>
      <w:r>
        <w:rPr>
          <w:color w:val="000000"/>
        </w:rPr>
        <w:t xml:space="preserve"> </w:t>
      </w:r>
      <w:r>
        <w:rPr>
          <w:rFonts w:ascii="Times New Roman;serif" w:hAnsi="Times New Roman;serif"/>
          <w:b w:val="false"/>
          <w:color w:val="000000"/>
          <w:sz w:val="22"/>
        </w:rPr>
        <w:t>This Plan will be submitted for the approval of the Company’s stockholders within twelve months after the date of the Board’s adoption of this Plan. All Options, Awards, Restricted Stock and Restricted Units granted under the Plan prior to this restatement, which was approved by Shareholders, shall not be effected by the following sentence. Options or other Awards may be granted and Restricted Stock or Restricted Stock Units may be awarded prior to such stockholder approval, provided that such Options or other Awards shall not be exercisable and such Restricted Stock or Restricted Stock Units shall not vest prior to the time when this Plan is approved by the stockholders, and provided further that if such approval has not been obtained at the end of said twelve (12) month period, all Options previously granted shall be deemed Non-Qualified Options.</w: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val="false"/>
          <w:color w:val="000000"/>
          <w:sz w:val="22"/>
        </w:rPr>
        <w:t>9.</w:t>
      </w:r>
      <w:r>
        <w:rPr>
          <w:rFonts w:ascii="Times New Roman;serif" w:hAnsi="Times New Roman;serif"/>
          <w:b/>
          <w:i/>
          <w:color w:val="000000"/>
          <w:sz w:val="22"/>
        </w:rPr>
        <w:t>Certain Definitions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Affiliate” means any business entity in which the Company owns directly or indirectly 50% or more of the total voting power or has a significant financial interest as determined by the Committee.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Award” means any cash bonus, Option, Stock Appreciation Right, Restricted Stock, Unrestricted Stock, Restricted Stock Unit or other Performance Awards granted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Board” means the Board of Directors of the Company.</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Change in Control” means the occurrence of one of the following events: (a) a report is filed with the SEC on Schedule 13D or Schedule 14D-1 (or any successor schedule, form, or report), each as promulgated pursuant to the Exchange Act, disclosing that any “person” (as the term “person” is used in Section 13(d) or Section 14(d)(2) of the Exchange Act), other than any Permitted Transferee (as such term is defined in the certificate of incorporation of the Company), is or has become a beneficial owner, directly or indirectly, of securities of the Company representing 35% or more of the combined voting power of the Company’s then outstanding securities; (b) the Company is merged or consolidated with another corporation and, as a result thereof, securities representing less than 50% of the combined voting power of the surviving or resulting corporation’s securities (or of the securities of a parent corporation in case of a merger in which the surviving or resulting corporation becomes a wholly-owned subsidiary of the parent corporation) are owned in the aggregate by holders of the Company’s securities immediately before such merger or consolidation; (c) all or substantially all of the assets of the Company are sold in a single transaction or a series of related transactions to a single purchaser or a group of affiliated purchasers; or (d) during any period of 24 consecutive months, individuals who were members of the Board of Directors who are not employees (“Directors”) at the beginning of the period cease to constitute at least a majority of the Board unless the election, or nomination for election by the Company’s shareholders, of more than one half of any new Directors was approved by a vote of at least two-thirds of the Directors then still in office who were Directors at the beginning of the 24 month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provisions, to the extent that any payment or acceleration hereunder is subject to Section 409A of the Code as deferred compensation, the term Change in Control shall mean an event described in the foregoing definition of Change in Control that also constitutes a change in control event as defined in Treasury Regulation Section 1.409A-3(i)(5).</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Code” means the Internal Revenue Code of 1986, as amended from time to time, or any successor law, and any regulations thereunder.</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Committee” means one or more committees each comprised of not less than two members of the Board appointed by the Board to administer the Plan or a specified portion thereof. Unless otherwise determined by the Board, if a Committee is authorized to grant Awards to a Reporting Person, each member shall be a “non-employee director” or the equivalent within the meaning of applicable Rule 16b-3 under the Exchange Act.</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Common Stock” or “Stock” means the Class A Common Stock, $0.001 par value, of the Company.</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Company” means Lamar Advertising Company, a Delaware corporation.</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Designated Beneficiary” means the beneficiary designated by a Participant, in a manner determined by the Committee, to receive amounts due or exercise rights of the Participant in the event of the Participant’s death. In the absence of an effective designation by a Participant, “Designated Beneficiary” means the Participant’s estate.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Exchange Act” means the Securities Exchange Act of 1934, as amended from time to time, or any successor law.</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 xml:space="preserve">Fair Market Value” means, with respect to a share of Common Stock as of any date of determination, in the discretion of the Committee, (i) the closing price (on that date) of the Common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Stock on the NASDAQ Stock Market, or any other principal national securities exchange the Common Stock is traded on; or (ii) the closing bid price (or average of bid prices) last quoted (on that date) by an established quotation service for over-the-counter securities, if the Common Stock is not reported on the NASDAQ Stock Market or another national securities exchange; or (iii) if shares of Common Stock are not publicly traded, the fair market value of such a share as determined by the Board in good faith after taking into consideration all facts which it deems appropriate and in accordance with applicable statutory and regulatory guidelines.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Participant” means a person selected by the Committee to receive an Award under the Plan.</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 xml:space="preserve">Performance Award” means a cash bonus, stock bonus or other performance or incentive award that is paid in cash, Common Stock or a combination of both. </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Performance Measures” shall include, but not be limited to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Reporting Person” means a person subject to Section 16 of the Exchange Act.</w:t>
      </w:r>
    </w:p>
    <w:p>
      <w:pPr>
        <w:pStyle w:val="TextBody"/>
        <w:bidi w:val="0"/>
        <w:spacing w:lineRule="auto" w:line="240" w:before="0" w:after="240"/>
        <w:jc w:val="both"/>
        <w:rPr/>
      </w:pPr>
      <w:r>
        <w:rPr>
          <w:rFonts w:ascii="Times New Roman;serif" w:hAnsi="Times New Roman;serif"/>
          <w:b w:val="false"/>
          <w:color w:val="000000"/>
          <w:sz w:val="22"/>
        </w:rPr>
        <w:t>10.</w:t>
      </w:r>
      <w:r>
        <w:rPr>
          <w:rFonts w:ascii="Times New Roman;serif" w:hAnsi="Times New Roman;serif"/>
          <w:b/>
          <w:i/>
          <w:color w:val="000000"/>
          <w:sz w:val="22"/>
        </w:rP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i/>
          <w:color w:val="000000"/>
          <w:sz w:val="22"/>
        </w:rPr>
        <w:t>No Right to Employment</w:t>
      </w:r>
      <w:r>
        <w:rPr>
          <w:rFonts w:ascii="Times New Roman;serif" w:hAnsi="Times New Roman;serif"/>
          <w:b w:val="false"/>
          <w:color w:val="000000"/>
          <w:sz w:val="22"/>
        </w:rPr>
        <w:t>. No person shall have any claim or right to be granted an Award. Neither the adoption, maintenance, nor operation of the Plan nor any Award hereunder shall confer upon any employee or consultant of the Company or of any Affiliate any right with respect to the continuance of his/her employment by or other service with the Company or any such Affiliate nor shall they interfere with the rights of the Company (or Affiliate) to terminate any employee at any time or otherwise change the terms of employment, including, without limitation, the right to promote, demote or otherwise re-assign any employee from one position to another within the Company or any Affiliate.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No Rights As Stockholder</w:t>
      </w:r>
      <w:r>
        <w:rPr>
          <w:rFonts w:ascii="Times New Roman;serif" w:hAnsi="Times New Roman;serif"/>
          <w:b w:val="false"/>
          <w:color w:val="000000"/>
          <w:sz w:val="22"/>
        </w:rPr>
        <w:t>. Subject to the provisions of the applicable Award, no Participant or Designated Beneficiary shall have any rights as a stockholder with respect to any shares of Common Stock to be distributed under the Plan until he or she becomes the holder thereof. A Participant to whom Restricted Stock, Unrestricted Stock or Restricted Stock Unit is awarded shall be considered a stockholder of the Company at the time of the Award except as otherwise provided in the applicable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i/>
          <w:color w:val="000000"/>
          <w:sz w:val="22"/>
        </w:rPr>
        <w:t>Section 409A</w:t>
      </w:r>
      <w:r>
        <w:rPr>
          <w:rFonts w:ascii="Times New Roman;serif" w:hAnsi="Times New Roman;serif"/>
          <w:b w:val="false"/>
          <w:color w:val="000000"/>
          <w:sz w:val="22"/>
        </w:rPr>
        <w:t xml:space="preserve">. It is the intention of the Company that no Award shall be “deferred compensation” subject to Section 409A of the Code unless and to the extent that the Committee specifically determines otherwise and so provides in the terms of an Award Agreement,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shall be set forth in the applicable Award Agreement, and shall comply in all respects with Section 409A of the Code. Notwithstanding any provision herein to the contrary, any Award issued under the Plan that constitutes a deferral of compensation under a “nonqualified deferred compensation plan” as defined under Section 409A(d)(1) of the Code and is not specifically designated as such by the Committee shall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 modified or cancelled to comply with the requirements of Section 409A of the Code, including any rules for elective or mandatory deferral of the delivery of cash or Shares pursuant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i/>
          <w:color w:val="000000"/>
          <w:sz w:val="22"/>
        </w:rPr>
        <w:t>Forfeiture in Certain Circumstances (“Clawback”)</w:t>
      </w:r>
      <w:r>
        <w:rPr>
          <w:rFonts w:ascii="Times New Roman;serif" w:hAnsi="Times New Roman;serif"/>
          <w:b w:val="false"/>
          <w:color w:val="000000"/>
          <w:sz w:val="22"/>
        </w:rPr>
        <w:t xml:space="preserve">. All Awards granted under the Plan will be subject to recoupment in accordance with any Clawback policy that the Company is specifically required to adopt pursuant to the listing standards of any national securities exchange or association on which the Company’s securities are listed or as is otherwise specifically required by the Dodd-Frank Wall Street Reform and Consumer Protection Act or other applicable law. </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i/>
          <w:color w:val="000000"/>
          <w:sz w:val="22"/>
        </w:rPr>
        <w:t>Effective Date</w:t>
      </w:r>
      <w:r>
        <w:rPr>
          <w:rFonts w:ascii="Times New Roman;serif" w:hAnsi="Times New Roman;serif"/>
          <w:b w:val="false"/>
          <w:color w:val="000000"/>
          <w:sz w:val="22"/>
        </w:rPr>
        <w:t xml:space="preserve">. The Plan, as previously amended, was effective on January 1, 2020. This amendment and restatement of the Plan shall become effective on June 1, 2026.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i/>
          <w:color w:val="000000"/>
          <w:sz w:val="22"/>
        </w:rPr>
        <w:t>Amendment of Plan</w:t>
      </w:r>
      <w:r>
        <w:rPr>
          <w:rFonts w:ascii="Times New Roman;serif" w:hAnsi="Times New Roman;serif"/>
          <w:b w:val="false"/>
          <w:color w:val="000000"/>
          <w:sz w:val="22"/>
        </w:rPr>
        <w:t>. The Board may amend, suspend or terminate the Plan or any portion thereof at any time, subject to such stockholder approval as the Board determines to be necessary or advisable.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i/>
          <w:color w:val="000000"/>
          <w:sz w:val="22"/>
        </w:rPr>
        <w:t>Governing Law</w:t>
      </w:r>
      <w:r>
        <w:rPr>
          <w:rFonts w:ascii="Times New Roman;serif" w:hAnsi="Times New Roman;serif"/>
          <w:b w:val="false"/>
          <w:color w:val="000000"/>
          <w:sz w:val="22"/>
        </w:rPr>
        <w:t>. The provisions of the Plan shall be governed by and interpreted in accordance with the laws of Delaware.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 *</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LAMAR ADVERTISING COMPANY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2019 EMPLOYEE STOCK PURCHASE PLAN</w:t>
      </w:r>
    </w:p>
    <w:p>
      <w:pPr>
        <w:pStyle w:val="TextBody"/>
        <w:bidi w:val="0"/>
        <w:spacing w:lineRule="auto" w:line="288" w:before="0" w:after="360"/>
        <w:jc w:val="center"/>
        <w:rPr>
          <w:rFonts w:ascii="Times New Roman;serif" w:hAnsi="Times New Roman;serif"/>
          <w:b/>
          <w:i/>
          <w:color w:val="000000"/>
          <w:sz w:val="24"/>
        </w:rPr>
      </w:pPr>
      <w:r>
        <w:rPr>
          <w:rFonts w:ascii="Times New Roman;serif" w:hAnsi="Times New Roman;serif"/>
          <w:b/>
          <w:i/>
          <w:color w:val="000000"/>
          <w:sz w:val="24"/>
        </w:rPr>
        <w:t xml:space="preserve">as amended and restated </w:t>
      </w:r>
    </w:p>
    <w:p>
      <w:pPr>
        <w:pStyle w:val="TextBody"/>
        <w:bidi w:val="0"/>
        <w:spacing w:lineRule="auto" w:line="288" w:before="0" w:after="240"/>
        <w:jc w:val="left"/>
        <w:rPr/>
      </w:pPr>
      <w:r>
        <w:rPr>
          <w:rFonts w:ascii="Times New Roman;serif" w:hAnsi="Times New Roman;serif"/>
          <w:b/>
          <w:color w:val="000000"/>
          <w:sz w:val="24"/>
        </w:rPr>
        <w:t>1.    </w:t>
      </w:r>
      <w:r>
        <w:rPr>
          <w:rFonts w:ascii="Times New Roman;serif" w:hAnsi="Times New Roman;serif"/>
          <w:b/>
          <w:color w:val="000000"/>
          <w:sz w:val="24"/>
          <w:u w:val="single"/>
        </w:rPr>
        <w:t>Purpose</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This 2019 Employee Stock Purchase Plan (the “Plan”) is adopted by Lamar Advertising Company (the “Company”) to provide Eligible Employees who wish to become shareholders of the Company an opportunity to purchase shares of Class A Common Stock, par value $.001 per share, of the Company (“Common Stock”). The Plan is intended to qualify as an “employee stock purchase plan” under Section 423 of the Internal Revenue Code of 1986, as amended (the “Code”), and the provisions of the Plan shall be construed so as to extend and limit participation in a manner consistent with the requirements of Section 423; provided that, if and to the extent authorized by the Board, the fact that the Plan does not comply in all respects with the requirements of Section 423 shall not affect the operation of the Plan or the rights of Employees hereunder.</w:t>
      </w:r>
    </w:p>
    <w:p>
      <w:pPr>
        <w:pStyle w:val="TextBody"/>
        <w:bidi w:val="0"/>
        <w:spacing w:lineRule="auto" w:line="288" w:before="0" w:after="240"/>
        <w:jc w:val="both"/>
        <w:rPr/>
      </w:pPr>
      <w:r>
        <w:rPr>
          <w:rFonts w:ascii="Times New Roman;serif" w:hAnsi="Times New Roman;serif"/>
          <w:b/>
          <w:color w:val="000000"/>
          <w:sz w:val="24"/>
        </w:rPr>
        <w:t>2.    </w:t>
      </w:r>
      <w:r>
        <w:rPr>
          <w:rFonts w:ascii="Times New Roman;serif" w:hAnsi="Times New Roman;serif"/>
          <w:b/>
          <w:color w:val="000000"/>
          <w:sz w:val="24"/>
          <w:u w:val="single"/>
        </w:rPr>
        <w:t>Certain Definitions</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As used in this Plan: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(a)    “Board” means the Board of Directors of the Company, and “Committee” means the Compensation Committee of the Board or such other committee as the Board may appoint from time to time to administer the Plan.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(b)    “Coordinator” means the officer of the Company or other person charged with day-to-day supervision of the Plan as appointed from time to time by the Board or the Committee.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(c)    “Designated Beneficiary” means a person designated by an Employee in the manner prescribed by the Committee or the Coordinator to receive certain benefits provided in this Plan in the event of the death of the Employee.</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 xml:space="preserve">(d)    “Eligible Employee” with respect to any Offering hereunder means any Employee who, as of the Offering Commencement Date for such Offering: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 has been a Full-time, Part-time 3, or Part-time 2 Employee of the Company or any of its Subsidiaries for not less than twelve months; and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(ii) would not, immediately after any right to acquire Shares in such Offering is granted, own stock or rights to purchase stock possessing five percent (5%) or more of the total combined voting power or value of all classes of stock of the Company or of any subsidiary corporation, determined in accordance with Section 423.</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29615"/>
                <wp:effectExtent l="0" t="0" r="0" b="0"/>
                <wp:wrapNone/>
                <wp:docPr id="173" name="Frame173"/>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requirements of this section, an Employee covered by a collective bargaining agreement will be considered eligible for participation in the Plan unless the labor organization representing such Employee in collective bargaining has made an affirmative decision on the part of the applicable labor organization not to participate in the Plan. To the extent an individual becomes an employee of the Company or any of its subsidiaries in connection with an acquisition, the following shall apply: (i) if the acquisition is structured as a stock or equity transaction, each individual will be credited with service with the acquired company, and (ii) if the acquisition is structured as an asset transaction, each individual will not be credited with service with the acquired business unless expressly provided in the applicable purchase agreement.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“Employee” means an employee (as that term is used in Section 423) of the Company or any of its Subsidiaries. For purposes of this Plan, the employment relationship shall be treated as continuing intact while the individual is on military leave, sick leave, or other leave of absence approved by the Company or a Subsidiary that meets the requirements of Treasury Regulation Section 1.421-1(h)(2).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(f)    “Fair Market Value” of a Share shall mean the fair market value of a share of Common Stock, as determined by the Committee.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(g)    “Full-time Employee” is an Employee whose customary employment is for 40 hours per week in the calendar year during which the respective Offering Commencement Date occurs.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(h)    “Part-time 3 Employee” is an Employee whose customary employment is for 30-39 hours per week in the calendar year during which the respective Offering Commencement Date occurs.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    “Part-time 2 Employee” is an Employee whose customary employment is for 20-29 hours per week in the calendar year during which the respective Offering Commencement Date occurs.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(j)    “Offering” is an offering of Shares pursuant to Section 5 of the Plan.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(k)    “Offering Commencement Date” means the date on which an Offering under the Plan commences, and “Offering Termination Date” means the date on which an Offering under the Plan terminates.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(l)    “Purchase Date” means each date on which the rights granted under the Plan may be exercised for the purchase of Shares.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(m)    “Section 423” and subdivisions thereof refer to Section 423 of the Code or any successor provision(s).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    “Shares” means shares of Common Stock.</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29615"/>
                <wp:effectExtent l="0" t="0" r="0" b="0"/>
                <wp:wrapNone/>
                <wp:docPr id="174" name="Frame174"/>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(o)    “Subsidiary” means a subsidiary corporation, as defined in Section 424 of the Code, of the Company the Employees of which are designated by the Board of Directors or the Committee as eligible to participate in the Plan.</w:t>
      </w:r>
    </w:p>
    <w:p>
      <w:pPr>
        <w:pStyle w:val="TextBody"/>
        <w:bidi w:val="0"/>
        <w:spacing w:lineRule="auto" w:line="288" w:before="0" w:after="240"/>
        <w:jc w:val="both"/>
        <w:rPr/>
      </w:pPr>
      <w:r>
        <w:rPr>
          <w:rFonts w:ascii="Times New Roman;serif" w:hAnsi="Times New Roman;serif"/>
          <w:b/>
          <w:color w:val="000000"/>
          <w:sz w:val="24"/>
        </w:rPr>
        <w:t>3.    </w:t>
      </w:r>
      <w:r>
        <w:rPr>
          <w:rFonts w:ascii="Times New Roman;serif" w:hAnsi="Times New Roman;serif"/>
          <w:b/>
          <w:color w:val="000000"/>
          <w:sz w:val="24"/>
          <w:u w:val="single"/>
        </w:rPr>
        <w:t>Administration of the Plan</w:t>
      </w:r>
      <w:r>
        <w:rPr>
          <w:rFonts w:ascii="Times New Roman;serif" w:hAnsi="Times New Roman;serif"/>
          <w:b/>
          <w:color w:val="000000"/>
          <w:sz w:val="24"/>
        </w:rPr>
        <w:t xml:space="preserv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Committee shall administer, interpret and apply all provisions of the Plan as it deems necessary or appropriate, subject, however, at all times to the final jurisdiction of the Board of Directors. The Board may in any instance perform any of the functions of the Committee hereunder. The Committee may delegate administrative responsibilities to the Coordinator, who shall, for matters involving the Plan, be an ex officio member of the Committee. Determinations made by the Committee and approved by the Board of Directors with respect to any provision of the Plan or matter arising in connection therewith shall be final, conclusive and binding upon the Company and upon all participants, their heirs or legal representatives. 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withholding procedures and handling of share certificates. The Committee may also adopt sub-plans applicable to particular designated Subsidiaries or locations, and, with respect to Subsidiaries outside the United States, determine that a sub-plan shall not be considered to be part of an “employee stock purchase plan” under Section 423.</w:t>
      </w:r>
    </w:p>
    <w:p>
      <w:pPr>
        <w:pStyle w:val="TextBody"/>
        <w:bidi w:val="0"/>
        <w:spacing w:lineRule="auto" w:line="288" w:before="0" w:after="240"/>
        <w:ind w:left="0" w:right="0" w:hanging="720"/>
        <w:jc w:val="both"/>
        <w:rPr/>
      </w:pPr>
      <w:r>
        <w:rPr>
          <w:rFonts w:ascii="Times New Roman;serif" w:hAnsi="Times New Roman;serif"/>
          <w:b/>
          <w:color w:val="000000"/>
          <w:sz w:val="24"/>
        </w:rPr>
        <w:t>4.</w:t>
      </w:r>
      <w:r>
        <w:rPr>
          <w:rFonts w:ascii="Times New Roman;serif" w:hAnsi="Times New Roman;serif"/>
          <w:b/>
          <w:color w:val="000000"/>
          <w:sz w:val="24"/>
          <w:u w:val="single"/>
        </w:rPr>
        <w:t>Shares Subject to the Plan</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maximum aggregate number of Shares that may be purchased upon exercise of rights granted under the Plan shall be equal to (a) the number of Shares remaining available on the Plan’s restatement date, plus (b) 500,000 Shares plus (c) an annual increase to be added on the first day of each fiscal year of the Company beginning with the 2020 fiscal year equal to the least of (i) 500,000 Shares, (ii) one-tenth of one percent of the total number of Shares outstanding on the last day of the preceding fiscal year, and (iii) a lesser amount determined by the Board. Appropriate adjustments in such amount, the number of Shares covered by outstanding rights granted hereunder, the securities that may be purchased hereunder, the Exercise Price, and the maximum number of Shares or other securities that an employee may purchase (pursuant to Section 8 below) shall be made to give effect to any mergers, consolidations, reorganizations, recapitalizations, stock splits, stock dividends or other relevant changes in the capitalization of the Company occurring after the original effective date of the Plan; provided that any fractional Share otherwise issuable hereunder as a result of such an adjustment shall be adjusted downward to the nearest full Share. Any agreement of merger or consolidation involving the Company will include appropriate provisions for protection of the then existing rights of participating employees under the Plan. Either authorized and unissued Shares or treasury Shares may be purchased under the Plan. The Committee may impose restrictions on transfer on Shares purchased under the Plan. If for any reason any right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29615"/>
                <wp:effectExtent l="0" t="0" r="0" b="0"/>
                <wp:wrapNone/>
                <wp:docPr id="175" name="Frame175"/>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Plan terminates in whole or in part, Shares subject to such terminated right may again be subjected to a right under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of a Corporate Transaction, each outstanding right to purchase Shares will be equitably adjusted and assumed or an equivalent right to purchase Shares substituted by the successor corporation or a parent or subsidiary of the successor corporation. In the event that the successor corporation in a Corporate Transaction does not assume or substitute for the purchase right or the successor corporation is not a publicly traded corporation, the then-current Offering shall be shortened by setting a new Purchase Date on which the Offering shall end. The new Purchase Date shall occur before the date of the Corporate Transaction. Before the new Purchase Date, the Committee shall provide each participating Employee with written notice, which may be electronic, of the new Purchase Date and that the participating Employee’s right to purchase Shares shall be exercised automatically on such date, unless prior to such date, the participating Employee has withdrawn from the Offering in accordance with Section 5. For purposes of this Section 4, “Corporate Transaction” means a merger, consolidation, acquisition of property or stock, separation, reorganization, or other corporate event described in Code Section 424.</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Unless otherwise determined by the Committee, in the event of a proposed dissolution or liquidation of the Company, any Offering then in progress shall be shortened by setting a new Purchase Date and the Offering shall end immediately before the proposed dissolution or liquidation. The new Purchase Date shall be before the date of the Company’s proposed dissolution or liquidation. Before the new Purchase Date, the Committee shall provide each participating Employee with written notice, which may be electronic, of the new Purchase Date and that the participating Employee’s right to purchase Shares shall be exercised automatically on such date, unless prior to such date, the participating Employee has withdrawn from the Offering in accordance with Section 5.</w:t>
      </w:r>
    </w:p>
    <w:p>
      <w:pPr>
        <w:pStyle w:val="TextBody"/>
        <w:bidi w:val="0"/>
        <w:spacing w:lineRule="auto" w:line="288" w:before="0" w:after="240"/>
        <w:jc w:val="both"/>
        <w:rPr/>
      </w:pPr>
      <w:r>
        <w:rPr>
          <w:rFonts w:ascii="Times New Roman;serif" w:hAnsi="Times New Roman;serif"/>
          <w:b/>
          <w:color w:val="000000"/>
          <w:sz w:val="24"/>
        </w:rPr>
        <w:t>5.    </w:t>
      </w:r>
      <w:r>
        <w:rPr>
          <w:rFonts w:ascii="Times New Roman;serif" w:hAnsi="Times New Roman;serif"/>
          <w:b/>
          <w:color w:val="000000"/>
          <w:sz w:val="24"/>
          <w:u w:val="single"/>
        </w:rPr>
        <w:t>Offerings; Participation</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From time to time, the Company, by action of the Committee, will grant rights to purchase Shares to Eligible Employees pursuant to one or more Offerings, each having an Offering Commencement Date, an Offering Termination Date, and one or more Purchase Dates as designated by the Committee. No Offering may last longer than twenty-seven (27) months or such longer period as may then be consistent with Section 423. The Committee may limit the number of Shares issuable in any Offering, either before or during such Offering.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Participation in each Offering shall be limited to Eligible Employees who elect to participate in such Offering in the manner, and within the time limitations, established by the Committee. No person otherwise eligible to participate in any Offering under the Plan shall be entitled to participate if he or she has elected not to participate. Any such election not to participate may be revoked only with the consent of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 Employee who has elected to participate in an Offering may make such changes in the level of payroll deductions as the Committee may permit from time to time, or </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29615"/>
                <wp:effectExtent l="0" t="0" r="0" b="0"/>
                <wp:wrapNone/>
                <wp:docPr id="176" name="Frame176"/>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withdraw from such Offering, by giving written notice to the Company before any Purchase Date. No Employee who has withdrawn from participating in an Offering may resume participation in the same Offering, but he or she may participate in any subsequent Offering if otherwise eligible.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Upon termination of a participating Employee’s employment for any reason, including retirement but excluding death or disability (as defined in Section 22(e)(3) of the Code) while in the employ of the Company or a Subsidiary, such Employee will be deemed to have withdrawn from participation in all pending Offerings to the extent administratively feasible.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Upon termination of a participating Employee’s employment because of disability or death, the Employee or his or her Designated Beneficiary, if any, as the case may be, shall have the right to elect, with respect to each Offering in which the Employee was then participating, by written notice given to the Coordinator within 30 days after the date of termination of employment (but not later than the next applicable Purchase Date for each Offering), either (i) to withdraw from such Offering or (ii) to exercise the Employee’s right to purchase Shares on the next Purchase Date of such Offering to the extent of the accumulated payroll deductions in the Employee’s account at the date of termination of employment. If no such election with respect to any Offering is made within such period, the Employee shall be deemed to have withdrawn from such Offering on the date of termination of employment. The foregoing election is not available to any person, such as a legal representative, as such, other than the Employee or a Designated Beneficiary.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Subject to the discretion of the Coordinator, if a participating Employee is granted a paid leave of absence, payroll deductions on behalf of the participating Employee will continue and any amounts credited to the participating Employee’s contribution account may be used to purchase shares of Common Stock as provided under the Plan. If a participating Employee is granted an unpaid leave of absence, payroll deductions on behalf of the participating Employee will be discontinued and no other contributions will be permitted (unless otherwise determined by the Coordinator or required by applicable law), but any amounts then credited to the participating Employee’s contribution account may be used to purchase shares of Common Stock on the next applicable Purchase Date. Unless otherwise required by statute, in the event a participating Employee is on a leave of absence for a period exceeding six months, such Employee will not be automatically enrolled in the Plan during any subsequent Offering.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The number of Shares that a participating Employee may purchase in an Offering under this Plan may be reduced if the Offering is oversubscribed. No right to purchase Shares granted under this Plan shall permit a participating Employee to purchase Shares that, if added together with the total number of Shares purchased by all other participating Employees in such Offering, would exceed the total number of Shares remaining available under this Plan. If the Committee determines that, on a particular Purchase Date, the number of Shares with respect to which rights to purchase Shares are to be exercised exceeds the number of Shares then available under this Plan, the Company shall make a pro rata allocation of the Shares remaining available </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29615"/>
                <wp:effectExtent l="0" t="0" r="0" b="0"/>
                <wp:wrapNone/>
                <wp:docPr id="177" name="Frame177"/>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purchase in as uniform a manner as practicable and as the Committee determines to be equitable.</w:t>
      </w:r>
    </w:p>
    <w:p>
      <w:pPr>
        <w:pStyle w:val="TextBody"/>
        <w:bidi w:val="0"/>
        <w:spacing w:lineRule="auto" w:line="288" w:before="0" w:after="240"/>
        <w:jc w:val="both"/>
        <w:rPr/>
      </w:pPr>
      <w:r>
        <w:rPr>
          <w:rFonts w:ascii="Times New Roman;serif" w:hAnsi="Times New Roman;serif"/>
          <w:b/>
          <w:color w:val="000000"/>
          <w:sz w:val="24"/>
        </w:rPr>
        <w:t>6.    </w:t>
      </w:r>
      <w:r>
        <w:rPr>
          <w:rFonts w:ascii="Times New Roman;serif" w:hAnsi="Times New Roman;serif"/>
          <w:b/>
          <w:color w:val="000000"/>
          <w:sz w:val="24"/>
          <w:u w:val="single"/>
        </w:rPr>
        <w:t>Exercise Price</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rights granted under the Plan shall be exercised and Shares shall be purchased at a price per Share (the “Exercise Price”) determined by the Committee from time to time; provided that the Exercise Price shall not be less than eighty-five percent (85%) of the Fair Market Value of a Share on (a) the respective Offering Commencement Date or (b) the respective Purchase Date, whichever is lower.</w:t>
      </w:r>
    </w:p>
    <w:p>
      <w:pPr>
        <w:pStyle w:val="TextBody"/>
        <w:bidi w:val="0"/>
        <w:spacing w:lineRule="auto" w:line="288" w:before="0" w:after="240"/>
        <w:ind w:left="0" w:right="0" w:hanging="720"/>
        <w:jc w:val="both"/>
        <w:rPr/>
      </w:pPr>
      <w:r>
        <w:rPr>
          <w:rFonts w:ascii="Times New Roman;serif" w:hAnsi="Times New Roman;serif"/>
          <w:b/>
          <w:color w:val="000000"/>
          <w:sz w:val="24"/>
        </w:rPr>
        <w:t>7.</w:t>
      </w:r>
      <w:r>
        <w:rPr>
          <w:rFonts w:ascii="Times New Roman;serif" w:hAnsi="Times New Roman;serif"/>
          <w:b/>
          <w:color w:val="000000"/>
          <w:sz w:val="24"/>
          <w:u w:val="single"/>
        </w:rPr>
        <w:t>Exercise of Rights; Method of Payment</w:t>
      </w:r>
      <w:r>
        <w:rPr>
          <w:rFonts w:ascii="Times New Roman;serif" w:hAnsi="Times New Roman;serif"/>
          <w:b/>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Participating Employees may pay for Shares purchased upon exercise of rights granted hereunder solely through regular payroll deductions. No interest shall be paid upon payroll deductions (whether or not used to purchase Shares) unless specifically provided for by the Committee. All payroll deductions received or held by the Company under this Plan may be used by the Company for any corporate purpose, and the Company shall not be obligated to segregate such amounts.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(b)    Subject to any applicable limitation on purchases under the Plan, and unless the Employee has previously withdrawn from the respective Offering, rights granted to a participating Employee under the Plan will be exercised automatically on the Purchase Date of the respective Offering coinciding with the Offering Termination Date, and the Committee may provide that such rights may at the election of the Employee be exercised on one or more other Purchase Dates designated by the Committee within the period of the Offering, for the purchase of the number of Shares that may be purchased at the applicable Exercise Price with the accumulated payroll deductions as of the respective Purchase Date. Fractional Shares will be issued under the Plan, unless the Committee determines otherwise. If fractional Shares are not issued, any amount that would otherwise have been applied to the purchase of a fractional Share shall be retained and applied to the purchase of Shares in the following Offering unless the respective Employee elects otherwise. The Company will deliver to each participating Employee or to an account of the participating Employee designated by the Committee evidence of ownership of the shares of Common Stock purchased within a reasonable time after the Purchase Date in such form as the Committee determines will give the participating Employee full ownership of and rights to transfer the Shares. The Committee may require that the participating Employee hold such Shares in an account of the participating Employee designated by the Committee.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(c)    Any amounts withheld from the Employee’s compensation that are not used for the purchase of Shares, whether because of such Employee’s withdrawal from participation in an Offering (voluntarily, upon termination of employment, or otherwise) or for any other reason, except as provided in Section 7(b), shall be repaid to the Employee or his or her Designated Beneficiary or legal representative, as applicable, within a reasonable time thereafter.</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29615"/>
                <wp:effectExtent l="0" t="0" r="0" b="0"/>
                <wp:wrapNone/>
                <wp:docPr id="178" name="Frame178"/>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(d)    The Company’s obligation to offer, sell and deliver Shares under the Plan at any time is subject to (i) the approval of any governmental authority required in connection with the authorized issuance or sale of such Shares, (ii) satisfaction of the listing requirements of any national securities exchange or securities market on which the Common Stock is then listed, and (iii) compliance, in the opinion of the Company’s counsel, with all applicable federal and state securities and other laws.</w:t>
      </w:r>
    </w:p>
    <w:p>
      <w:pPr>
        <w:pStyle w:val="TextBody"/>
        <w:bidi w:val="0"/>
        <w:spacing w:lineRule="auto" w:line="288" w:before="0" w:after="240"/>
        <w:jc w:val="both"/>
        <w:rPr/>
      </w:pPr>
      <w:r>
        <w:rPr>
          <w:rFonts w:ascii="Times New Roman;serif" w:hAnsi="Times New Roman;serif"/>
          <w:b/>
          <w:color w:val="000000"/>
          <w:sz w:val="24"/>
        </w:rPr>
        <w:t>8.    </w:t>
      </w:r>
      <w:r>
        <w:rPr>
          <w:rFonts w:ascii="Times New Roman;serif" w:hAnsi="Times New Roman;serif"/>
          <w:b/>
          <w:color w:val="000000"/>
          <w:sz w:val="24"/>
          <w:u w:val="single"/>
        </w:rPr>
        <w:t>Limitations on Purchase Rights</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(a)    Any provision of the Plan or any other employee stock purchase plan of the Company or any subsidiary (collectively, “Other Plans”) to the contrary notwithstanding, no Employee shall be granted the right to purchase Common Stock (or other stock of the Company and any subsidiary) under the Plan and all Other Plans at a rate that exceeds an aggregate of $25,000 (or such other maximum as may be prescribed from time to time by Section 423) in Fair Market Value of such stock (determined at the time the rights are granted, and which with respect to the Plan, will be determined as of their respective Offering Commencement Dates) for each calendar year in which any such right is outstanding.</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(b)    An Employee’s participation in any one or a combination of Offerings under the Plan shall not exceed such additional limits as the Committee may from time to time impose.</w:t>
      </w:r>
    </w:p>
    <w:p>
      <w:pPr>
        <w:pStyle w:val="TextBody"/>
        <w:bidi w:val="0"/>
        <w:spacing w:lineRule="auto" w:line="288" w:before="0" w:after="240"/>
        <w:jc w:val="both"/>
        <w:rPr/>
      </w:pPr>
      <w:r>
        <w:rPr>
          <w:rFonts w:ascii="Times New Roman;serif" w:hAnsi="Times New Roman;serif"/>
          <w:b/>
          <w:color w:val="000000"/>
          <w:sz w:val="24"/>
        </w:rPr>
        <w:t>9.    </w:t>
      </w:r>
      <w:r>
        <w:rPr>
          <w:rFonts w:ascii="Times New Roman;serif" w:hAnsi="Times New Roman;serif"/>
          <w:b/>
          <w:color w:val="000000"/>
          <w:sz w:val="24"/>
          <w:u w:val="single"/>
        </w:rPr>
        <w:t>Tax Withholding</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Each participating Employee shall pay to the Company or the applicable Subsidiary, or make provision satisfactory to the Committee for payment of, any taxes required by law to be withheld in respect of the purchase or disposition of Shares no later than the date of the event creating the tax liability. In the Committee’s discretion and subject to applicable law, such tax obligations may be paid in whole or in part by delivery of Shares to the Company, including Shares purchased under the Plan, valued at Fair Market Value on the date of delivery. The Company or the applicable Subsidiary may, to the extent permitted by law, deduct any such tax obligations from any payment of any kind otherwise due to the Employee or withhold Shares purchased hereunder, which shall be valued at Fair Market Value on the date of withholding.</w:t>
      </w:r>
    </w:p>
    <w:p>
      <w:pPr>
        <w:pStyle w:val="TextBody"/>
        <w:bidi w:val="0"/>
        <w:spacing w:lineRule="auto" w:line="288" w:before="0" w:after="240"/>
        <w:jc w:val="both"/>
        <w:rPr/>
      </w:pPr>
      <w:r>
        <w:rPr>
          <w:rFonts w:ascii="Times New Roman;serif" w:hAnsi="Times New Roman;serif"/>
          <w:b/>
          <w:color w:val="000000"/>
          <w:sz w:val="24"/>
        </w:rPr>
        <w:t>10.    </w:t>
      </w:r>
      <w:r>
        <w:rPr>
          <w:rFonts w:ascii="Times New Roman;serif" w:hAnsi="Times New Roman;serif"/>
          <w:b/>
          <w:color w:val="000000"/>
          <w:sz w:val="24"/>
          <w:u w:val="single"/>
        </w:rPr>
        <w:t>Participants’ Rights as Shareholders and Employees</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(a)    No participating Employee shall have any rights as a shareholder in the Shares covered by a right granted hereunder until such right has been exercised, full payment has been made for such Shares, and the Share certificate is actually issued.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(b)    Neither the adoption, maintenance, nor operation of the Plan nor any grant of rights hereunder shall entitle any Employee to continued employment or other service with the Company or any Subsidiary or restrict the right of any of such entities to terminate such employment or service or otherwise change the terms of such employment or service at any time or for any reason</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29615"/>
                <wp:effectExtent l="0" t="0" r="0" b="0"/>
                <wp:wrapNone/>
                <wp:docPr id="179" name="Frame179"/>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11.    </w:t>
      </w:r>
      <w:r>
        <w:rPr>
          <w:rFonts w:ascii="Times New Roman;serif" w:hAnsi="Times New Roman;serif"/>
          <w:b/>
          <w:color w:val="000000"/>
          <w:sz w:val="24"/>
          <w:u w:val="single"/>
        </w:rPr>
        <w:t>Rights Not Transferable</w:t>
      </w:r>
      <w:r>
        <w:rPr>
          <w:rFonts w:ascii="Times New Roman;serif" w:hAnsi="Times New Roman;serif"/>
          <w:b/>
          <w:color w:val="000000"/>
          <w:sz w:val="24"/>
        </w:rPr>
        <w: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 xml:space="preserve">Rights under the Plan are not assignable or transferable by a participating Employee other than by will or the laws of descent and distribution and, during the Employee’s lifetime, are exercisable only by the Employee. The Company may treat any attempted </w:t>
      </w:r>
      <w:r>
        <w:rPr>
          <w:rFonts w:ascii="Times New Roman;serif" w:hAnsi="Times New Roman;serif"/>
          <w:b w:val="false"/>
          <w:i/>
          <w:color w:val="000000"/>
          <w:sz w:val="24"/>
        </w:rPr>
        <w:t>inter vivos</w:t>
      </w:r>
      <w:r>
        <w:rPr>
          <w:color w:val="000000"/>
        </w:rPr>
        <w:t xml:space="preserve"> </w:t>
      </w:r>
      <w:r>
        <w:rPr>
          <w:rFonts w:ascii="Times New Roman;serif" w:hAnsi="Times New Roman;serif"/>
          <w:b w:val="false"/>
          <w:color w:val="000000"/>
          <w:sz w:val="24"/>
        </w:rPr>
        <w:t>assignment as an election to withdraw from all pending Offerings.</w:t>
      </w:r>
    </w:p>
    <w:p>
      <w:pPr>
        <w:pStyle w:val="TextBody"/>
        <w:bidi w:val="0"/>
        <w:spacing w:lineRule="auto" w:line="288" w:before="0" w:after="240"/>
        <w:jc w:val="both"/>
        <w:rPr/>
      </w:pPr>
      <w:r>
        <w:rPr>
          <w:rFonts w:ascii="Times New Roman;serif" w:hAnsi="Times New Roman;serif"/>
          <w:b/>
          <w:color w:val="000000"/>
          <w:sz w:val="24"/>
        </w:rPr>
        <w:t>12.    </w:t>
      </w:r>
      <w:r>
        <w:rPr>
          <w:rFonts w:ascii="Times New Roman;serif" w:hAnsi="Times New Roman;serif"/>
          <w:b/>
          <w:color w:val="000000"/>
          <w:sz w:val="24"/>
          <w:u w:val="single"/>
        </w:rPr>
        <w:t>Amendments to or Termination of the Plan</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Board shall have the right to amend, modify or terminate the Plan at any time without notice, subject to any stockholder approval that the Board determines to be necessary or advisable; provided that the rights of Employees hereunder with respect to any ongoing or completed Offering shall not be adversely affected.</w:t>
      </w:r>
    </w:p>
    <w:p>
      <w:pPr>
        <w:pStyle w:val="TextBody"/>
        <w:bidi w:val="0"/>
        <w:spacing w:lineRule="auto" w:line="288" w:before="0" w:after="240"/>
        <w:jc w:val="both"/>
        <w:rPr/>
      </w:pPr>
      <w:r>
        <w:rPr>
          <w:rFonts w:ascii="Times New Roman;serif" w:hAnsi="Times New Roman;serif"/>
          <w:b/>
          <w:color w:val="000000"/>
          <w:sz w:val="24"/>
        </w:rPr>
        <w:t>13.    </w:t>
      </w:r>
      <w:r>
        <w:rPr>
          <w:rFonts w:ascii="Times New Roman;serif" w:hAnsi="Times New Roman;serif"/>
          <w:b/>
          <w:color w:val="000000"/>
          <w:sz w:val="24"/>
          <w:u w:val="single"/>
        </w:rPr>
        <w:t>Governing Law</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Subject to overriding federal law, the Plan shall be governed by and interpreted consistently with the laws of Delaware.</w:t>
      </w:r>
    </w:p>
    <w:p>
      <w:pPr>
        <w:pStyle w:val="TextBody"/>
        <w:bidi w:val="0"/>
        <w:spacing w:lineRule="auto" w:line="288" w:before="0" w:after="240"/>
        <w:jc w:val="both"/>
        <w:rPr/>
      </w:pPr>
      <w:r>
        <w:rPr>
          <w:rFonts w:ascii="Times New Roman;serif" w:hAnsi="Times New Roman;serif"/>
          <w:b/>
          <w:color w:val="000000"/>
          <w:sz w:val="24"/>
        </w:rPr>
        <w:t>14.    </w:t>
      </w:r>
      <w:r>
        <w:rPr>
          <w:rFonts w:ascii="Times New Roman;serif" w:hAnsi="Times New Roman;serif"/>
          <w:b/>
          <w:color w:val="000000"/>
          <w:sz w:val="24"/>
          <w:u w:val="single"/>
        </w:rPr>
        <w:t>Effective Date and Term</w:t>
      </w:r>
      <w:r>
        <w:rPr>
          <w:rFonts w:ascii="Times New Roman;serif" w:hAnsi="Times New Roman;serif"/>
          <w:b/>
          <w:color w:val="000000"/>
          <w:sz w:val="24"/>
        </w:rPr>
        <w: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This Plan originally became effective on July 1, 2019. No rights shall be granted under the Plan after July 1, 2036 (unless terminated earlier pursuant to the Plan).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24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29615"/>
                <wp:effectExtent l="0" t="0" r="0" b="0"/>
                <wp:wrapNone/>
                <wp:docPr id="180" name="Frame180"/>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1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Sean E. Reilly,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combined quarterly report on Form 10-Q of Lamar Advertising Company and Lamar Media Corp.;</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tbl>
      <w:tblPr>
        <w:tblW w:w="4857" w:type="dxa"/>
        <w:jc w:val="center"/>
        <w:tblInd w:w="0" w:type="dxa"/>
        <w:tblLayout w:type="fixed"/>
        <w:tblCellMar>
          <w:top w:w="28" w:type="dxa"/>
          <w:left w:w="28" w:type="dxa"/>
          <w:bottom w:w="28" w:type="dxa"/>
          <w:right w:w="28" w:type="dxa"/>
        </w:tblCellMar>
      </w:tblPr>
      <w:tblGrid>
        <w:gridCol w:w="124"/>
        <w:gridCol w:w="109"/>
        <w:gridCol w:w="109"/>
        <w:gridCol w:w="1318"/>
        <w:gridCol w:w="1318"/>
        <w:gridCol w:w="18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Sean E. 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Sean E. 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Lamar Advertising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Lamar Media Corp.</w:t>
            </w:r>
          </w:p>
        </w:tc>
      </w:tr>
    </w:tbl>
    <w:p>
      <w:pPr>
        <w:pStyle w:val="TextBody"/>
        <w:bidi w:val="0"/>
        <w:spacing w:before="12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1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Jay L. Johnson,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combined quarterly report on Form 10-Q of Lamar Advertising Company and Lamar Media Corp.;</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tbl>
      <w:tblPr>
        <w:tblW w:w="4796" w:type="dxa"/>
        <w:jc w:val="center"/>
        <w:tblInd w:w="0" w:type="dxa"/>
        <w:tblLayout w:type="fixed"/>
        <w:tblCellMar>
          <w:top w:w="28" w:type="dxa"/>
          <w:left w:w="28" w:type="dxa"/>
          <w:bottom w:w="28" w:type="dxa"/>
          <w:right w:w="28" w:type="dxa"/>
        </w:tblCellMar>
      </w:tblPr>
      <w:tblGrid>
        <w:gridCol w:w="124"/>
        <w:gridCol w:w="109"/>
        <w:gridCol w:w="109"/>
        <w:gridCol w:w="1305"/>
        <w:gridCol w:w="1305"/>
        <w:gridCol w:w="18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Jay L.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L.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Lamar Advertising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Lamar Media Corp.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ADVERTISING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LAMAR MEDIA CORP.</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Periodic Financial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2026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tbl>
      <w:tblPr>
        <w:tblW w:w="5618" w:type="dxa"/>
        <w:jc w:val="center"/>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09"/>
        <w:gridCol w:w="1318"/>
        <w:gridCol w:w="1318"/>
        <w:gridCol w:w="18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Sean E. 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Sean E. 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Lamar Advertising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Lamar Media Corp.</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tbl>
      <w:tblPr>
        <w:tblW w:w="5557" w:type="dxa"/>
        <w:jc w:val="center"/>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09"/>
        <w:gridCol w:w="1305"/>
        <w:gridCol w:w="1305"/>
        <w:gridCol w:w="18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Jay L.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L.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Lamar Advertising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Lamar Media Corp.</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0425/000119312514417756/d823054dex31.htm" TargetMode="External"/><Relationship Id="rId3" Type="http://schemas.openxmlformats.org/officeDocument/2006/relationships/hyperlink" Target="https://www.sec.gov/Archives/edgar/data/1090425/000119312514417756/d823054dex32.htm" TargetMode="External"/><Relationship Id="rId4" Type="http://schemas.openxmlformats.org/officeDocument/2006/relationships/hyperlink" Target="https://www.sec.gov/Archives/edgar/data/899045/000095013407011105/d46520exv3w2.htm" TargetMode="External"/><Relationship Id="rId5" Type="http://schemas.openxmlformats.org/officeDocument/2006/relationships/hyperlink" Target="https://www.sec.gov/Archives/edgar/data/1090425/000119312514417756/d823054dex33.htm" TargetMode="External"/><Relationship Id="rId6" Type="http://schemas.openxmlformats.org/officeDocument/2006/relationships/hyperlink" Target="https://www.sec.gov/Archives/edgar/data/899045/000095013499009877/0000950134-99-009877.txt"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134</Pages>
  <Words>51436</Words>
  <Characters>285803</Characters>
  <CharactersWithSpaces>341777</CharactersWithSpaces>
  <Paragraphs>5690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