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525145</wp:posOffset>
            </wp:positionH>
            <wp:positionV relativeFrom="page">
              <wp:posOffset>680720</wp:posOffset>
            </wp:positionV>
            <wp:extent cx="6506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706120</wp:posOffset>
            </wp:positionV>
            <wp:extent cx="6506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621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8, 2025</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LAMAR ADVERTISING COMPANY</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registrants as specified in its charter)</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color w:val="auto"/>
        </w:rPr>
        <w:t>____________________</w:t>
      </w:r>
    </w:p>
    <w:p>
      <w:pPr>
        <w:spacing w:after="0" w:line="129" w:lineRule="exact"/>
        <w:rPr>
          <w:sz w:val="24"/>
          <w:szCs w:val="24"/>
          <w:color w:val="auto"/>
        </w:rPr>
      </w:pPr>
    </w:p>
    <w:tbl>
      <w:tblPr>
        <w:tblLayout w:type="fixed"/>
        <w:tblInd w:w="1180" w:type="dxa"/>
        <w:tblCellMar>
          <w:top w:w="0" w:type="dxa"/>
          <w:left w:w="0" w:type="dxa"/>
          <w:bottom w:w="0" w:type="dxa"/>
          <w:right w:w="0" w:type="dxa"/>
        </w:tblCellMar>
      </w:tblPr>
      <w:tr>
        <w:trPr>
          <w:trHeight w:val="212"/>
        </w:trPr>
        <w:tc>
          <w:tcPr>
            <w:tcW w:w="2920" w:type="dxa"/>
            <w:vAlign w:val="bottom"/>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001-36756</w:t>
            </w: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47-0961620</w:t>
            </w:r>
          </w:p>
        </w:tc>
      </w:tr>
      <w:tr>
        <w:trPr>
          <w:trHeight w:val="220"/>
        </w:trPr>
        <w:tc>
          <w:tcPr>
            <w:tcW w:w="2920" w:type="dxa"/>
            <w:vAlign w:val="bottom"/>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(States or other jurisdictions</w:t>
            </w:r>
          </w:p>
        </w:tc>
        <w:tc>
          <w:tcPr>
            <w:tcW w:w="32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File</w:t>
            </w: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920" w:type="dxa"/>
            <w:vAlign w:val="bottom"/>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3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Numbers)</w:t>
            </w:r>
          </w:p>
        </w:tc>
        <w:tc>
          <w:tcPr>
            <w:tcW w:w="242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Identification Nos.)</w:t>
            </w:r>
          </w:p>
        </w:tc>
      </w:tr>
    </w:tbl>
    <w:p>
      <w:pPr>
        <w:spacing w:after="0" w:line="3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5321 Corporate Blvd.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b w:val="1"/>
          <w:bCs w:val="1"/>
          <w:color w:val="auto"/>
        </w:rPr>
        <w:t xml:space="preserve"> Baton Rouge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b w:val="1"/>
          <w:bCs w:val="1"/>
          <w:color w:val="auto"/>
        </w:rPr>
        <w:t xml:space="preserve"> Louisiana </w:t>
      </w:r>
      <w:r>
        <w:rPr>
          <w:rFonts w:ascii="Times New Roman" w:cs="Times New Roman" w:eastAsia="Times New Roman" w:hAnsi="Times New Roman"/>
          <w:sz w:val="17"/>
          <w:szCs w:val="17"/>
          <w:b w:val="1"/>
          <w:bCs w:val="1"/>
          <w:color w:val="auto"/>
        </w:rPr>
        <w:t>70808</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381" w:lineRule="exact"/>
        <w:rPr>
          <w:sz w:val="24"/>
          <w:szCs w:val="24"/>
          <w:color w:val="auto"/>
        </w:rPr>
      </w:pPr>
    </w:p>
    <w:p>
      <w:pPr>
        <w:ind w:left="5420" w:hanging="427"/>
        <w:spacing w:after="0"/>
        <w:tabs>
          <w:tab w:leader="none" w:pos="54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926-1000</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 since last report)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49" w:lineRule="exact"/>
        <w:rPr>
          <w:sz w:val="24"/>
          <w:szCs w:val="24"/>
          <w:color w:val="auto"/>
        </w:rPr>
      </w:pPr>
    </w:p>
    <w:p>
      <w:pPr>
        <w:ind w:left="980" w:hanging="567"/>
        <w:spacing w:after="0"/>
        <w:tabs>
          <w:tab w:leader="none" w:pos="9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5" w:lineRule="exact"/>
        <w:rPr>
          <w:rFonts w:ascii="Wingdings" w:cs="Wingdings" w:eastAsia="Wingdings" w:hAnsi="Wingdings"/>
          <w:sz w:val="16"/>
          <w:szCs w:val="16"/>
          <w:b w:val="1"/>
          <w:bCs w:val="1"/>
          <w:color w:val="auto"/>
        </w:rPr>
      </w:pPr>
    </w:p>
    <w:p>
      <w:pPr>
        <w:ind w:left="980" w:hanging="567"/>
        <w:spacing w:after="0"/>
        <w:tabs>
          <w:tab w:leader="none" w:pos="9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Wingdings" w:cs="Wingdings" w:eastAsia="Wingdings" w:hAnsi="Wingdings"/>
          <w:sz w:val="16"/>
          <w:szCs w:val="16"/>
          <w:b w:val="1"/>
          <w:bCs w:val="1"/>
          <w:color w:val="auto"/>
        </w:rPr>
      </w:pPr>
    </w:p>
    <w:p>
      <w:pPr>
        <w:ind w:left="980" w:hanging="567"/>
        <w:spacing w:after="0"/>
        <w:tabs>
          <w:tab w:leader="none" w:pos="9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Wingdings" w:cs="Wingdings" w:eastAsia="Wingdings" w:hAnsi="Wingdings"/>
          <w:sz w:val="16"/>
          <w:szCs w:val="16"/>
          <w:b w:val="1"/>
          <w:bCs w:val="1"/>
          <w:color w:val="auto"/>
        </w:rPr>
      </w:pPr>
    </w:p>
    <w:p>
      <w:pPr>
        <w:ind w:left="980" w:hanging="567"/>
        <w:spacing w:after="0"/>
        <w:tabs>
          <w:tab w:leader="none" w:pos="9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Lamar Advertising Company securities registered pursuant to Section 12(b) of the Act:</w:t>
      </w:r>
    </w:p>
    <w:p>
      <w:pPr>
        <w:spacing w:after="0" w:line="57" w:lineRule="exact"/>
        <w:rPr>
          <w:sz w:val="24"/>
          <w:szCs w:val="24"/>
          <w:color w:val="auto"/>
        </w:rPr>
      </w:pPr>
    </w:p>
    <w:tbl>
      <w:tblPr>
        <w:tblLayout w:type="fixed"/>
        <w:tblInd w:w="52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42"/>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9"/>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$0.001 par value</w:t>
            </w:r>
          </w:p>
        </w:tc>
        <w:tc>
          <w:tcPr>
            <w:tcW w:w="8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LAMR</w:t>
            </w:r>
          </w:p>
        </w:tc>
        <w:tc>
          <w:tcPr>
            <w:tcW w:w="100" w:type="dxa"/>
            <w:vAlign w:val="bottom"/>
          </w:tcPr>
          <w:p>
            <w:pPr>
              <w:spacing w:after="0"/>
              <w:rPr>
                <w:sz w:val="18"/>
                <w:szCs w:val="18"/>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2"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11" w:lineRule="exact"/>
        <w:rPr>
          <w:sz w:val="24"/>
          <w:szCs w:val="24"/>
          <w:color w:val="auto"/>
        </w:rPr>
      </w:pPr>
    </w:p>
    <w:p>
      <w:pPr>
        <w:ind w:left="7260"/>
        <w:spacing w:after="0"/>
        <w:tabs>
          <w:tab w:leader="none" w:pos="100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Wingdings" w:cs="Wingdings" w:eastAsia="Wingdings" w:hAnsi="Wingdings"/>
          <w:sz w:val="15"/>
          <w:szCs w:val="15"/>
          <w:b w:val="1"/>
          <w:bCs w:val="1"/>
          <w:color w:val="auto"/>
        </w:rPr>
        <w:t>o</w:t>
      </w:r>
    </w:p>
    <w:p>
      <w:pPr>
        <w:spacing w:after="0" w:line="208" w:lineRule="exact"/>
        <w:rPr>
          <w:sz w:val="24"/>
          <w:szCs w:val="24"/>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1270</wp:posOffset>
            </wp:positionV>
            <wp:extent cx="65062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27305</wp:posOffset>
            </wp:positionV>
            <wp:extent cx="6506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ectPr>
          <w:pgSz w:w="11900" w:h="16838" w:orient="portrait"/>
          <w:cols w:equalWidth="0" w:num="1">
            <w:col w:w="11180"/>
          </w:cols>
          <w:pgMar w:left="320" w:top="1181"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August 8, 2025, Lamar Advertising Company announced via press release its results for the quarter ended June 30, 2025. A copy of Lamar’s press release is hereby furnished to the Commission and incorporated by reference herein as Exhibit 99.1.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760" w:type="dxa"/>
            <w:vAlign w:val="bottom"/>
          </w:tcPr>
          <w:p>
            <w:pPr>
              <w:spacing w:after="0"/>
              <w:rPr>
                <w:sz w:val="17"/>
                <w:szCs w:val="17"/>
                <w:color w:val="auto"/>
              </w:rPr>
            </w:pPr>
          </w:p>
        </w:tc>
        <w:tc>
          <w:tcPr>
            <w:tcW w:w="10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1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60" w:type="dxa"/>
            <w:vAlign w:val="bottom"/>
            <w:gridSpan w:val="3"/>
            <w:vMerge w:val="continue"/>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3"/>
            <w:vMerge w:val="continue"/>
          </w:tcPr>
          <w:p>
            <w:pPr>
              <w:spacing w:after="0"/>
              <w:rPr>
                <w:sz w:val="19"/>
                <w:szCs w:val="19"/>
                <w:color w:val="auto"/>
              </w:rPr>
            </w:pPr>
          </w:p>
        </w:tc>
        <w:tc>
          <w:tcPr>
            <w:tcW w:w="8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Press Release of Lamar Advertising Company, dated August 8, 2025, reporting Lamar’s financial results for the quarter</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ended June 30, 2025.</w:t>
            </w:r>
          </w:p>
        </w:tc>
        <w:tc>
          <w:tcPr>
            <w:tcW w:w="86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(embedded within the Inline XBRL document).</w:t>
            </w:r>
          </w:p>
        </w:tc>
        <w:tc>
          <w:tcPr>
            <w:tcW w:w="0" w:type="dxa"/>
            <w:vAlign w:val="bottom"/>
          </w:tcPr>
          <w:p>
            <w:pPr>
              <w:spacing w:after="0"/>
              <w:rPr>
                <w:sz w:val="1"/>
                <w:szCs w:val="1"/>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706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tc>
      </w:tr>
      <w:tr>
        <w:trPr>
          <w:trHeight w:val="297"/>
        </w:trPr>
        <w:tc>
          <w:tcPr>
            <w:tcW w:w="3180" w:type="dxa"/>
            <w:vAlign w:val="bottom"/>
          </w:tcPr>
          <w:p>
            <w:pPr>
              <w:spacing w:after="0"/>
              <w:rPr>
                <w:sz w:val="24"/>
                <w:szCs w:val="24"/>
                <w:color w:val="auto"/>
              </w:rPr>
            </w:pPr>
          </w:p>
        </w:tc>
        <w:tc>
          <w:tcPr>
            <w:tcW w:w="2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3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34"/>
        </w:trPr>
        <w:tc>
          <w:tcPr>
            <w:tcW w:w="31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sectPr>
          <w:pgSz w:w="11900" w:h="16838" w:orient="portrait"/>
          <w:cols w:equalWidth="0" w:num="1">
            <w:col w:w="10620"/>
          </w:cols>
          <w:pgMar w:left="320" w:top="995" w:right="959" w:bottom="1440" w:gutter="0" w:footer="0" w:header="0"/>
        </w:sectPr>
      </w:pPr>
    </w:p>
    <w:bookmarkStart w:id="3" w:name="page4"/>
    <w:bookmarkEnd w:id="3"/>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577850</wp:posOffset>
            </wp:positionV>
            <wp:extent cx="178308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83080" cy="2400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5321 Corporate Boulevard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Baton Rouge, LA 70808</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Quarter Ended June 30, 2025 Operating Results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Three Month Results</w:t>
      </w:r>
    </w:p>
    <w:p>
      <w:pPr>
        <w:spacing w:after="0" w:line="254" w:lineRule="exact"/>
        <w:rPr>
          <w:sz w:val="20"/>
          <w:szCs w:val="20"/>
          <w:color w:val="auto"/>
        </w:rPr>
      </w:pPr>
    </w:p>
    <w:p>
      <w:pPr>
        <w:ind w:left="2840" w:hanging="240"/>
        <w:spacing w:after="0"/>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$579.3 million</w:t>
      </w:r>
    </w:p>
    <w:p>
      <w:pPr>
        <w:spacing w:after="0" w:line="27"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$155.0 million</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$278.4 million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Six Month Results</w:t>
      </w:r>
    </w:p>
    <w:p>
      <w:pPr>
        <w:spacing w:after="0" w:line="254" w:lineRule="exact"/>
        <w:rPr>
          <w:sz w:val="20"/>
          <w:szCs w:val="20"/>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$1.08 billion</w:t>
      </w:r>
    </w:p>
    <w:p>
      <w:pPr>
        <w:spacing w:after="0" w:line="27"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$294.2 million</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$488.6 million</w:t>
      </w:r>
    </w:p>
    <w:p>
      <w:pPr>
        <w:spacing w:after="0" w:line="23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Baton Rouge, LA – August 8, 2025 - Lamar Advertising Company (the “Company” or “Lamar”) (Nasdaq: LAMR), a leading owner and operator of outdoor advertising and logo sign displays, announces the Company’s operating results for the second quarter ended June 30, 2025.</w:t>
      </w:r>
    </w:p>
    <w:p>
      <w:pPr>
        <w:spacing w:after="0" w:line="18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"Revenue growth accelerated slightly in the second quarter, with increases on both the national and local levels. Meanwhile, in early July we completed a milestone acquisition, with the first-ever UPREIT transaction in the billboard industry," Lamar chief executive Sean Reilly said. "Our pacings indicate further year-over-year improvement in revenues is likely in the second half of 2025, though perhaps not to the degree that we'd anticipated entering the year. As a result, we've slightly revised our guidance for full-year diluted AFFO per share from a range of $8.13 to $8.28 per share to a range of $8.10 to $8.20 per share.”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Second Quarter Highlights</w:t>
      </w:r>
    </w:p>
    <w:p>
      <w:pPr>
        <w:spacing w:after="0" w:line="254" w:lineRule="exact"/>
        <w:rPr>
          <w:sz w:val="20"/>
          <w:szCs w:val="20"/>
          <w:color w:val="auto"/>
        </w:rPr>
      </w:pPr>
    </w:p>
    <w:p>
      <w:pPr>
        <w:ind w:left="2840" w:hanging="240"/>
        <w:spacing w:after="0"/>
        <w:tabs>
          <w:tab w:leader="none" w:pos="2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2.5%</w:t>
      </w:r>
    </w:p>
    <w:p>
      <w:pPr>
        <w:spacing w:after="0" w:line="27"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12.7%</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2.5%</w:t>
      </w:r>
    </w:p>
    <w:p>
      <w:pPr>
        <w:spacing w:after="0" w:line="9"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 increased 5.5%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Results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reported net revenues of $579.3 million for the second quarter of 2025 versus $565.3 million for the second quarter of 2024, a 2.5% increase. Operating income for the second quarter of 2025 increased $13.5 million to $197.7 million as compared to $184.2 million for the same period in 2024. Lamar recognized net income of $155.0 million for the second quarter of 2025 as compared to net income of $137.6 million for the same period in 2024, an increase of $17.4 million. Net income per diluted share was $1.52 and $1.34 for the three months ended June 30, 2025 and 2024, respectively.</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Adjusted EBITDA for the second quarter of 2025 was $278.4 million versus $271.6 million for the second quarter of 2024, an increase of 2.5%.</w:t>
      </w:r>
    </w:p>
    <w:p>
      <w:pPr>
        <w:spacing w:after="0" w:line="25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Cash flow provided by operating activities was $229.5 million for the three months ended June 30, 2025 versus $256.3 million for the second quarter of 2024, a decrease of $26.9 million. Free cash flow for the second quarter of 2025 was $199.1 million as compared to $203.5 million for the same period in 2024, a 2.2% decrease.</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second quarter of 2025, funds from operations, or FFO, was $225.3 million versus $209.3 million for the same period in 2024, an increase of 7.7%. Adjusted funds from operations, or AFFO, for the second quarter of 2025 was $225.3 million compared to $213.5 million for the same period in 2024, an increase of 5.5%. Diluted AFFO per share increased 6.7% to $2.22 for the three months ended June 30, 2025 as compared to $2.08 for the same period in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Acquisition-Adjusted Three Months Results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Acquisition-adjusted net revenue for the second quarter of 2025 increased 1.9% over acquisition-adjusted net revenue for the second quarter of 2024. Acquisition-adjusted EBITDA for the second quarter of 2025 increased 2.0% as compared to acquisition-adjusted EBITDA for the second quarter of</w:t>
      </w:r>
    </w:p>
    <w:p>
      <w:pPr>
        <w:jc w:val="both"/>
        <w:spacing w:after="0" w:line="255" w:lineRule="auto"/>
        <w:rPr>
          <w:sz w:val="20"/>
          <w:szCs w:val="20"/>
          <w:color w:val="auto"/>
        </w:rPr>
      </w:pPr>
      <w:r>
        <w:rPr>
          <w:rFonts w:ascii="Times New Roman" w:cs="Times New Roman" w:eastAsia="Times New Roman" w:hAnsi="Times New Roman"/>
          <w:sz w:val="18"/>
          <w:szCs w:val="18"/>
          <w:color w:val="auto"/>
        </w:rPr>
        <w:t>2024. Acquisition-adjusted net revenue and acquisition-adjusted EBITDA include adjustments to the 2024 period for acquisitions and divestitures for the same time frame as actually owned in the 2025 period. See “Reconciliation of Reported Basis to Acquisition-Adjusted Results”, which provides reconciliations to GAAP for acquisition-adjusted measures.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Six Month Results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Lamar reported net revenues of $1.08 billion for the six months ended June 30, 2025 versus $1.06 billion for the six months ended June 30, 2024, a 2.0% increase. Operating income for the six months ended June 30, 2025 increased $80.1 million to $388.9 million as compared to $308.8 million for the same period in 2024. Lamar recognized net income of $294.2 million for the six months ended June 30, 2025 as compared to net income of $216.1 million for the same period in 2024, an increase of $78.2 million. The 36.2% increase in net income for the year ended June 30, 2025 as compared to 2024 was primarily related to the $67.8 million gain recorded for the sale of Lamar’s equity interest in Vistar Media, Inc. (“Vistar”) in 2025. Net income per diluted share was $2.87 and $2.10 for the six months ended June 30, 2025 and 2024, respectively.</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Adjusted EBITDA for the six months ended June 30, 2025 was $488.6 million versus $483.5 million for the same period in 2024, an increase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3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Cash flow provided by operating activities was $357.2 million for the six months ended June 30, 2025 as compared to $366.9 million for the same period in 2024, a decrease of $9.7 million. Free cash flow for the six months ended June 30, 2025 was $320.2 million as compared to $342.2 million for the same period in 2024, a 6.4% decrease.</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funds from operations, or FFO, was $381.5 million versus $357.8 million for the same period in 2024, an increase of 6.6%. Adjusted funds from operations, or AFFO, for the six months ended June 30, 2025 was $389.6 million compared to $371.8 million for the same period in 2024, an increase of 4.8%. Diluted AFFO per share increased 5.0% to $3.81 for the six months ended June 30, 2025 as compared to $3.63 for the same period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June 30, 2025, Lamar had $363.0 million in total liquidity that consisted of $307.3 million available for borrowing under its revolving senior credit facility and $55.7 million in cash and cash equivalents. There were $434.0 million in borrowings outstanding under the Company’s revolving credit facility and $250.0 million outstanding under the Accounts Receivable Securitization Program as of the same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July 2, 2025, Lamar Advertising Limited Partnership ("Lamar LP"), the subsidiary operating partner of the Company, issued a total of 1,187,500 Common Units of Lamar LP (the "Common Units"). The Common Units were issued to the owners of Verde Outdoor as the consideration in connection with an acquisition, whereby the assets of Verde Outdoor were contributed to Lamar LP. The Verde Outdoor assets include more than 1,500 billboard faces across ten states.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Pursuant to the terms of the Limited Partnership Agreement of Lamar LP, the Common Units are redeemable by the holder after a holding period, which is generally twelve months, for a cash amount per Common Unit equal to the market value of an equivalent number of shares of common stock of the Company. At the Company’s option, in lieu of cash, the redemption obligation may be satisfied by issuing shares of Class A common stock of the Company in exchange for Common Units tendered for redemption.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Revised Guidance</w:t>
      </w:r>
    </w:p>
    <w:p>
      <w:pPr>
        <w:spacing w:after="0" w:line="256"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We are updating our 2025 guidance issued in February 2025. We now expect net income per diluted share for fiscal year 2025 to be between $6.09 and $6.11, with diluted AFFO per share between $8.10 and $8.20. See “Supplemental Schedules Unaudited REIT Measures and Reconciliations to GAAP Measures” for reconciliation to GAAP.</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56"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regarding sales trends. These statements are subject to risks and uncertainties that could cause actual results to differ materially from those projected in these forward-looking statements. These risks and uncertainties include, among others: (1) our significant indebtedness; (2) the state of the economy and financial markets generally, and the effect of the broader economy on the demand for advertising, including economic changes that may result from new or increased tariffs, trade restrictions or geopolitical tensions; (3) the continued popularity of outdoor advertising as an advertising medium; (4) our need for and ability to obtain additional funding for operations, debt refinancing or acquisitions; (5) our ability to continue to qualify as a Real Estate Investment Trust (“REIT”) and maintain our status as a REIT; (6) the regulation of the outdoor advertising industry by federal, state and local governments; (7) the integration of companies and assets that we acquire and our ability to recognize cost savings or operating efficiencies as a result of these acquisitions; (8) changes in accounting principles, policies or guidelines; (9) changes in tax laws applicable to REITs or in the interpretation of those laws; (10) our ability to renew expiring contracts at favorable rates; (11) our ability to successfully implement our digital deployment strategy; and (12) the market for our Class A common stock. For additional information regarding factors that may cause actual results to differ materially from those indicated in our forward-looking statements, we refer you to the risk factors included in Item 1A of our Annual Report on Form 10-K for the year ended December 31, 2024, as supplemented by any risk factors contained in our Quarterly Reports on Form 10-Q and our Current Reports on Form 8-K. We caution investors not to place undue reliance on the forward-looking statements contained in this document. These statements speak only as of the date of this document, and we undertake no obligation to update or revise the statements, except as may be required by law.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 has presented the following measures that are not measures of performance under accounting principles generally accepted in the United States of America (“GAAP”): adjusted earnings before interest, taxes, depreciation and amortization (“adjusted EBITDA”), free cash flow, funds from operations (“FFO”), adjusted funds from operations (“AFFO”), diluted AFFO per share, outdoor operating income, acquisition-adjusted results and acquisition-adjusted consolidated expense. Our management reviews our performance by focusing on these key performance indicators not prepared in conformity with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Non-GAAP financial measures are determined as follows:</w:t>
      </w:r>
    </w:p>
    <w:p>
      <w:pPr>
        <w:spacing w:after="0" w:line="252"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net income before income tax expense (benefit), interest expense (income), loss (gain) on extinguishment of debt and investments, equity in (earnings) loss of investee, stock-based compensation, depreciation and amortization, loss (gain) on disposition of assets and investments, transaction expenses and investments and capitalized contract fulfillment costs, net.</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defined as adjusted EBITDA divided by net revenues.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defined as adjusted EBITDA less interest, net of interest income and amortization of deferred financing costs, current taxes, preferred stock dividends and total capital expenditures.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National Association of Real Estate Investment Trusts definition of FFO, which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AFFO per share is defined as AFFO divided by weighted average diluted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887" w:right="339" w:bottom="1440" w:gutter="0" w:footer="0" w:header="0"/>
        </w:sectPr>
      </w:pPr>
    </w:p>
    <w:bookmarkStart w:id="6" w:name="page7"/>
    <w:bookmarkEnd w:id="6"/>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operating income is defined as operating income before corporate expenses, stock-based compensation, capitalized contract fulfillment costs, net, transaction expenses, depreciation and amortization and loss (gain) on disposition of assets and investments.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results adjusts our net revenue, direct and general and administrative expenses, outdoor operating income, corporate expense and EBITDA for the prior period by adding to, or subtracting from, the corresponding revenue or expense generated by the acquired or divested assets before our acquisition or divestiture of these assets for the same time frame that those assets were owned in the current period. In calculating acquisition-adjusted results, therefore, we include revenue and expenses generated by assets that we did not own in the prior period but acquired in the current period. We refer to the amount of pre-acquisition revenue and expense generated by or subtracted from the acquired assets during the prior period that corresponds with the current period in which we owned the assets (to the extent within the period to which this report relates) as “acquisition-adjusted results”.</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consolidated expense adjusts our total operating expense to remove the impact of stock-based compensation, depreciation and amortization, transaction expenses, capitalized contract fulfillment costs, net, and loss (gain) on disposition of assets and investments. The prior period is also adjusted to include the expense generated by the acquired or divested assets before our acquisition or divestiture of such assets for the same time frame that those assets were owned in the current period.</w:t>
      </w:r>
    </w:p>
    <w:p>
      <w:pPr>
        <w:spacing w:after="0" w:line="207"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Adjusted EBITDA, FFO, AFFO, diluted AFFO per share, free cash flow, outdoor operating income, acquisition-adjusted results and acquisition-adjusted consolidated expense are not intended to replace other performance measures determined in accordance with GAAP. Free cash flow, FFO and AFFO do not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Adjusted EBITDA, free cash flow, FFO, AFFO, diluted AFFO per share, outdoor operating income, acquisition-adjusted results and acquisition-adjusted consolidated expense are presented as we believe each is a useful indicator of our current operating performance. Specifically,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it excludes the impact of depreciation and amortization, which may vary significantly among companies, depending upon accounting methods and useful lives, particularly where acquisitions and non-operating factors are involved; (3) adjusted EBITDA, FFO, AFFO, diluted AFFO per share and acquisition-adjusted consolidated expense each provides investors with a meaningful measure for evaluating our period-over-period operating performance by eliminating items that are not operational in nature and reflect the impact on operations from trends in occupancy rates, operating costs, general and administrative expenses and interest costs; (4) acquisition-adjusted results is a supplement to enable investors to compare period-over-period results on a more consistent basis without the effects of acquisitions and divestitures, which reflects our core performance and organic growth (if any) during the period in which the assets were owned and managed by us; (5) free cash flow is an indicator of our ability to service debt and generate cash for acquisitions and other strategic investments; (6) outdoor operating income provides investors a measurement of our core results without the impact of fluctuations in stock-based compensation, depreciation and amortization and corporate expenses; and (7) each of our Non-GAAP measures provides investors with a measure for comparing our results of operations to those of other companies.</w:t>
      </w:r>
    </w:p>
    <w:p>
      <w:pPr>
        <w:spacing w:after="0" w:line="2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measurement of adjusted EBITDA, FFO, AFFO, diluted AFFO per share, free cash flow, outdoor operating income, acquisition-adjusted results and acquisition-adjusted consolidated expense may not, however, be fully comparable to similarly titled measures used by other companies. Reconciliations of adjusted EBITDA, FFO, AFFO, diluted AFFO per share, free cash flow, outdoor operating income, acquisition-adjusted results and acquisition-adjusted consolidated expense to the most directly comparable GAAP measures have been included herein.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 conference call will be held to discuss the Company’s operating results on Friday, August 8, 2025 at 8:00 a.m. central time. Instructions for the conference call and Webcast are provided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Conference Call</w:t>
            </w: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All Callers:</w:t>
            </w:r>
          </w:p>
        </w:tc>
        <w:tc>
          <w:tcPr>
            <w:tcW w:w="560" w:type="dxa"/>
            <w:vAlign w:val="bottom"/>
          </w:tcPr>
          <w:p>
            <w:pPr>
              <w:spacing w:after="0"/>
              <w:rPr>
                <w:sz w:val="24"/>
                <w:szCs w:val="24"/>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1-800-420-1271 or 1-785-424-1634</w:t>
            </w:r>
          </w:p>
        </w:tc>
        <w:tc>
          <w:tcPr>
            <w:tcW w:w="0" w:type="dxa"/>
            <w:vAlign w:val="bottom"/>
          </w:tcPr>
          <w:p>
            <w:pPr>
              <w:spacing w:after="0"/>
              <w:rPr>
                <w:sz w:val="1"/>
                <w:szCs w:val="1"/>
                <w:color w:val="auto"/>
              </w:rPr>
            </w:pPr>
          </w:p>
        </w:tc>
      </w:tr>
      <w:tr>
        <w:trPr>
          <w:trHeight w:val="27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Passcode:</w:t>
            </w: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63104</w:t>
            </w: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Webcast:</w:t>
            </w: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ir.lamar.com</w:t>
            </w:r>
          </w:p>
        </w:tc>
        <w:tc>
          <w:tcPr>
            <w:tcW w:w="0" w:type="dxa"/>
            <w:vAlign w:val="bottom"/>
          </w:tcPr>
          <w:p>
            <w:pPr>
              <w:spacing w:after="0"/>
              <w:rPr>
                <w:sz w:val="1"/>
                <w:szCs w:val="1"/>
                <w:color w:val="auto"/>
              </w:rPr>
            </w:pPr>
          </w:p>
        </w:tc>
      </w:tr>
      <w:tr>
        <w:trPr>
          <w:trHeight w:val="20"/>
        </w:trPr>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Webcast Replay:</w:t>
            </w: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800" w:type="dxa"/>
            <w:vAlign w:val="bottom"/>
            <w:gridSpan w:val="2"/>
            <w:vMerge w:val="continue"/>
          </w:tcPr>
          <w:p>
            <w:pPr>
              <w:spacing w:after="0"/>
              <w:rPr>
                <w:sz w:val="24"/>
                <w:szCs w:val="24"/>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ir.lamar.com</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333333"/>
                <w:w w:val="99"/>
              </w:rPr>
              <w:t>Available through Friday, August 15, 2025 at 11:59 p.m. eastern time</w:t>
            </w:r>
          </w:p>
        </w:tc>
        <w:tc>
          <w:tcPr>
            <w:tcW w:w="0" w:type="dxa"/>
            <w:vAlign w:val="bottom"/>
          </w:tcPr>
          <w:p>
            <w:pPr>
              <w:spacing w:after="0"/>
              <w:rPr>
                <w:sz w:val="1"/>
                <w:szCs w:val="1"/>
                <w:color w:val="auto"/>
              </w:rPr>
            </w:pPr>
          </w:p>
        </w:tc>
      </w:tr>
      <w:tr>
        <w:trPr>
          <w:trHeight w:val="54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Contact:</w:t>
            </w: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Buster Kantrow</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of Investor Relations</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(225) 926-1000</w:t>
            </w: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bkantrow@lamar.com</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Information</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Founded in 1902, Lamar Advertising (Nasdaq: LAMR) is one of the largest outdoor advertising companies in North America, with over 366,000 displays across the United States and Canada. Lamar offers advertisers a variety of billboard, interstate logo, transit and airport advertising formats, helping both local businesses and national brands reach broad audiences every day. In addition to its more traditional out-of-home inventory, Lamar is proud to offer its customers the largest network of digital billboards in the United States with over 5,200 displays.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5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34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695,827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754,574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77,737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292,928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00" w:type="dxa"/>
            <w:vAlign w:val="bottom"/>
            <w:tcBorders>
              <w:top w:val="single" w:sz="8" w:color="CCEEFF"/>
              <w:bottom w:val="single" w:sz="8" w:color="CCEEFF"/>
            </w:tcBorders>
            <w:gridSpan w:val="3"/>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56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3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101,271,391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102,248,621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101,851,428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102,181,890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101,653,373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102,594,217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102,233,863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102,522,569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Free Cash Flow Computation:</w:t>
            </w:r>
          </w:p>
        </w:tc>
        <w:tc>
          <w:tcPr>
            <w:tcW w:w="3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278,383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488,604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320,196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8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AND CASH FLOW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3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Selected Balance Sheet Data:</w:t>
            </w:r>
          </w:p>
        </w:tc>
        <w:tc>
          <w:tcPr>
            <w:tcW w:w="6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49,461</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(353,206)</w:t>
            </w:r>
          </w:p>
        </w:tc>
      </w:tr>
      <w:tr>
        <w:trPr>
          <w:trHeight w:val="243"/>
        </w:trPr>
        <w:tc>
          <w:tcPr>
            <w:tcW w:w="20" w:type="dxa"/>
            <w:vAlign w:val="bottom"/>
          </w:tcPr>
          <w:p>
            <w:pPr>
              <w:spacing w:after="0"/>
              <w:rPr>
                <w:sz w:val="21"/>
                <w:szCs w:val="21"/>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6,673,968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6,586,549</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 of deferred financing costs (including current maturities)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3,210,864</w:t>
            </w:r>
          </w:p>
        </w:tc>
      </w:tr>
      <w:tr>
        <w:trPr>
          <w:trHeight w:val="243"/>
        </w:trPr>
        <w:tc>
          <w:tcPr>
            <w:tcW w:w="20" w:type="dxa"/>
            <w:vAlign w:val="bottom"/>
          </w:tcPr>
          <w:p>
            <w:pPr>
              <w:spacing w:after="0"/>
              <w:rPr>
                <w:sz w:val="21"/>
                <w:szCs w:val="21"/>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1,048,020</w:t>
            </w:r>
          </w:p>
        </w:tc>
      </w:tr>
    </w:tbl>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51"/>
        </w:trPr>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37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9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8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37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3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Selected Cash Flow Data:</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auto"/>
            </w:tcBorders>
            <w:shd w:val="clear" w:color="auto" w:fill="CCEEFF"/>
          </w:tcPr>
          <w:p>
            <w:pPr>
              <w:spacing w:after="0"/>
              <w:rPr>
                <w:sz w:val="4"/>
                <w:szCs w:val="4"/>
                <w:color w:val="auto"/>
              </w:rPr>
            </w:pPr>
          </w:p>
        </w:tc>
        <w:tc>
          <w:tcPr>
            <w:tcW w:w="3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229,487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256,342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357,232</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366,904</w:t>
            </w:r>
          </w:p>
        </w:tc>
      </w:tr>
      <w:tr>
        <w:trPr>
          <w:trHeight w:val="27"/>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99,202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33,776</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76,661</w:t>
            </w: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110,947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317,469</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22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560" w:type="dxa"/>
            <w:vAlign w:val="bottom"/>
            <w:tcBorders>
              <w:bottom w:val="single" w:sz="8" w:color="auto"/>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Reconciliation of Cash Flows Provided By Operating Activities to Free Cash</w:t>
            </w:r>
          </w:p>
        </w:tc>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4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Flow:</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229,487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357,232</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366,904</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w:t>
            </w:r>
          </w:p>
        </w:tc>
      </w:tr>
      <w:tr>
        <w:trPr>
          <w:trHeight w:val="243"/>
        </w:trPr>
        <w:tc>
          <w:tcPr>
            <w:tcW w:w="20" w:type="dxa"/>
            <w:vAlign w:val="bottom"/>
          </w:tcPr>
          <w:p>
            <w:pPr>
              <w:spacing w:after="0"/>
              <w:rPr>
                <w:sz w:val="21"/>
                <w:szCs w:val="21"/>
                <w:color w:val="auto"/>
              </w:rPr>
            </w:pPr>
          </w:p>
        </w:tc>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(52,130)</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20" w:type="dxa"/>
            <w:vAlign w:val="bottom"/>
          </w:tcPr>
          <w:p>
            <w:pPr>
              <w:spacing w:after="0"/>
              <w:rPr>
                <w:sz w:val="21"/>
                <w:szCs w:val="21"/>
                <w:color w:val="auto"/>
              </w:rPr>
            </w:pPr>
          </w:p>
        </w:tc>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199,082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320,196</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342,192</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auto"/>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Reconciliation of Net Income to Adjusted EBITDA:</w:t>
            </w:r>
          </w:p>
        </w:tc>
        <w:tc>
          <w:tcPr>
            <w:tcW w:w="182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294,245</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216,093</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88,824</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7"/>
        </w:trPr>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388,914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308,827</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155,931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r>
      <w:tr>
        <w:trPr>
          <w:trHeight w:val="264"/>
        </w:trPr>
        <w:tc>
          <w:tcPr>
            <w:tcW w:w="20" w:type="dxa"/>
            <w:vAlign w:val="bottom"/>
          </w:tcPr>
          <w:p>
            <w:pPr>
              <w:spacing w:after="0"/>
              <w:rPr>
                <w:sz w:val="22"/>
                <w:szCs w:val="22"/>
                <w:color w:val="auto"/>
              </w:rPr>
            </w:pPr>
          </w:p>
        </w:tc>
        <w:tc>
          <w:tcPr>
            <w:tcW w:w="5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271,554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488,604</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483,476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20" w:type="dxa"/>
            <w:vAlign w:val="bottom"/>
            <w:shd w:val="clear" w:color="auto" w:fill="CCEEFF"/>
          </w:tcPr>
          <w:p>
            <w:pPr>
              <w:spacing w:after="0"/>
              <w:rPr>
                <w:sz w:val="21"/>
                <w:szCs w:val="21"/>
                <w:color w:val="auto"/>
              </w:rPr>
            </w:pPr>
          </w:p>
        </w:tc>
        <w:tc>
          <w:tcPr>
            <w:tcW w:w="5600" w:type="dxa"/>
            <w:vAlign w:val="bottom"/>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Capital expenditure detail by category:</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Billboards - traditional</w:t>
            </w:r>
          </w:p>
        </w:tc>
        <w:tc>
          <w:tcPr>
            <w:tcW w:w="2800" w:type="dxa"/>
            <w:vAlign w:val="bottom"/>
            <w:tcBorders>
              <w:top w:val="single" w:sz="8" w:color="CCEEFF"/>
            </w:tcBorders>
            <w:gridSpan w:val="3"/>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2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12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11,013</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Billboards - digital</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Logo</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68,088</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52,130</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40" w:type="dxa"/>
            <w:vAlign w:val="bottom"/>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Reconciliation of Reported Basis to Acquisition-</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Adjusted Results</w:t>
            </w:r>
          </w:p>
        </w:tc>
        <w:tc>
          <w:tcPr>
            <w:tcW w:w="14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w w:val="97"/>
              </w:rPr>
              <w:t>(a)</w:t>
            </w:r>
          </w:p>
        </w:tc>
        <w:tc>
          <w:tcPr>
            <w:tcW w:w="1980" w:type="dxa"/>
            <w:vAlign w:val="bottom"/>
            <w:tcBorders>
              <w:top w:val="single" w:sz="8" w:color="auto"/>
              <w:bottom w:val="single" w:sz="8" w:color="auto"/>
            </w:tcBorders>
            <w:gridSpan w:val="2"/>
            <w:vMerge w:val="restart"/>
            <w:shd w:val="clear" w:color="auto" w:fill="CCEEFF"/>
          </w:tcPr>
          <w:p>
            <w:pPr>
              <w:jc w:val="right"/>
              <w:ind w:right="1920"/>
              <w:spacing w:after="0" w:line="196" w:lineRule="exact"/>
              <w:rPr>
                <w:sz w:val="20"/>
                <w:szCs w:val="20"/>
                <w:color w:val="auto"/>
              </w:rPr>
            </w:pPr>
            <w:r>
              <w:rPr>
                <w:rFonts w:ascii="Times New Roman" w:cs="Times New Roman" w:eastAsia="Times New Roman" w:hAnsi="Times New Roman"/>
                <w:sz w:val="18"/>
                <w:szCs w:val="18"/>
                <w:u w:val="single" w:color="auto"/>
                <w:color w:val="auto"/>
                <w:w w:val="78"/>
              </w:rPr>
              <w:t>:</w:t>
            </w:r>
          </w:p>
        </w:tc>
        <w:tc>
          <w:tcPr>
            <w:tcW w:w="32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86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9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shd w:val="clear" w:color="auto" w:fill="CCEEFF"/>
          </w:tcPr>
          <w:p>
            <w:pPr>
              <w:spacing w:after="0"/>
              <w:rPr>
                <w:sz w:val="10"/>
                <w:szCs w:val="10"/>
                <w:color w:val="auto"/>
              </w:rPr>
            </w:pPr>
          </w:p>
        </w:tc>
        <w:tc>
          <w:tcPr>
            <w:tcW w:w="9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10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auto"/>
            </w:tcBorders>
            <w:vMerge w:val="continue"/>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980" w:type="dxa"/>
            <w:vAlign w:val="bottom"/>
            <w:tcBorders>
              <w:bottom w:val="single" w:sz="8" w:color="CCEEFF"/>
            </w:tcBorders>
            <w:gridSpan w:val="2"/>
            <w:vMerge w:val="continue"/>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1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84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579,311</w:t>
            </w:r>
          </w:p>
        </w:tc>
        <w:tc>
          <w:tcPr>
            <w:tcW w:w="34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565,251</w:t>
            </w:r>
          </w:p>
        </w:tc>
        <w:tc>
          <w:tcPr>
            <w:tcW w:w="1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320" w:type="dxa"/>
            <w:vAlign w:val="bottom"/>
            <w:tcBorders>
              <w:top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1,063,401</w:t>
            </w:r>
          </w:p>
        </w:tc>
        <w:tc>
          <w:tcPr>
            <w:tcW w:w="1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Acquisition-adjusted net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579,311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568,382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1,084,741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1,068,422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direct advertising and G&amp;A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273,835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526,713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840" w:type="dxa"/>
            <w:vAlign w:val="bottom"/>
            <w:gridSpan w:val="6"/>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Acquisition-adjusted direct advertising and G&amp;A</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273,835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269,533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530,029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Outdoor operating income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297,462</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536,688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divestitures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Acquisition-adjusted outdoor operating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305,476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298,849</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542,083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538,393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corporate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Acquisition-adjusted corporate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271,554</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483,476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Acquisition-adjusted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272,941</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488,604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485,181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Acquisition-adjusted net revenue, direct advertising and general and administrative expenses, outdoor operating income, corporate expenses and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EBITDA  include  adjustments  to  2024  for</w:t>
            </w:r>
          </w:p>
        </w:tc>
        <w:tc>
          <w:tcPr>
            <w:tcW w:w="112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acquisitions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and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divestitures</w:t>
            </w:r>
          </w:p>
        </w:tc>
        <w:tc>
          <w:tcPr>
            <w:tcW w:w="10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for  the  same</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time  frame</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actually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owned  in</w:t>
            </w:r>
          </w:p>
        </w:tc>
      </w:tr>
      <w:tr>
        <w:trPr>
          <w:trHeight w:val="234"/>
        </w:trPr>
        <w:tc>
          <w:tcPr>
            <w:tcW w:w="7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2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16"/>
                <w:szCs w:val="16"/>
                <w:color w:val="auto"/>
              </w:rPr>
            </w:pPr>
          </w:p>
        </w:tc>
        <w:tc>
          <w:tcPr>
            <w:tcW w:w="8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auto"/>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Reconciliation of Net Income to Outdoor Operating</w:t>
            </w:r>
          </w:p>
        </w:tc>
        <w:tc>
          <w:tcPr>
            <w:tcW w:w="4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Income:</w:t>
            </w:r>
          </w:p>
        </w:tc>
        <w:tc>
          <w:tcPr>
            <w:tcW w:w="340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294,245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36.2 %</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197,681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388,914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308,827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Outdoor operating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305,476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297,462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542,083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536,688</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88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1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3340" w:type="dxa"/>
            <w:vAlign w:val="bottom"/>
            <w:tcBorders>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Reconciliation of Total Operating Expenses to</w:t>
            </w:r>
          </w:p>
        </w:tc>
        <w:tc>
          <w:tcPr>
            <w:tcW w:w="82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Acquisition-Adjusted Consolidated Expense:</w:t>
            </w: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695,827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Acquisition-adjusted consolidated expense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300,928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596,137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88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REIT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RECONCILIATIONS TO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5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0" w:type="dxa"/>
            <w:vAlign w:val="bottom"/>
            <w:tcBorders>
              <w:bottom w:val="single" w:sz="8" w:color="CCEEFF"/>
            </w:tcBorders>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3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Adjusted Funds from Operations:</w:t>
            </w:r>
          </w:p>
        </w:tc>
        <w:tc>
          <w:tcPr>
            <w:tcW w:w="3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294,245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216,093</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144,122</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7"/>
        </w:trPr>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 from operations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225,342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381,484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357,779</w:t>
            </w:r>
          </w:p>
        </w:tc>
      </w:tr>
      <w:tr>
        <w:trPr>
          <w:trHeight w:val="27"/>
        </w:trPr>
        <w:tc>
          <w:tcPr>
            <w:tcW w:w="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Straight-line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25,616</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expenditures-maintenance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(24,454)</w:t>
            </w: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7"/>
        </w:trPr>
        <w:tc>
          <w:tcPr>
            <w:tcW w:w="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225,282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213,517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389,590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Divided by weighted average diluted common shares outstanding</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101,653,373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102,594,217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102,233,863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102,522,569</w:t>
            </w:r>
          </w:p>
        </w:tc>
      </w:tr>
      <w:tr>
        <w:trPr>
          <w:trHeight w:val="27"/>
        </w:trPr>
        <w:tc>
          <w:tcPr>
            <w:tcW w:w="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AFFO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88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REIT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RECONCILIATIONS TO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Revised projected 2025 Adjusted Funds From Operations: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13"/>
        </w:trPr>
        <w:tc>
          <w:tcPr>
            <w:tcW w:w="8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Year ended December 31, 2025</w:t>
            </w:r>
          </w:p>
        </w:tc>
      </w:tr>
      <w:tr>
        <w:trPr>
          <w:trHeight w:val="27"/>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Low</w:t>
            </w: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High</w:t>
            </w:r>
          </w:p>
        </w:tc>
      </w:tr>
      <w:tr>
        <w:trPr>
          <w:trHeight w:val="27"/>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627,400</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293,000</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(77,600)</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841,300</w:t>
            </w:r>
          </w:p>
        </w:tc>
      </w:tr>
      <w:tr>
        <w:trPr>
          <w:trHeight w:val="237"/>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Straight-line expense</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expenditures-maintenance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6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841,500</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102,615,000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102,615,000</w:t>
            </w: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7"/>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AFFO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guidance provided above is based on a number of assumptions that management believes to be reasonable and reflects our expectations as of August 8, 2025. Actual results may differ materially from these estimates as a result of various factors, and we refer to the cautionary language regarding “forward-looking statements” included in the press release when considering this information.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25"/>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2025-08-08T06:05:22Z</dcterms:created>
  <dcterms:modified xsi:type="dcterms:W3CDTF">2025-08-08T06:05:22Z</dcterms:modified>
</cp:coreProperties>
</file>