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15"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2022</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240" w:type="dxa"/>
            <w:vAlign w:val="bottom"/>
          </w:tcPr>
          <w:p>
            <w:pPr>
              <w:spacing w:after="0"/>
              <w:rPr>
                <w:sz w:val="14"/>
                <w:szCs w:val="14"/>
                <w:color w:val="auto"/>
              </w:rPr>
            </w:pPr>
          </w:p>
        </w:tc>
        <w:tc>
          <w:tcPr>
            <w:tcW w:w="5480" w:type="dxa"/>
            <w:vAlign w:val="bottom"/>
          </w:tcPr>
          <w:p>
            <w:pPr>
              <w:ind w:left="5300"/>
              <w:spacing w:after="0"/>
              <w:rPr>
                <w:sz w:val="20"/>
                <w:szCs w:val="20"/>
                <w:color w:val="auto"/>
              </w:rPr>
            </w:pPr>
            <w:r>
              <w:rPr>
                <w:rFonts w:ascii="Times New Roman" w:cs="Times New Roman" w:eastAsia="Times New Roman" w:hAnsi="Times New Roman"/>
                <w:sz w:val="13"/>
                <w:szCs w:val="13"/>
                <w:b w:val="1"/>
                <w:bCs w:val="1"/>
                <w:color w:val="auto"/>
              </w:rPr>
              <w:t>or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97"/>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4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8"/>
        </w:trPr>
        <w:tc>
          <w:tcPr>
            <w:tcW w:w="240" w:type="dxa"/>
            <w:vAlign w:val="bottom"/>
          </w:tcPr>
          <w:p>
            <w:pPr>
              <w:spacing w:after="0"/>
              <w:rPr>
                <w:sz w:val="22"/>
                <w:szCs w:val="22"/>
                <w:color w:val="auto"/>
              </w:rPr>
            </w:pPr>
          </w:p>
        </w:tc>
        <w:tc>
          <w:tcPr>
            <w:tcW w:w="5480" w:type="dxa"/>
            <w:vAlign w:val="bottom"/>
          </w:tcPr>
          <w:p>
            <w:pPr>
              <w:ind w:left="382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620" w:type="dxa"/>
            <w:vAlign w:val="bottom"/>
            <w:tcBorders>
              <w:bottom w:val="single" w:sz="8" w:color="auto"/>
            </w:tcBorders>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4150995</wp:posOffset>
            </wp:positionH>
            <wp:positionV relativeFrom="paragraph">
              <wp:posOffset>-8255</wp:posOffset>
            </wp:positionV>
            <wp:extent cx="400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Commission File Number 1-36756</w:t>
      </w:r>
    </w:p>
    <w:p>
      <w:pPr>
        <w:spacing w:after="0" w:line="1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Advertising Company</w:t>
      </w:r>
    </w:p>
    <w:p>
      <w:pPr>
        <w:spacing w:after="0" w:line="3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Commission File Number 1-12407</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Media Corp.</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registrants as specified in their charters)</w:t>
      </w:r>
    </w:p>
    <w:p>
      <w:pPr>
        <w:spacing w:after="0" w:line="3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175"/>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175"/>
        </w:trPr>
        <w:tc>
          <w:tcPr>
            <w:tcW w:w="7300" w:type="dxa"/>
            <w:vAlign w:val="bottom"/>
            <w:gridSpan w:val="4"/>
          </w:tcPr>
          <w:p>
            <w:pPr>
              <w:jc w:val="center"/>
              <w:ind w:right="2000"/>
              <w:spacing w:after="0"/>
              <w:rPr>
                <w:sz w:val="20"/>
                <w:szCs w:val="20"/>
                <w:color w:val="auto"/>
              </w:rPr>
            </w:pPr>
            <w:r>
              <w:rPr>
                <w:rFonts w:ascii="Times New Roman" w:cs="Times New Roman" w:eastAsia="Times New Roman" w:hAnsi="Times New Roman"/>
                <w:sz w:val="13"/>
                <w:szCs w:val="13"/>
                <w:b w:val="1"/>
                <w:bCs w:val="1"/>
                <w:i w:val="1"/>
                <w:iCs w:val="1"/>
                <w:color w:val="auto"/>
                <w:w w:val="97"/>
              </w:rPr>
              <w:t>(State or other jurisdiction of incorporation or organization)</w:t>
            </w:r>
          </w:p>
        </w:tc>
        <w:tc>
          <w:tcPr>
            <w:tcW w:w="3740" w:type="dxa"/>
            <w:vAlign w:val="bottom"/>
          </w:tcPr>
          <w:p>
            <w:pPr>
              <w:jc w:val="center"/>
              <w:ind w:right="155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351"/>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2"/>
              </w:rPr>
              <w:t>70808</w:t>
            </w:r>
          </w:p>
        </w:tc>
      </w:tr>
      <w:tr>
        <w:trPr>
          <w:trHeight w:val="176"/>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78"/>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(225) 926-1000</w:t>
            </w:r>
          </w:p>
        </w:tc>
        <w:tc>
          <w:tcPr>
            <w:tcW w:w="3740" w:type="dxa"/>
            <w:vAlign w:val="bottom"/>
          </w:tcPr>
          <w:p>
            <w:pPr>
              <w:spacing w:after="0"/>
              <w:rPr>
                <w:sz w:val="24"/>
                <w:szCs w:val="24"/>
                <w:color w:val="auto"/>
              </w:rPr>
            </w:pPr>
          </w:p>
        </w:tc>
      </w:tr>
      <w:tr>
        <w:trPr>
          <w:trHeight w:val="189"/>
        </w:trPr>
        <w:tc>
          <w:tcPr>
            <w:tcW w:w="3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740" w:type="dxa"/>
            <w:vAlign w:val="bottom"/>
          </w:tcPr>
          <w:p>
            <w:pPr>
              <w:spacing w:after="0"/>
              <w:rPr>
                <w:sz w:val="16"/>
                <w:szCs w:val="16"/>
                <w:color w:val="auto"/>
              </w:rPr>
            </w:pPr>
          </w:p>
        </w:tc>
      </w:tr>
      <w:tr>
        <w:trPr>
          <w:trHeight w:val="117"/>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130"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80" w:type="dxa"/>
            <w:vAlign w:val="bottom"/>
          </w:tcPr>
          <w:p>
            <w:pPr>
              <w:ind w:left="600"/>
              <w:spacing w:after="0"/>
              <w:rPr>
                <w:sz w:val="20"/>
                <w:szCs w:val="20"/>
                <w:color w:val="auto"/>
              </w:rPr>
            </w:pPr>
            <w:r>
              <w:rPr>
                <w:rFonts w:ascii="Arial" w:cs="Arial" w:eastAsia="Arial" w:hAnsi="Arial"/>
                <w:sz w:val="13"/>
                <w:szCs w:val="13"/>
                <w:color w:val="auto"/>
              </w:rPr>
              <w:t>x</w:t>
            </w:r>
          </w:p>
        </w:tc>
        <w:tc>
          <w:tcPr>
            <w:tcW w:w="4660" w:type="dxa"/>
            <w:vAlign w:val="bottom"/>
          </w:tcPr>
          <w:p>
            <w:pPr>
              <w:ind w:left="2580"/>
              <w:spacing w:after="0"/>
              <w:rPr>
                <w:sz w:val="20"/>
                <w:szCs w:val="20"/>
                <w:color w:val="auto"/>
              </w:rPr>
            </w:pPr>
            <w:r>
              <w:rPr>
                <w:rFonts w:ascii="Times New Roman" w:cs="Times New Roman" w:eastAsia="Times New Roman" w:hAnsi="Times New Roman"/>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5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132"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40" w:type="dxa"/>
            <w:vAlign w:val="bottom"/>
          </w:tcPr>
          <w:p>
            <w:pPr>
              <w:ind w:left="580"/>
              <w:spacing w:after="0"/>
              <w:rPr>
                <w:sz w:val="20"/>
                <w:szCs w:val="20"/>
                <w:color w:val="auto"/>
              </w:rPr>
            </w:pPr>
            <w:r>
              <w:rPr>
                <w:rFonts w:ascii="Arial" w:cs="Arial" w:eastAsia="Arial" w:hAnsi="Arial"/>
                <w:sz w:val="13"/>
                <w:szCs w:val="13"/>
                <w:color w:val="auto"/>
              </w:rPr>
              <w:t>x</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119"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40"/>
          </w:cols>
          <w:pgMar w:left="320" w:top="1161" w:right="339" w:bottom="1440" w:gutter="0" w:footer="0" w:header="0"/>
        </w:sectPr>
      </w:pP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98"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No </w:t>
      </w:r>
      <w:r>
        <w:rPr>
          <w:rFonts w:ascii="Arial" w:cs="Arial" w:eastAsia="Arial" w:hAnsi="Arial"/>
          <w:sz w:val="13"/>
          <w:szCs w:val="13"/>
          <w:color w:val="auto"/>
        </w:rPr>
        <w:t>x</w:t>
      </w:r>
    </w:p>
    <w:p>
      <w:pPr>
        <w:spacing w:after="0" w:line="32" w:lineRule="exact"/>
        <w:rPr>
          <w:sz w:val="24"/>
          <w:szCs w:val="24"/>
          <w:color w:val="auto"/>
        </w:rPr>
      </w:pPr>
    </w:p>
    <w:p>
      <w:pPr>
        <w:sectPr>
          <w:pgSz w:w="11900" w:h="16838" w:orient="portrait"/>
          <w:cols w:equalWidth="0" w:num="4">
            <w:col w:w="6540" w:space="120"/>
            <w:col w:w="200" w:space="60"/>
            <w:col w:w="100" w:space="120"/>
            <w:col w:w="4100"/>
          </w:cols>
          <w:pgMar w:left="320" w:top="1161" w:right="3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64" w:lineRule="exact"/>
        <w:rPr>
          <w:sz w:val="24"/>
          <w:szCs w:val="24"/>
          <w:color w:val="auto"/>
        </w:rPr>
      </w:pPr>
    </w:p>
    <w:p>
      <w:pPr>
        <w:sectPr>
          <w:pgSz w:w="11900" w:h="16838" w:orient="portrait"/>
          <w:cols w:equalWidth="0" w:num="5">
            <w:col w:w="6060" w:space="120"/>
            <w:col w:w="200" w:space="60"/>
            <w:col w:w="100" w:space="120"/>
            <w:col w:w="160" w:space="60"/>
            <w:col w:w="4360"/>
          </w:cols>
          <w:pgMar w:left="320" w:top="11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The number of shares of Lamar Advertising Company’s Class A common stock outstanding as of April 29, 2022: 87,062,017</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number of shares of the Lamar Advertising Company’s Class B common stock outstanding as of April 29, 2022: 14,420,085</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Lamar Media Corp. common stock outstanding as of April 29, 2022: 100</w:t>
      </w:r>
    </w:p>
    <w:p>
      <w:pPr>
        <w:sectPr>
          <w:pgSz w:w="11900" w:h="16838" w:orient="portrait"/>
          <w:cols w:equalWidth="0" w:num="1">
            <w:col w:w="11240"/>
          </w:cols>
          <w:pgMar w:left="320" w:top="1161" w:right="339" w:bottom="1440" w:gutter="0" w:footer="0" w:header="0"/>
          <w:type w:val="continuous"/>
        </w:sectPr>
      </w:pPr>
    </w:p>
    <w:p>
      <w:pPr>
        <w:spacing w:after="0" w:line="51" w:lineRule="exact"/>
        <w:rPr>
          <w:sz w:val="24"/>
          <w:szCs w:val="24"/>
          <w:color w:val="auto"/>
        </w:rPr>
      </w:pPr>
    </w:p>
    <w:p>
      <w:pPr>
        <w:spacing w:after="0" w:line="295" w:lineRule="auto"/>
        <w:rPr>
          <w:sz w:val="20"/>
          <w:szCs w:val="20"/>
          <w:color w:val="auto"/>
        </w:rPr>
      </w:pPr>
      <w:r>
        <w:rPr>
          <w:rFonts w:ascii="Times New Roman" w:cs="Times New Roman" w:eastAsia="Times New Roman" w:hAnsi="Times New Roman"/>
          <w:sz w:val="13"/>
          <w:szCs w:val="13"/>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Times New Roman" w:cs="Times New Roman" w:eastAsia="Times New Roman" w:hAnsi="Times New Roman"/>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dividend distributions;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2" w:lineRule="exact"/>
        <w:rPr>
          <w:sz w:val="20"/>
          <w:szCs w:val="20"/>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 including inflationary pressures;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impact of the COVID-19 pandemic on our operations and on general economic conditions;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2021 of the Company and Lamar Media (the “2021 Combined Form 10-K”), filed on February 25, 2022,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20" w:type="dxa"/>
            <w:vAlign w:val="bottom"/>
            <w:gridSpan w:val="19"/>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420" w:type="dxa"/>
            <w:vAlign w:val="bottom"/>
            <w:gridSpan w:val="19"/>
            <w:vMerge w:val="continue"/>
          </w:tcPr>
          <w:p>
            <w:pPr>
              <w:spacing w:after="0"/>
              <w:rPr>
                <w:sz w:val="14"/>
                <w:szCs w:val="14"/>
                <w:color w:val="auto"/>
              </w:rPr>
            </w:pPr>
          </w:p>
        </w:tc>
        <w:tc>
          <w:tcPr>
            <w:tcW w:w="7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26"/>
        </w:trPr>
        <w:tc>
          <w:tcPr>
            <w:tcW w:w="3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48"/>
        </w:trPr>
        <w:tc>
          <w:tcPr>
            <w:tcW w:w="2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0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2022 and December 31, 2021</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3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months ended March 31, 2022 and 2021</w:t>
            </w: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8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2022 and 2021</w:t>
            </w:r>
          </w:p>
        </w:tc>
        <w:tc>
          <w:tcPr>
            <w:tcW w:w="170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7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2022 and 2021</w:t>
            </w:r>
          </w:p>
        </w:tc>
        <w:tc>
          <w:tcPr>
            <w:tcW w:w="2380" w:type="dxa"/>
            <w:vAlign w:val="bottom"/>
            <w:gridSpan w:val="5"/>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2022 and December 31, 2021</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months ended March 31, 2022 and 2021</w:t>
            </w:r>
          </w:p>
        </w:tc>
        <w:tc>
          <w:tcPr>
            <w:tcW w:w="620" w:type="dxa"/>
            <w:vAlign w:val="bottom"/>
            <w:gridSpan w:val="2"/>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2022 and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75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2022 and 2021</w:t>
            </w:r>
          </w:p>
        </w:tc>
        <w:tc>
          <w:tcPr>
            <w:tcW w:w="640" w:type="dxa"/>
            <w:vAlign w:val="bottom"/>
            <w:tcBorders>
              <w:top w:val="single" w:sz="8" w:color="0000FF"/>
            </w:tcBorders>
          </w:tcPr>
          <w:p>
            <w:pPr>
              <w:spacing w:after="0"/>
              <w:rPr>
                <w:sz w:val="18"/>
                <w:szCs w:val="18"/>
                <w:color w:val="auto"/>
              </w:rPr>
            </w:pPr>
          </w:p>
        </w:tc>
        <w:tc>
          <w:tcPr>
            <w:tcW w:w="174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318"/>
        </w:trPr>
        <w:tc>
          <w:tcPr>
            <w:tcW w:w="50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0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58"/>
        </w:trPr>
        <w:tc>
          <w:tcPr>
            <w:tcW w:w="2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98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58"/>
        </w:trPr>
        <w:tc>
          <w:tcPr>
            <w:tcW w:w="2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6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58"/>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0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58"/>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58"/>
        </w:trPr>
        <w:tc>
          <w:tcPr>
            <w:tcW w:w="12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00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99,788</w:t>
            </w:r>
          </w:p>
        </w:tc>
      </w:tr>
      <w:tr>
        <w:trPr>
          <w:trHeight w:val="195"/>
        </w:trPr>
        <w:tc>
          <w:tcPr>
            <w:tcW w:w="8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$10,293 and $11,195 in 2022 and 2021, respectively</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269,917</w:t>
            </w: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18,902</w:t>
            </w:r>
          </w:p>
        </w:tc>
      </w:tr>
      <w:tr>
        <w:trPr>
          <w:trHeight w:val="190"/>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407,646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388,607</w:t>
            </w: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3,806,905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3,782,288</w:t>
            </w:r>
          </w:p>
        </w:tc>
      </w:tr>
      <w:tr>
        <w:trPr>
          <w:trHeight w:val="19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(2,465,436)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(2,445,014)</w:t>
            </w:r>
          </w:p>
        </w:tc>
      </w:tr>
      <w:tr>
        <w:trPr>
          <w:trHeight w:val="19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1,341,469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1,337,274</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jc w:val="both"/>
        <w:ind w:left="20"/>
        <w:spacing w:after="0" w:line="297" w:lineRule="auto"/>
        <w:rPr>
          <w:sz w:val="20"/>
          <w:szCs w:val="20"/>
          <w:color w:val="auto"/>
        </w:rPr>
      </w:pPr>
      <w:r>
        <w:rPr>
          <w:rFonts w:ascii="Times New Roman" w:cs="Times New Roman" w:eastAsia="Times New Roman" w:hAnsi="Times New Roman"/>
          <w:sz w:val="14"/>
          <w:szCs w:val="14"/>
          <w:color w:val="auto"/>
        </w:rPr>
        <w:t>Operating lease right of use assets Financing lease right of use assets Goodwill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6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1,236,538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1,224,672</w:t>
            </w:r>
          </w:p>
        </w:tc>
      </w:tr>
      <w:tr>
        <w:trPr>
          <w:trHeight w:val="193"/>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16,890</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1,936,465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1,936,426</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1,061,391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1,045,177</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94,177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98,448</w:t>
            </w:r>
          </w:p>
        </w:tc>
      </w:tr>
      <w:tr>
        <w:trPr>
          <w:trHeight w:val="23"/>
        </w:trPr>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6,093,863</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-641985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-384810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-127635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-85725</wp:posOffset>
            </wp:positionV>
            <wp:extent cx="205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1980" w:space="460"/>
            <w:col w:w="8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Trade accounts payable</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13,006</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$528 and $585 in 2022 and 2021, respectively</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174,836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174,778</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166,275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198,286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84,869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135,038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131,352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137,103</w:t>
            </w:r>
          </w:p>
        </w:tc>
        <w:tc>
          <w:tcPr>
            <w:tcW w:w="0" w:type="dxa"/>
            <w:vAlign w:val="bottom"/>
          </w:tcPr>
          <w:p>
            <w:pPr>
              <w:spacing w:after="0"/>
              <w:rPr>
                <w:sz w:val="1"/>
                <w:szCs w:val="1"/>
                <w:color w:val="auto"/>
              </w:rPr>
            </w:pPr>
          </w:p>
        </w:tc>
      </w:tr>
      <w:tr>
        <w:trPr>
          <w:trHeight w:val="189"/>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571,669</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662,965</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$34,943 and $36,274 in 2022 and 2021, respectively</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2,955,138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2,838,817</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1,007,403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995,356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17,277</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273,856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269,367</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38,935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40,207</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4,870,002</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4,830,405</w:t>
            </w:r>
          </w:p>
        </w:tc>
        <w:tc>
          <w:tcPr>
            <w:tcW w:w="0" w:type="dxa"/>
            <w:vAlign w:val="bottom"/>
          </w:tcPr>
          <w:p>
            <w:pPr>
              <w:spacing w:after="0"/>
              <w:rPr>
                <w:sz w:val="1"/>
                <w:szCs w:val="1"/>
                <w:color w:val="auto"/>
              </w:rPr>
            </w:pPr>
          </w:p>
        </w:tc>
      </w:tr>
      <w:tr>
        <w:trPr>
          <w:trHeight w:val="17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w:t>
            </w:r>
          </w:p>
        </w:tc>
        <w:tc>
          <w:tcPr>
            <w:tcW w:w="5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outstanding at 2022 and 2021</w:t>
            </w:r>
          </w:p>
        </w:tc>
        <w:tc>
          <w:tcPr>
            <w:tcW w:w="5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0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Class A common stock, par value $0.001, 362,500,000 shares authorized; 87,845,125 and 87,540,838 shares issued at 2022 and 2021,</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8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respectively; 87,062,017 and 86,852,821 outstanding at 2022 and 2021, respectively</w:t>
            </w: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2022 and 2021</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2,037,845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2,001,399</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comprehensive income</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(753,957)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(734,415)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shares held in treasury, 783,108 and 688,017 shares at 2022 and 2021, respectively</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(50,852)</w:t>
            </w:r>
          </w:p>
        </w:tc>
        <w:tc>
          <w:tcPr>
            <w:tcW w:w="0" w:type="dxa"/>
            <w:vAlign w:val="bottom"/>
          </w:tcPr>
          <w:p>
            <w:pPr>
              <w:spacing w:after="0"/>
              <w:rPr>
                <w:sz w:val="1"/>
                <w:szCs w:val="1"/>
                <w:color w:val="auto"/>
              </w:rPr>
            </w:pPr>
          </w:p>
        </w:tc>
      </w:tr>
      <w:tr>
        <w:trPr>
          <w:trHeight w:val="190"/>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1,223,861</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1,217,089</w:t>
            </w:r>
          </w:p>
        </w:tc>
        <w:tc>
          <w:tcPr>
            <w:tcW w:w="0" w:type="dxa"/>
            <w:vAlign w:val="bottom"/>
          </w:tcPr>
          <w:p>
            <w:pPr>
              <w:spacing w:after="0"/>
              <w:rPr>
                <w:sz w:val="1"/>
                <w:szCs w:val="1"/>
                <w:color w:val="auto"/>
              </w:rPr>
            </w:pPr>
          </w:p>
        </w:tc>
      </w:tr>
      <w:tr>
        <w:trPr>
          <w:trHeight w:val="228"/>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6,093,863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6,047,494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451,388</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370,881</w:t>
            </w:r>
          </w:p>
        </w:tc>
        <w:tc>
          <w:tcPr>
            <w:tcW w:w="0" w:type="dxa"/>
            <w:vAlign w:val="bottom"/>
          </w:tcPr>
          <w:p>
            <w:pPr>
              <w:spacing w:after="0"/>
              <w:rPr>
                <w:sz w:val="1"/>
                <w:szCs w:val="1"/>
                <w:color w:val="auto"/>
              </w:rPr>
            </w:pPr>
          </w:p>
        </w:tc>
      </w:tr>
      <w:tr>
        <w:trPr>
          <w:trHeight w:val="21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131,215</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72,649</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68,627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3"/>
        </w:trPr>
        <w:tc>
          <w:tcPr>
            <w:tcW w:w="8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330,932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281,958</w:t>
            </w:r>
          </w:p>
        </w:tc>
        <w:tc>
          <w:tcPr>
            <w:tcW w:w="0" w:type="dxa"/>
            <w:vAlign w:val="bottom"/>
          </w:tcPr>
          <w:p>
            <w:pPr>
              <w:spacing w:after="0"/>
              <w:rPr>
                <w:sz w:val="1"/>
                <w:szCs w:val="1"/>
                <w:color w:val="auto"/>
              </w:rPr>
            </w:pP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88,923</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49,584</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dividends declared and paid on preferred stock</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used in computing 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101,339,558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100,967,861</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101,540,213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101,138,042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74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left="199"/>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Add’l</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59"/>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99"/>
              <w:spacing w:after="0" w:line="108" w:lineRule="exact"/>
              <w:rPr>
                <w:sz w:val="20"/>
                <w:szCs w:val="20"/>
                <w:color w:val="auto"/>
              </w:rPr>
            </w:pPr>
            <w:r>
              <w:rPr>
                <w:rFonts w:ascii="Times New Roman" w:cs="Times New Roman" w:eastAsia="Times New Roman" w:hAnsi="Times New Roman"/>
                <w:sz w:val="11"/>
                <w:szCs w:val="11"/>
                <w:b w:val="1"/>
                <w:bCs w:val="1"/>
                <w:color w:val="auto"/>
                <w:w w:val="98"/>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99"/>
              <w:spacing w:after="0" w:line="108" w:lineRule="exact"/>
              <w:rPr>
                <w:sz w:val="20"/>
                <w:szCs w:val="20"/>
                <w:color w:val="auto"/>
              </w:rPr>
            </w:pPr>
            <w:r>
              <w:rPr>
                <w:rFonts w:ascii="Times New Roman" w:cs="Times New Roman" w:eastAsia="Times New Roman" w:hAnsi="Times New Roman"/>
                <w:sz w:val="11"/>
                <w:szCs w:val="11"/>
                <w:b w:val="1"/>
                <w:bCs w:val="1"/>
                <w:color w:val="auto"/>
                <w:w w:val="98"/>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 in</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74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left="199"/>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left="199"/>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74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2,001,399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(734,415)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1,217,089</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241,750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30,145</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26,190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36,347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Purchase of 95,091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92,151</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shareholders ($1.10 per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(111,602)</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2,037,845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(753,957)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1,223,861</w:t>
            </w:r>
          </w:p>
        </w:tc>
        <w:tc>
          <w:tcPr>
            <w:tcW w:w="0" w:type="dxa"/>
            <w:vAlign w:val="bottom"/>
          </w:tcPr>
          <w:p>
            <w:pPr>
              <w:spacing w:after="0"/>
              <w:rPr>
                <w:sz w:val="1"/>
                <w:szCs w:val="1"/>
                <w:color w:val="auto"/>
              </w:rPr>
            </w:pPr>
          </w:p>
        </w:tc>
      </w:tr>
      <w:tr>
        <w:trPr>
          <w:trHeight w:val="634"/>
        </w:trPr>
        <w:tc>
          <w:tcPr>
            <w:tcW w:w="2460" w:type="dxa"/>
            <w:vAlign w:val="bottom"/>
          </w:tcPr>
          <w:p>
            <w:pPr>
              <w:spacing w:after="0"/>
              <w:rPr>
                <w:sz w:val="24"/>
                <w:szCs w:val="24"/>
                <w:color w:val="auto"/>
              </w:rPr>
            </w:pPr>
          </w:p>
        </w:tc>
        <w:tc>
          <w:tcPr>
            <w:tcW w:w="74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199"/>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220" w:type="dxa"/>
            <w:vAlign w:val="bottom"/>
          </w:tcPr>
          <w:p>
            <w:pPr>
              <w:spacing w:after="0"/>
              <w:rPr>
                <w:sz w:val="24"/>
                <w:szCs w:val="2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Add’l</w:t>
            </w:r>
          </w:p>
        </w:tc>
        <w:tc>
          <w:tcPr>
            <w:tcW w:w="10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24"/>
                <w:szCs w:val="2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59"/>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99"/>
              <w:spacing w:after="0" w:line="108" w:lineRule="exact"/>
              <w:rPr>
                <w:sz w:val="20"/>
                <w:szCs w:val="20"/>
                <w:color w:val="auto"/>
              </w:rPr>
            </w:pPr>
            <w:r>
              <w:rPr>
                <w:rFonts w:ascii="Times New Roman" w:cs="Times New Roman" w:eastAsia="Times New Roman" w:hAnsi="Times New Roman"/>
                <w:sz w:val="11"/>
                <w:szCs w:val="11"/>
                <w:b w:val="1"/>
                <w:bCs w:val="1"/>
                <w:color w:val="auto"/>
                <w:w w:val="98"/>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99"/>
              <w:spacing w:after="0" w:line="108" w:lineRule="exact"/>
              <w:rPr>
                <w:sz w:val="20"/>
                <w:szCs w:val="20"/>
                <w:color w:val="auto"/>
              </w:rPr>
            </w:pPr>
            <w:r>
              <w:rPr>
                <w:rFonts w:ascii="Times New Roman" w:cs="Times New Roman" w:eastAsia="Times New Roman" w:hAnsi="Times New Roman"/>
                <w:sz w:val="11"/>
                <w:szCs w:val="11"/>
                <w:b w:val="1"/>
                <w:bCs w:val="1"/>
                <w:color w:val="auto"/>
                <w:w w:val="98"/>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 in</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74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left="199"/>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left="199"/>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74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1,963,850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(717,331)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1,202,768</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149,000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13,376</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82,101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31,824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Purchase of 65,290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38,329</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shareholders ($0.75 per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(75,818)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(75,818)</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1,985,682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(754,911)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1,181,507</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84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87"/>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92,151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68,627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21,604</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tax benefit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Decrease (increase)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Receivables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22,691</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95"/>
        </w:trPr>
        <w:tc>
          <w:tcPr>
            <w:tcW w:w="84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(Decrease) increase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Trade accounts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(22,182)</w:t>
            </w:r>
          </w:p>
        </w:tc>
        <w:tc>
          <w:tcPr>
            <w:tcW w:w="0" w:type="dxa"/>
            <w:vAlign w:val="bottom"/>
          </w:tcPr>
          <w:p>
            <w:pPr>
              <w:spacing w:after="0"/>
              <w:rPr>
                <w:sz w:val="1"/>
                <w:szCs w:val="1"/>
                <w:color w:val="auto"/>
              </w:rPr>
            </w:pPr>
          </w:p>
        </w:tc>
      </w:tr>
      <w:tr>
        <w:trPr>
          <w:trHeight w:val="195"/>
        </w:trPr>
        <w:tc>
          <w:tcPr>
            <w:tcW w:w="84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102,038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83,318</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(16,332)</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(83,342)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(17,823)</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used for purchase of treasury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7,396</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Redemption of senior notes and senior subordinated notes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(668,688)</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note offering</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Dividends/distributions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(75,909)</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(144,088)</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(78,523)</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99,788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121,569</w:t>
            </w:r>
          </w:p>
        </w:tc>
        <w:tc>
          <w:tcPr>
            <w:tcW w:w="0" w:type="dxa"/>
            <w:vAlign w:val="bottom"/>
          </w:tcPr>
          <w:p>
            <w:pPr>
              <w:spacing w:after="0"/>
              <w:rPr>
                <w:sz w:val="1"/>
                <w:szCs w:val="1"/>
                <w:color w:val="auto"/>
              </w:rPr>
            </w:pPr>
          </w:p>
        </w:tc>
      </w:tr>
      <w:tr>
        <w:trPr>
          <w:trHeight w:val="228"/>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115,878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2021 Combined Form 10-K. Subsequent events, if any, are evaluated through the date on which the financial statements are issued.</w:t>
      </w:r>
    </w:p>
    <w:p>
      <w:pPr>
        <w:spacing w:after="0" w:line="29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Advertising revenues</w:t>
      </w:r>
      <w:r>
        <w:rPr>
          <w:rFonts w:ascii="Times New Roman" w:cs="Times New Roman" w:eastAsia="Times New Roman" w:hAnsi="Times New Roman"/>
          <w:sz w:val="18"/>
          <w:szCs w:val="18"/>
          <w:color w:val="auto"/>
        </w:rPr>
        <w:t>: The majority of our revenues are derived from contracts for advertising space on billboard, logo and transit displays.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 copy.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production contracts is recognized under ASC 606. Contract revenues for production services are recognized upon satisfaction of the contract which is typically less than one week.</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months ended March 31, 2022 and 2021.</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401,739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334,039</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19,406</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451,388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370,881</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and 2021, we had operating lease costs of $75,820 and $72,471, respectively, and variable lease costs of $12,204 and $10,868, respectively. These operating lease costs are recorded in direct advertising expenses (exclusive of depreciation and amortization). For the three months ended March 31, 2022 and 2021, we recorded a gain of $40 and $6, respectively, in gain on disposition of assets related to the amendment and termination of lease agreements. Cash payments of $106,014 and $102,082 were made reducing our operating lease liabilities for the three months ended March 31, 2022 and 2021, respectively, and are included in cash flows provided by operating activities in the Condensed Consolidated Statements of Cash Flows.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$1,738 and $1,380 in direct advertising expenses (exclusive of depreciation and amortization) for these agreements during the three months ended March 31, 2022 and 2021, respectively.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12.3 years. The weighted-average discount rate of our operating leases is 4.5%. Also, during the periods ended March 31, 2022 and 2021, we obtained $8,246 and $3,767, respectively, of leased assets in exchange for new operating lease liabilities, which includes liabilities obtained through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March 31, 2022:</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141,871</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189,079</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169,388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144,150</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120,694</w:t>
            </w:r>
          </w:p>
        </w:tc>
      </w:tr>
      <w:tr>
        <w:trPr>
          <w:trHeight w:val="229"/>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805,744</w:t>
            </w: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1,570,926</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(397,248)</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1,173,678</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2022, $713 of amortization expense and $140 of interest expense relating to our financing lease liabilities were recorded in depreciation and amortization and interest expense, respectively, in the Condensed Consolidated Statements of Income and Comprehensive Income. During the three months ended March 31, 2021, $713 of amortization expense and $150 of interest expense relating to our financing lease liabilities were recorded in depreciation and amortization and interest expense, respectively, in the Condensed Consolidated Statements of Income and Comprehensive Income. Cash payments of $333 and $483 were made reducing our financing lease liabilities for the three months ended March 31, 2022 and 2021, respectively, and are included in cash flows used in financing activities in the Condensed Consolidated Statements of Cash Flows. Our financing leases have a weighted-average remaining lease term of 5.7 years and a weighted-average discount rate of 3.1%.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March 31, 2022 and 2021, non-lease variable transit payments were $17,278 and $4,376, respectively. These transit expenses are recorded in direct advertising expenses (exclusive of depreciation and amortization) on the Condensed Consolidated Statements of Income and Comprehensive Income.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Stock-Based Compensation</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 Advertising’s 1996 Equity Incentive Plan, as amended, (the “Incentive Plan”) has reserved 17.5 million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5,000 shares of its Class A common stock during the three months ended March 31, 2022. At March 31, 2022 a total of 2,116,522 shares were available for future grant.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Class A common stock available under the 2019 ESPP was automatically increased by 86,853 shares on January 1, 2022 pursuant to the automatic increase provisions of the 2019 ESPP.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three months ended March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3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88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342,226</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86,853</w:t>
            </w:r>
          </w:p>
        </w:tc>
      </w:tr>
      <w:tr>
        <w:trPr>
          <w:trHeight w:val="230"/>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(36,347)</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March 31, 2022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392,732</w:t>
            </w:r>
          </w:p>
        </w:tc>
      </w:tr>
      <w:tr>
        <w:trPr>
          <w:trHeight w:val="20"/>
        </w:trPr>
        <w:tc>
          <w:tcPr>
            <w:tcW w:w="9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Incentive Plan. The number of shares to be issued, if any, will be dependent on the level of achievement of performance measures for key officers and employees, as determined by the Company’s Compensation Committee based on our 2022 results. Any shares issued based on the achievement of performance goals will be issued in the first quarter of 2023. The shares subject to these awards can range from a minimum of 0% to a maximum of 100% of the target number of shares depending on the level at which the goals are attained. For the three months ended March 31, 2022, the Company recorded no expense related to 2022 performance-based awards as agreements related to these awards were not fully executed as of March 31, 2022.</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or re-election. The awards vest 50% on grant date and 50% on the last day of the directors' one year term. The Company recorded $60 in stock-based compensation expense related to these awards for the three months ended March 31, 2022.</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Depreciation and Amortization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w:t>
      </w:r>
    </w:p>
    <w:p>
      <w:pPr>
        <w:spacing w:after="0" w:line="8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56,472</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23"/>
        </w:trPr>
        <w:tc>
          <w:tcPr>
            <w:tcW w:w="84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68,627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60,749</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at March 31, 2022 and December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6"/>
                <w:szCs w:val="16"/>
                <w:color w:val="auto"/>
              </w:rPr>
            </w:pPr>
          </w:p>
        </w:tc>
        <w:tc>
          <w:tcPr>
            <w:tcW w:w="27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560" w:type="dxa"/>
            <w:vAlign w:val="bottom"/>
            <w:gridSpan w:val="3"/>
          </w:tcPr>
          <w:p>
            <w:pPr>
              <w:jc w:val="center"/>
              <w:ind w:right="150"/>
              <w:spacing w:after="0" w:line="15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3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4"/>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676,846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587,056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64,941</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Site locations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2,661,410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2,619,531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1,680,333</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39,407</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3,464,831</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2,403,440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3,416,914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2,371,737</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2,189,962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Retirement Obligations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ectPr>
          <w:pgSz w:w="11900" w:h="16838" w:orient="portrait"/>
          <w:cols w:equalWidth="0" w:num="1">
            <w:col w:w="11240"/>
          </w:cols>
          <w:pgMar w:left="320" w:top="445"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Additions to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Revision in estimates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2022</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269,367</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619</w:t>
      </w:r>
    </w:p>
    <w:p>
      <w:pPr>
        <w:spacing w:after="0" w:line="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3,524</w:t>
      </w:r>
    </w:p>
    <w:p>
      <w:pPr>
        <w:spacing w:after="0" w:line="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1,085</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401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273,856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8401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8401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445" w:right="33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March 31, 2022 and December 31, 2021, Lamar Media was permitted under the terms of its outstanding notes to make transfers to Lamar Advertising in the form of cash dividends, loans or advances in amounts up to $3,959,823 and $3,921,979,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2022, Lamar Media’s senior credit facility allows it to make transfers to Lamar Advertising in any taxable year up to the amount of Lamar Advertising’s taxable income (without any deduction for dividends paid). In addition, as of March 31, 2022,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March 31, 2022, the total debt ratio was less than 7.0 to 1 and Lamar Media’s secured debt ratio was less than 4.5 to 1, and the available cumulative credit was $2,710,302.</w:t>
      </w:r>
    </w:p>
    <w:p>
      <w:pPr>
        <w:spacing w:after="0" w:line="29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months ended March 31, 2022 or 2021.</w:t>
      </w:r>
    </w:p>
    <w:p>
      <w:pPr>
        <w:spacing w:after="0" w:line="284" w:lineRule="exact"/>
        <w:rPr>
          <w:sz w:val="20"/>
          <w:szCs w:val="20"/>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at March 31, 2022 and December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880,039</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174,472</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593,219</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542,469</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542,354</w:t>
            </w:r>
          </w:p>
        </w:tc>
        <w:tc>
          <w:tcPr>
            <w:tcW w:w="0" w:type="dxa"/>
            <w:vAlign w:val="bottom"/>
          </w:tcPr>
          <w:p>
            <w:pPr>
              <w:spacing w:after="0"/>
              <w:rPr>
                <w:sz w:val="1"/>
                <w:szCs w:val="1"/>
                <w:color w:val="auto"/>
              </w:rPr>
            </w:pPr>
          </w:p>
        </w:tc>
      </w:tr>
      <w:tr>
        <w:trPr>
          <w:trHeight w:val="229"/>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395,135</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3,165,445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3,129,974</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(174,836)</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2,990,081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2,955,138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6"/>
        </w:trPr>
        <w:tc>
          <w:tcPr>
            <w:tcW w:w="7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8"/>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8"/>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764,411</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592,964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542,289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542,151</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394,987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3,050,454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3,013,595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(the “senior credit facility”), consists of (i) a $750,000 senior secured revolving credit facility which will mature on February 6, 2025 (the “revolving credit facility”), (ii) a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there were $290,000 in borrowings outstanding under the revolving credit facility. Availability under the revolving credit facility is reduced by the amount of any letters of credit outstanding. Lamar Media had $13,673 in letters of credit outstanding as of March 31, 2022 resulting in $446,327 of availability under its revolving credit facility. Revolving credit loans may be requested under the revolving credit facility at any time prior to its maturity on February 6, 2025.</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and Lamar Media to:</w:t>
      </w:r>
    </w:p>
    <w:p>
      <w:pPr>
        <w:spacing w:after="0" w:line="99"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2020, Lamar Media and the Special Purpose Subsidiaries entered into the Third Amendment (the “Third Amendment”) to the Receivables Financing Agreement. The Third Amendment increased the maximum three month average Delinquency Ratio, Dilution Ratio and Days’ Sales Outstanding to 11.00% (from 8.00%), 7.00% (from 4.00%) and 75 days (from 65 days), respectively, for each of the months of June, July and August 2020. The Third Amendment did not modify any other financial covenant. Additionally, the Third Amendment established a new Minimum Funding Threshold, which requires the Special Purpose Subsidiaries to maintain minimum borrowings under the Accounts Receivable Securitization Program on any day equal to the lesser of (i) 50.00%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23, 2020, Lamar Media and the Special Purpose Subsidiaries entered into the Fourth Amendment (the “Fourth Amendment”) to the Receivables Financing Agreement. The Fourth Amendment increased the maximum three month average Delinquency Ratio generally to 13.00% (and up to 16.00% for up to two additional periods upon written notice from Lamar Media), and increased the maximum three month average Dilution Ratio to 5.00% for the remaining term of the Accounts Receivable Securitization Program. Additionally, the Fourth Amendment increased the Minimum Funding Threshold which, as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amended, requires the Special Purpose Subsidiaries to maintain minimum borrowings under the Accounts Receivable Securitization Program on any day equal to the lesser of (i) 70.00%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24, 2021, Lamar Media and the Special Purpose Subsidiaries entered into the Fifth Amendment (the "Fifth Amendment") to the Receivables Financing Agreement. The Fifth Amendment extended the maturity date of the Accounts Receivable Securitization Program to July 21, 2024. Additionally, the Fifth Amendment decreased the Minimum Funding Threshold which, as amended, requires the Special Purpose Subsidiaries to maintain minimum borrowings under the Accounts Receivable Securitization Program on any day equal to the lesser of (i) 50.00% of the aggregate Commitment of all Lenders or (ii) the Borrowing Base, provided that the Minimum Funding Threshold shall be zero on any day that is a Minimum Funding Threshold Holiday which, as amended, provides for an annual holiday from the requirement of up to sixty days per year. The Fifth Amendment also provides for updated LIBOR replacement procedures.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there was $175,000 outstanding aggregate borrowings under the Accounts Receivable Securitization Program. Lamar Media had no additional availability for borrowing under the Accounts Receivable Securitization Program as of March 31, 2022. The commitment fees based on the amount of unused commitments under the Accounts Receivable Securitization Program were immaterial during the three months ended March 31,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Accounts Receivable Securitization Program will mature on July 21, 2024.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3/4% Senior Notes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2016, Lamar Media completed an institutional private placement of $400,000 aggregate principal amount of 5 3/4% Senior Notes due 2026 (the “Original 5 3/4% Notes”). The institutional private placement on January 28, 2016 resulted in net proceeds to Lamar Media of approximately $394,500.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2019, Lamar Media completed an institutional private placement of an additional $250,000 aggregate principal amount of its 5 3/4% Notes (the “Additional 5 3/4% Notes", and together with the Original 5 3/4% Notes, the "5 3/4% Notes”). Other than with respect to the date of issuance, issue price and CUSIP number, the Additional 5 3/4% Notes have the same terms as the Original 5 3/4% Notes. The net proceeds after underwriting fees and expenses, was approximately $251,500.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2021, Lamar Media redeemed in full all $650,000 aggregate principal amount 5 3/4% Notes. The 5 3/4% Notes redemption was completed using the proceeds received from the 3 5/8% Notes offering completed on January 22, 2021 (as described below), together with cash on hand and borrowings under the revolving credit facility and Accounts Receivable Securitization Program. The 5 3/4% Notes were redeemed at a redemption price equal to 102.875% of the aggregate principal amount of the outstanding notes, plus accrued and unpaid interest to (but not including) the redemption date. During the three months ended March 31, 2021, the Company recorded a loss on debt extinguishment of approximately $21,604 related to the note redemption, of which $18,700 was in cash.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control, Lamar Media may be required to make an offer to purchase each holder’s 4 7/8% Notes at a price equal to 101% of the principal amount of the 4 7/8% Notes, plus accrued and unpaid interest, up to but not including the repurchase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Lamar Media to repurchase up to $250,000 in outstanding senior or senior subordinated notes and other indebtedness outstanding from time to time under its Fourth Amended and Restated Credit Agreement. On September 20, 2021, the Board of Directors authorized the extension of the repurchase program through March 31, 2023. There were no repurchases under the program as of March 31, 2022.</w:t>
      </w:r>
    </w:p>
    <w:p>
      <w:pPr>
        <w:spacing w:after="0" w:line="288"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2022 and December 31, 2021,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$3,054,157 which does not exceed the carrying amount of $3,165,445 as of March 31, 2022. The majority of the fair value is determined using observed prices of publicly traded debt (level 1 in the fair value hierarchy) and the remaining is valued based on quoted prices for similar debt (level 2 in the fair value hierarchy).</w:t>
      </w:r>
    </w:p>
    <w:p>
      <w:pPr>
        <w:spacing w:after="0" w:line="322"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a leading global provider of programmatic technology for the digital out-of-home sector. This investment is accounted for as an equity method investment and is included in other assets on the Condensed Consolidated Balance Sheet. For the three months ended March 31, 2022, the Company recorded $746 in equity in earnings of investee on the Condensed Consolidated Statement of Income and Comprehensive Income.</w:t>
      </w:r>
    </w:p>
    <w:p>
      <w:pPr>
        <w:spacing w:after="0" w:line="288" w:lineRule="exact"/>
        <w:rPr>
          <w:sz w:val="20"/>
          <w:szCs w:val="20"/>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Pronouncements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which provides optional expedients and exceptions to account for contracts, hedging relationships and other transactions that reference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London Interbank Offered Rate (“LIBOR”) or another reference rate if certain criteria are met. In January 2021, the FASB clarified the scope of this guidance with the issuance of ASU 2021-01, </w:t>
      </w:r>
      <w:r>
        <w:rPr>
          <w:rFonts w:ascii="Times New Roman" w:cs="Times New Roman" w:eastAsia="Times New Roman" w:hAnsi="Times New Roman"/>
          <w:sz w:val="18"/>
          <w:szCs w:val="18"/>
          <w:i w:val="1"/>
          <w:iCs w:val="1"/>
          <w:color w:val="auto"/>
        </w:rPr>
        <w:t>Reference Rate Reform: Scope</w:t>
      </w:r>
      <w:r>
        <w:rPr>
          <w:rFonts w:ascii="Times New Roman" w:cs="Times New Roman" w:eastAsia="Times New Roman" w:hAnsi="Times New Roman"/>
          <w:sz w:val="18"/>
          <w:szCs w:val="18"/>
          <w:color w:val="auto"/>
        </w:rPr>
        <w:t>. ASU 2020-04 may be applied prospectively to contract modifications made and hedging</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relationships entered into or evaluated on or before December 31, 2022. As of March 31, 2022, the Company has not modified any contracts as a result of reference rate reform and is evaluating the impact this standard may have on its financial statements.</w:t>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which provides guidance on the recognition and measurement of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At the acquisition date, the acquirer should account for the related revenue contracts as if the acquirer had originated the contracts. The guidance also provides certain practical expedients for acquirers when recognizing and measuring acquired contract assets and contract liabilities from revenue contracts in a business combination. This guidance is effective for public entities as of December 15, 2022. We do not anticipate the adoption of this guidance will have a material impact to the Company's consolidated financial statements.</w:t>
      </w:r>
    </w:p>
    <w:p>
      <w:pPr>
        <w:spacing w:after="0" w:line="292"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Dividends/Distributions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declared and paid cash distributions in an aggregate amount of $111,602 or $1.10 per share and $75,818 or $0.75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 During the three months ended March 31, 2022 and 2021, the Company paid cash dividend distributions to holders of its Series AA Preferred Stock in an aggregate amount of $91 or $15.95 per share for each period.</w:t>
      </w:r>
    </w:p>
    <w:p>
      <w:pPr>
        <w:spacing w:after="0" w:line="296"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about Geographic Areas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$6,197 and $4,964 for the three months ended March 31, 2022 and 2021, respectively. Net carrying value of long-lived assets located in foreign countries totaled $11,822 and $11,318 as of March 31, 2022 and December 31, 2021, respectively. All other revenues from external customers and long-lived assets relate to domestic operations.</w:t>
      </w:r>
    </w:p>
    <w:p>
      <w:pPr>
        <w:spacing w:after="0" w:line="284" w:lineRule="exact"/>
        <w:rPr>
          <w:sz w:val="20"/>
          <w:szCs w:val="20"/>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 Equity</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May 1, 2018, the Company entered into an equity distribution agreement (the “Sales Agreement”) with J.P. Morgan Securities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Wells Fargo Securities LLC, and SunTrust Robinson Humphrey, Inc. as its sales agents. Under the terms of the Sales Agreement, the Company could have, from time to time, issued and sold shares of its Class A common stock, having an aggregate offering price of up to $400,000, through the sales agents party thereto as either agents or principals. The Sales Agreement expired by its terms on May 1, 2021 and as of that date, 842,412 shares of our Class A common stock were sold under the Sales Agreement.</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2021 Sales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no shares of our Class A common stock have been sold under the 2021 Sales Agreement and accordingly $400,000 remained available to be sold under the 2021 Sales Agreement as of March 31, 2022.</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June 21, 2021, the Company filed an automatically effective shelf registration statement that allows Lamar Advertising to offer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an indeterminate amount of additional shares of its Class A common stock. During the three months ended March 31, 2022 and the year ended December 31, 2021, the Company did not issue any shares under this shelf registration.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On March 16, 2020, the Company’s Board of Directors authorized the repurchase of up to $250,000 of the Company’s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On September 20, 2021, the Board of Directors authorized the extension of the repurchase program through March 31, 2023. There were no repurchases under the program as of March 31,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99,288</w:t>
            </w:r>
          </w:p>
        </w:tc>
        <w:tc>
          <w:tcPr>
            <w:tcW w:w="0" w:type="dxa"/>
            <w:vAlign w:val="bottom"/>
          </w:tcPr>
          <w:p>
            <w:pPr>
              <w:spacing w:after="0"/>
              <w:rPr>
                <w:sz w:val="1"/>
                <w:szCs w:val="1"/>
                <w:color w:val="auto"/>
              </w:rPr>
            </w:pPr>
          </w:p>
        </w:tc>
      </w:tr>
      <w:tr>
        <w:trPr>
          <w:trHeight w:val="213"/>
        </w:trPr>
        <w:tc>
          <w:tcPr>
            <w:tcW w:w="8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$10,293 and $11,195 in 2022 and 2021, respectively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18,902</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407,146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388,107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3,806,905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3,782,288</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(2,465,436)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(2,445,014)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1,341,469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1,337,274</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1,236,538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1,224,672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16,890</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1,926,314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1,926,274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1,044,709</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93,105</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6,077,401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6,031,031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$528 and $585 in 2022 and 2021, respectively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174,778</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198,286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137,103</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563,721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655,245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$34,943 and $36,274 in 2022 and 2021, respectively</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2,955,138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2,838,817</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1,007,403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995,356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17,277</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269,367</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40,207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4,862,054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4,822,685</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2022 and 2021</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3,108,352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3,071,905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comprehensive income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(1,894,174)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(1,864,414)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1,215,347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1,208,346</w:t>
            </w:r>
          </w:p>
        </w:tc>
        <w:tc>
          <w:tcPr>
            <w:tcW w:w="0" w:type="dxa"/>
            <w:vAlign w:val="bottom"/>
          </w:tcPr>
          <w:p>
            <w:pPr>
              <w:spacing w:after="0"/>
              <w:rPr>
                <w:sz w:val="1"/>
                <w:szCs w:val="1"/>
                <w:color w:val="auto"/>
              </w:rPr>
            </w:pPr>
          </w:p>
        </w:tc>
      </w:tr>
      <w:tr>
        <w:trPr>
          <w:trHeight w:val="207"/>
        </w:trPr>
        <w:tc>
          <w:tcPr>
            <w:tcW w:w="8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6,077,401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6,031,031</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451,388</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370,881</w:t>
            </w:r>
          </w:p>
        </w:tc>
        <w:tc>
          <w:tcPr>
            <w:tcW w:w="0" w:type="dxa"/>
            <w:vAlign w:val="bottom"/>
          </w:tcPr>
          <w:p>
            <w:pPr>
              <w:spacing w:after="0"/>
              <w:rPr>
                <w:sz w:val="1"/>
                <w:szCs w:val="1"/>
                <w:color w:val="auto"/>
              </w:rPr>
            </w:pPr>
          </w:p>
        </w:tc>
      </w:tr>
      <w:tr>
        <w:trPr>
          <w:trHeight w:val="20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131,215</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72,649</w:t>
            </w:r>
          </w:p>
        </w:tc>
        <w:tc>
          <w:tcPr>
            <w:tcW w:w="0" w:type="dxa"/>
            <w:vAlign w:val="bottom"/>
          </w:tcPr>
          <w:p>
            <w:pPr>
              <w:spacing w:after="0"/>
              <w:rPr>
                <w:sz w:val="1"/>
                <w:szCs w:val="1"/>
                <w:color w:val="auto"/>
              </w:rPr>
            </w:pPr>
          </w:p>
        </w:tc>
      </w:tr>
      <w:tr>
        <w:trPr>
          <w:trHeight w:val="229"/>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17,623</w:t>
            </w: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68,627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3"/>
        </w:trPr>
        <w:tc>
          <w:tcPr>
            <w:tcW w:w="84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330,796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281,821</w:t>
            </w:r>
          </w:p>
        </w:tc>
        <w:tc>
          <w:tcPr>
            <w:tcW w:w="0" w:type="dxa"/>
            <w:vAlign w:val="bottom"/>
          </w:tcPr>
          <w:p>
            <w:pPr>
              <w:spacing w:after="0"/>
              <w:rPr>
                <w:sz w:val="1"/>
                <w:szCs w:val="1"/>
                <w:color w:val="auto"/>
              </w:rPr>
            </w:pP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89,060</w:t>
            </w: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49,584</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92,601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ectPr>
          <w:pgSz w:w="11900" w:h="16838" w:orient="portrait"/>
          <w:cols w:equalWidth="0" w:num="1">
            <w:col w:w="11180"/>
          </w:cols>
          <w:pgMar w:left="320" w:top="121" w:right="399" w:bottom="1440" w:gutter="0" w:footer="0" w:header="0"/>
        </w:sect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3"/>
                <w:szCs w:val="13"/>
                <w:color w:val="auto"/>
              </w:rPr>
            </w:pPr>
          </w:p>
        </w:tc>
      </w:tr>
      <w:tr>
        <w:trPr>
          <w:trHeight w:val="196"/>
        </w:trPr>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7"/>
                <w:szCs w:val="17"/>
                <w:color w:val="auto"/>
              </w:rPr>
            </w:pPr>
          </w:p>
        </w:tc>
      </w:t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 from parent</w:t>
            </w: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4"/>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to parent</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98"/>
        </w:trPr>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24"/>
                <w:szCs w:val="24"/>
                <w:color w:val="auto"/>
              </w:rPr>
            </w:pPr>
          </w:p>
        </w:tc>
      </w:tr>
      <w:tr>
        <w:trPr>
          <w:trHeight w:val="194"/>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 from parent</w:t>
            </w: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4"/>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to parent</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-2125345</wp:posOffset>
            </wp:positionV>
            <wp:extent cx="709803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09803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09803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09803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09803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09803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center"/>
              <w:ind w:right="356"/>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08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3,071,905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(1,864,414)</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0" w:type="dxa"/>
            <w:vAlign w:val="bottom"/>
          </w:tcPr>
          <w:p>
            <w:pPr>
              <w:spacing w:after="0"/>
              <w:rPr>
                <w:sz w:val="1"/>
                <w:szCs w:val="1"/>
                <w:color w:val="auto"/>
              </w:rPr>
            </w:pPr>
          </w:p>
        </w:tc>
      </w:tr>
      <w:tr>
        <w:trPr>
          <w:trHeight w:val="229"/>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36,447</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0" w:type="dxa"/>
            <w:vAlign w:val="bottom"/>
          </w:tcPr>
          <w:p>
            <w:pPr>
              <w:spacing w:after="0"/>
              <w:rPr>
                <w:sz w:val="1"/>
                <w:szCs w:val="1"/>
                <w:color w:val="auto"/>
              </w:rPr>
            </w:pPr>
          </w:p>
        </w:tc>
      </w:tr>
      <w:tr>
        <w:trPr>
          <w:trHeight w:val="230"/>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0" w:type="dxa"/>
            <w:vAlign w:val="bottom"/>
          </w:tcPr>
          <w:p>
            <w:pPr>
              <w:spacing w:after="0"/>
              <w:rPr>
                <w:sz w:val="1"/>
                <w:szCs w:val="1"/>
                <w:color w:val="auto"/>
              </w:rPr>
            </w:pPr>
          </w:p>
        </w:tc>
      </w:tr>
      <w:tr>
        <w:trPr>
          <w:trHeight w:val="234"/>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(122,047)</w:t>
            </w:r>
          </w:p>
        </w:tc>
        <w:tc>
          <w:tcPr>
            <w:tcW w:w="0" w:type="dxa"/>
            <w:vAlign w:val="bottom"/>
          </w:tcPr>
          <w:p>
            <w:pPr>
              <w:spacing w:after="0"/>
              <w:rPr>
                <w:sz w:val="1"/>
                <w:szCs w:val="1"/>
                <w:color w:val="auto"/>
              </w:rPr>
            </w:pPr>
          </w:p>
        </w:tc>
      </w:tr>
      <w:tr>
        <w:trPr>
          <w:trHeight w:val="223"/>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3,108,352</w:t>
            </w: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(1,894,174)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1,215,347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108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jc w:val="center"/>
              <w:ind w:right="356"/>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08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3,034,357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(1,842,447)</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1,192,844</w:t>
            </w:r>
          </w:p>
        </w:tc>
        <w:tc>
          <w:tcPr>
            <w:tcW w:w="0" w:type="dxa"/>
            <w:vAlign w:val="bottom"/>
          </w:tcPr>
          <w:p>
            <w:pPr>
              <w:spacing w:after="0"/>
              <w:rPr>
                <w:sz w:val="1"/>
                <w:szCs w:val="1"/>
                <w:color w:val="auto"/>
              </w:rPr>
            </w:pPr>
          </w:p>
        </w:tc>
      </w:tr>
      <w:tr>
        <w:trPr>
          <w:trHeight w:val="229"/>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21,831</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0" w:type="dxa"/>
            <w:vAlign w:val="bottom"/>
          </w:tcPr>
          <w:p>
            <w:pPr>
              <w:spacing w:after="0"/>
              <w:rPr>
                <w:sz w:val="1"/>
                <w:szCs w:val="1"/>
                <w:color w:val="auto"/>
              </w:rPr>
            </w:pPr>
          </w:p>
        </w:tc>
      </w:tr>
      <w:tr>
        <w:trPr>
          <w:trHeight w:val="229"/>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0" w:type="dxa"/>
            <w:vAlign w:val="bottom"/>
          </w:tcPr>
          <w:p>
            <w:pPr>
              <w:spacing w:after="0"/>
              <w:rPr>
                <w:sz w:val="1"/>
                <w:szCs w:val="1"/>
                <w:color w:val="auto"/>
              </w:rPr>
            </w:pPr>
          </w:p>
        </w:tc>
      </w:tr>
      <w:tr>
        <w:trPr>
          <w:trHeight w:val="234"/>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0" w:type="dxa"/>
            <w:vAlign w:val="bottom"/>
          </w:tcPr>
          <w:p>
            <w:pPr>
              <w:spacing w:after="0"/>
              <w:rPr>
                <w:sz w:val="1"/>
                <w:szCs w:val="1"/>
                <w:color w:val="auto"/>
              </w:rPr>
            </w:pPr>
          </w:p>
        </w:tc>
      </w:tr>
      <w:tr>
        <w:trPr>
          <w:trHeight w:val="223"/>
        </w:trPr>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3,056,188</w:t>
            </w: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(1,885,516)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1,171,810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-1533525</wp:posOffset>
            </wp:positionV>
            <wp:extent cx="8318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-1508125</wp:posOffset>
            </wp:positionV>
            <wp:extent cx="8318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-1688465</wp:posOffset>
            </wp:positionV>
            <wp:extent cx="8318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-33655</wp:posOffset>
            </wp:positionV>
            <wp:extent cx="8318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-8255</wp:posOffset>
            </wp:positionV>
            <wp:extent cx="8318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-187960</wp:posOffset>
            </wp:positionV>
            <wp:extent cx="831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220"/>
            <w:col w:w="5260"/>
          </w:cols>
          <w:pgMar w:left="320" w:top="121" w:right="399" w:bottom="1440" w:gutter="0" w:footer="0" w:header="0"/>
          <w:type w:val="continuous"/>
        </w:sectPr>
      </w:pPr>
    </w:p>
    <w:p>
      <w:pPr>
        <w:spacing w:after="0" w:line="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84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92,287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38,466</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68,627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60,749</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compensation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21,604</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tax benefit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95"/>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Decrease (increase) in: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Receivables</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22,691</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(Decrease) increase in: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Trade accounts payable</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(22,182)</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(34,250)</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(13,533)</w:t>
            </w:r>
          </w:p>
        </w:tc>
      </w:tr>
      <w:tr>
        <w:trPr>
          <w:trHeight w:val="189"/>
        </w:trPr>
        <w:tc>
          <w:tcPr>
            <w:tcW w:w="844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70,396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68,792</w:t>
            </w:r>
          </w:p>
        </w:tc>
      </w:tr>
      <w:tr>
        <w:trPr>
          <w:trHeight w:val="18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(16,332)</w:t>
            </w:r>
          </w:p>
        </w:tc>
      </w:tr>
      <w:tr>
        <w:trPr>
          <w:trHeight w:val="196"/>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w:t>
            </w:r>
          </w:p>
        </w:tc>
      </w:tr>
      <w:tr>
        <w:trPr>
          <w:trHeight w:val="203"/>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(83,342)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(17,823)</w:t>
            </w:r>
          </w:p>
        </w:tc>
      </w:tr>
      <w:tr>
        <w:trPr>
          <w:trHeight w:val="175"/>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Redemption of senior notes and senior subordinated notes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(668,688)</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note offering</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(8,067)</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36,447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21,831</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Dividend to parent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(81,535)</w:t>
            </w:r>
          </w:p>
        </w:tc>
      </w:tr>
      <w:tr>
        <w:trPr>
          <w:trHeight w:val="190"/>
        </w:trPr>
        <w:tc>
          <w:tcPr>
            <w:tcW w:w="844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28,929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(129,562)</w:t>
            </w:r>
          </w:p>
        </w:tc>
      </w:tr>
      <w:tr>
        <w:trPr>
          <w:trHeight w:val="203"/>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9"/>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(78,523)</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99,288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121,069</w:t>
            </w:r>
          </w:p>
        </w:tc>
      </w:tr>
      <w:tr>
        <w:trPr>
          <w:trHeight w:val="189"/>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115,378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42,546</w:t>
            </w:r>
          </w:p>
        </w:tc>
      </w:tr>
      <w:tr>
        <w:trPr>
          <w:trHeight w:val="21"/>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6"/>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25,378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43,343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31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2021 Combined Form 10-K.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10, 11, 12, 13, 15 and 16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88"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March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103,252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268,520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1,211,240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2,969,913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4,298,050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307,704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187,029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(4,687,772)</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4,401,302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5,849,591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348,337</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193,438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2,953,216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2,955,138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210,793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296,568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298,184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(469,753)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3,185,955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1,637,922</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507,930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(469,753)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1,215,347</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4,211,669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(4,218,019)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4,401,302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5,849,591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267,609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388,107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1,337,274</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1,198,934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1,224,672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2,970,983</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4,188,436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311,046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187,044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109,995</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4,279,555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6,031,031</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282,181</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437,141</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196,095</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655,245</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2,836,801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995,356</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212,399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292,194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292,281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(463,607)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333,267</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3,071,209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1,708,814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506,269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(463,607)</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4,822,685</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4,105,671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(4,112,924)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4,279,555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6,031,031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451,388</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Direct advertising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150,853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157,772</w:t>
            </w: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83,084</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320,991</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330,796</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121,537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120,592</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26,571</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expense (benefit)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370,881</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Direct advertising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131,215</w:t>
            </w: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276,383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281,821</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89,060</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Three Months Ended March 31, 2022</w:t>
      </w:r>
    </w:p>
    <w:p>
      <w:pPr>
        <w:spacing w:after="0" w:line="3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70,396</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(55,293)</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 decrease in intercompany notes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4020" w:type="dxa"/>
            <w:vAlign w:val="bottom"/>
            <w:tcBorders>
              <w:top w:val="single" w:sz="8" w:color="CCEEFF"/>
            </w:tcBorders>
            <w:shd w:val="clear" w:color="auto" w:fill="CCEEFF"/>
          </w:tcPr>
          <w:p>
            <w:pPr>
              <w:ind w:left="440"/>
              <w:spacing w:after="0" w:line="156" w:lineRule="exact"/>
              <w:rPr>
                <w:sz w:val="20"/>
                <w:szCs w:val="20"/>
                <w:color w:val="auto"/>
              </w:rPr>
            </w:pPr>
            <w:r>
              <w:rPr>
                <w:rFonts w:ascii="Times New Roman" w:cs="Times New Roman" w:eastAsia="Times New Roman" w:hAnsi="Times New Roman"/>
                <w:sz w:val="18"/>
                <w:szCs w:val="18"/>
                <w:color w:val="auto"/>
              </w:rPr>
              <w:t>Net cash (used in) provided by investing</w:t>
            </w: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(83,342)</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(122,047)</w:t>
            </w:r>
          </w:p>
        </w:tc>
        <w:tc>
          <w:tcPr>
            <w:tcW w:w="0" w:type="dxa"/>
            <w:vAlign w:val="bottom"/>
          </w:tcPr>
          <w:p>
            <w:pPr>
              <w:spacing w:after="0"/>
              <w:rPr>
                <w:sz w:val="1"/>
                <w:szCs w:val="1"/>
                <w:color w:val="auto"/>
              </w:rPr>
            </w:pPr>
          </w:p>
        </w:tc>
      </w:tr>
      <w:tr>
        <w:trPr>
          <w:trHeight w:val="229"/>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0" w:type="dxa"/>
            <w:vAlign w:val="bottom"/>
          </w:tcPr>
          <w:p>
            <w:pPr>
              <w:spacing w:after="0"/>
              <w:rPr>
                <w:sz w:val="1"/>
                <w:szCs w:val="1"/>
                <w:color w:val="auto"/>
              </w:rPr>
            </w:pPr>
          </w:p>
        </w:tc>
      </w:tr>
      <w:tr>
        <w:trPr>
          <w:trHeight w:val="156"/>
        </w:trPr>
        <w:tc>
          <w:tcPr>
            <w:tcW w:w="4020" w:type="dxa"/>
            <w:vAlign w:val="bottom"/>
            <w:tcBorders>
              <w:top w:val="single" w:sz="8" w:color="CCEEFF"/>
            </w:tcBorders>
            <w:shd w:val="clear" w:color="auto" w:fill="CCEEFF"/>
          </w:tcPr>
          <w:p>
            <w:pPr>
              <w:ind w:left="540"/>
              <w:spacing w:after="0" w:line="156" w:lineRule="exact"/>
              <w:rPr>
                <w:sz w:val="20"/>
                <w:szCs w:val="20"/>
                <w:color w:val="auto"/>
              </w:rPr>
            </w:pPr>
            <w:r>
              <w:rPr>
                <w:rFonts w:ascii="Times New Roman" w:cs="Times New Roman" w:eastAsia="Times New Roman" w:hAnsi="Times New Roman"/>
                <w:sz w:val="18"/>
                <w:szCs w:val="18"/>
                <w:color w:val="auto"/>
              </w:rPr>
              <w:t>Net cash provided by (used in) financing</w:t>
            </w: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0" w:type="dxa"/>
            <w:vAlign w:val="bottom"/>
          </w:tcPr>
          <w:p>
            <w:pPr>
              <w:spacing w:after="0"/>
              <w:rPr>
                <w:sz w:val="1"/>
                <w:szCs w:val="1"/>
                <w:color w:val="auto"/>
              </w:rPr>
            </w:pPr>
          </w:p>
        </w:tc>
      </w:tr>
      <w:tr>
        <w:trPr>
          <w:trHeight w:val="155"/>
        </w:trPr>
        <w:tc>
          <w:tcPr>
            <w:tcW w:w="402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in cash and cash</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Three Months Ended March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(increase) in intercompany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from note offering</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senior notes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senior credit facility term</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proceeds (payments)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(161,459)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in cash and cash</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2021 Combined Form 10-K filed on February 25, 2022, and as such risk factors may be further updated or supplemented, from time to time, in our future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months ended March 31, 2022 and 2021. This discussion should be read in conjunction with the consolidated financial statements of the Company and the related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w:t>
      </w:r>
      <w:r>
        <w:rPr>
          <w:rFonts w:ascii="Times New Roman" w:cs="Times New Roman" w:eastAsia="Times New Roman" w:hAnsi="Times New Roman"/>
          <w:sz w:val="18"/>
          <w:szCs w:val="18"/>
          <w:i w:val="1"/>
          <w:iCs w:val="1"/>
          <w:color w:val="auto"/>
        </w:rPr>
        <w:t>Sources of Cash</w:t>
      </w:r>
      <w:r>
        <w:rPr>
          <w:rFonts w:ascii="Times New Roman" w:cs="Times New Roman" w:eastAsia="Times New Roman" w:hAnsi="Times New Roman"/>
          <w:sz w:val="18"/>
          <w:szCs w:val="18"/>
          <w:color w:val="auto"/>
        </w:rPr>
        <w:t xml:space="preserve">” for more information. During the three months ended March 31, 2022, the Company completed acquisitions for a total cash purchase price of approximately $55.3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months ended March 31, 2022 and 2021:</w:t>
      </w:r>
    </w:p>
    <w:p>
      <w:pPr>
        <w:spacing w:after="0" w:line="8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Borders>
              <w:bottom w:val="single" w:sz="8" w:color="CFF0FC"/>
            </w:tcBorders>
          </w:tcPr>
          <w:p>
            <w:pPr>
              <w:spacing w:after="0"/>
              <w:rPr>
                <w:sz w:val="18"/>
                <w:szCs w:val="18"/>
                <w:color w:val="auto"/>
              </w:rPr>
            </w:pPr>
          </w:p>
        </w:tc>
        <w:tc>
          <w:tcPr>
            <w:tcW w:w="46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Billboard — traditional</w:t>
            </w:r>
          </w:p>
        </w:tc>
        <w:tc>
          <w:tcPr>
            <w:tcW w:w="5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 digital</w:t>
            </w:r>
          </w:p>
        </w:tc>
        <w:tc>
          <w:tcPr>
            <w:tcW w:w="4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Logos</w:t>
            </w:r>
          </w:p>
        </w:tc>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4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equipment</w:t>
            </w:r>
          </w:p>
        </w:tc>
        <w:tc>
          <w:tcPr>
            <w:tcW w:w="4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2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6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68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80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investees, loss (gain) on extinguishment of debt and investments, stock-based compensation, depreciation and amortization, loss (gain) on disposition of assets and investments and capitalized contract fulfillment costs, net.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w:t>
      </w:r>
    </w:p>
    <w:p>
      <w:pPr>
        <w:spacing w:after="0" w:line="27"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portion of tax expense (benefit); (v) non-real estate related depreciation and amortization; (vi) amortization of deferred financing costs;</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(viii) non-recurring infrequent or unusual losses (gains); (ix) less maintenance capital expenditures; and (x) an adjustment for unconsolidated affiliates and non-controlling interest.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w:t>
      </w:r>
    </w:p>
    <w:p>
      <w:pPr>
        <w:spacing w:after="0" w:line="5" w:lineRule="exact"/>
        <w:rPr>
          <w:sz w:val="20"/>
          <w:szCs w:val="20"/>
          <w:color w:val="auto"/>
        </w:rPr>
      </w:pPr>
    </w:p>
    <w:p>
      <w:pPr>
        <w:jc w:val="both"/>
        <w:ind w:firstLine="8"/>
        <w:spacing w:after="0" w:line="252" w:lineRule="auto"/>
        <w:tabs>
          <w:tab w:leader="none" w:pos="2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$80.5 million or 21.7% to $451.4 million for the three months ended March 31, 2022 from $370.9 million for the same period in 2021. This increase was primarily attributable to an increase in billboard net revenues of $67.7 million, an increase in transit net revenues of $12.5 million, and an increase in logo net revenues of $0.3 million over the same period in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there was a $70.7 million increase in net revenues as compared to acquisition-adjusted net revenue for the three months ended March 31, 2021, which represents an increase of 18.6%. See “Reconciliations” below. The $70.7 million increase in revenue is primarily due to an increase of $59.1 million in billboard net revenues as well as an increase in transit net revenues of $11.4 million over the same period in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$41.2 million, or 18.6%, to $262.9 million for the three months ended March 31, 2022 from $221.6 million for the same period in 2021. The $41.2 million increase over the prior year is comprised of a $43.1 million increase in total direct, general and administrative and corporate expenses (excluding stock-based compensation) primarily related to the operations of our outdoor advertising assets, offset by a $1.9 million decrease in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$7.9 million to $68.6 million for the three months ended March 31, 2022 as compared to $60.7 million for the same period in 2021. The increase is primarily due to acquisitions and capital expenditures that occurred during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recognized a gain on disposition of assets of $0.6 million primarily resulting from transactions related to the sale of billboard locations and displays.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$31.5 million to $120.5 million for the three months ended March 31, 2022 as compared to $88.9 million for the same period in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2021, the Company recognized a loss on debt extinguishment of $21.6 million related to the early repayment of our 5 3/4% Senior Notes during the period. There was no loss on debt extinguishment during the three months ended March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decreased $1.4 million for the three months ended March 31, 2022 to $26.8 million as compared to $28.2 million for the three months ended March 31,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$0.7 million for the three months ended March 31, 2022 as a result of investments that occurred in July of 2021. There was no equity in earnings of investee for the three months ended March 31,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as well as the decrease in interest expense and the decrease in loss on extinguishment of debt, resulted in a $55.3 million increase in net income before income taxes. The effective tax rate for the three months ended March 31, 2022 was 2.6%,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March 31, 2022 of $92.2 million, as compared to net income of $38.3 million for the same period in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three months ended March 31, 2021 by adding to or subtracting from it the net revenue generated by the acquired or divested assets prior to our acquisition or divestiture of these assets for the same time frame that those assets were owned in the three months ended March 31, 2022.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three months ended March 31, as well as a comparison of 2021 acquisition-adjusted net revenue to 2022 reported net revenue for the three months ended March 31,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13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451,388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370,881</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451,388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380,682</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3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28"/>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140.4 %</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March 31, 2022 increased 25.5% to $191.2 million. The increase in adjusted EBITDA was primarily attributable to an increase in our gross margin (net revenue less direct advertising expense, exclusive of depreciation and amortization and capitalized contract fulfillment costs, net) of $52.5 million, offset by an increase in total general and administrative and corporate expenses of $16.6 million, excluding the impact of stock-based compensation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58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vMerge w:val="continue"/>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13"/>
              <w:spacing w:after="0" w:line="12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1"/>
                <w:szCs w:val="11"/>
                <w:color w:val="auto"/>
              </w:rPr>
            </w:pPr>
          </w:p>
        </w:tc>
        <w:tc>
          <w:tcPr>
            <w:tcW w:w="14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140.4 %</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for the three months ended March 31, 2022 increased from $96.1 million in 2021 to $156.3 million for the same period in 2022, an increase of 62.7%. AFFO for the three months ended March 31, 2022 increased 30.2% to $151.9 million as compared to $116.7 million for the same period in 2021.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 effect of stock-based compensation expense) and capital expenditures related to the maintenance of our advertising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March 31, 2022 we had $562.2 million of total liquidity, which is comprised of $115.9 million in cash and cash equivalents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$446.3 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had a working capital deficit of $164.0 million and $274.4 million, respectively. The increase in working capital of $110.3 million is primarily due to a decrease of $32.0 million in current operating lease liabilities, a decrease of $50.2 million in accrued expenses, and an increase in cash and cash equivalents of $16.1 million as of March 31, 2022.</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Cash Generated by Operations</w:t>
      </w:r>
      <w:r>
        <w:rPr>
          <w:rFonts w:ascii="Times New Roman" w:cs="Times New Roman" w:eastAsia="Times New Roman" w:hAnsi="Times New Roman"/>
          <w:sz w:val="18"/>
          <w:szCs w:val="18"/>
          <w:color w:val="auto"/>
        </w:rPr>
        <w:t>. For the three months ended March 31, 2022 and 2021, our cash provided by operating activities was $102.0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$83.3 million, respectively. The increase in cash provided by operating activities for the three months ended March 31, 2022 over the same period in 2021 primarily relates to an increase in revenues of $80.5 million offset by 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 in operating expenses (excluding stock-based compensation, gain on disposition of assets, and depreciation and amortization) of $43.1 million. We expect to generate cash flows from operations during 2022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December 18, 2018, we entered into the Accounts Receivable Securitization Program. The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Securitization Program provides up to $175.0 million in borrowing capacity, plus an accordion feature that would permit the borrowing capacity to be increased by up to $125.0 million. 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24, 2021, Lamar Media and the Special Purpose Subsidiaries entered into the Fifth Amendment (the "Fifth Amendment") to the Accounts Receivable Securitization Program, as amended. The Fifth Amendment extends the maturity date of the Accounts Receivable Securitization Program to July 21, 2024. Additionally, the Fifth Amendment decreases the Minimum Funding Threshold which, as amended, requires the Special Purpose Subsidiaries to maintain minimum borrowings under the Accounts Receivable Securitization Program on any day equal to the lesser of (i) 50.00% of the aggregate Commitment of all Lenders or (ii) the Borrowing Base, provided that the Minimum Funding Threshold shall be zero on any day that is a Minimum Funding Threshold Holiday which, as amended, provides for an annual holiday from the requirement of up to sixty days per year. The Fifth Amendment also provides for updated LIBOR replacement procedures.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there was $175.0 million in outstanding aggregate borrowings under the Accounts Receivable Securitization Program. Lamar Media had no additional availability under the Accounts Receivable Securitization Program as of March 31, 2022. The Accounts Receivable Securitization Program will mature on July 21, 2024.</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May 1, 2018, the Company entered into an equity distribution agreement (the “Sales Agreement”) with J.P.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Morgan Securities LLC, Wells Fargo Securities LLC and SunTrust Robinson Humphrey, Inc. as our sales agents. Under the terms of the Sales Agreement, the Company could have, from time to time, issued and sold shares of its Class A common stock, having an aggregate offering price of up to $400.0 million through the sales agents as either agents or principals. The Sales Agreement expired by its terms on May 1, 2021. The Company did not issue any shares under this program in 2021.</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March 31, 2022.</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Shelf Registration Statement</w:t>
      </w:r>
      <w:r>
        <w:rPr>
          <w:rFonts w:ascii="Times New Roman" w:cs="Times New Roman" w:eastAsia="Times New Roman" w:hAnsi="Times New Roman"/>
          <w:sz w:val="18"/>
          <w:szCs w:val="18"/>
          <w:b w:val="1"/>
          <w:bCs w:val="1"/>
          <w:color w:val="222222"/>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21, 2021, the Company filed a new automatically effective shelf registration statement that allows Lamar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offer and sell an indeterminate amount of additional shares of its Class A common stock. During the three months ended March 31, 2022 and the year ended December 31, 2021, the Company did not issue any shares under either shelf registration.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On February 6, 2020, Lamar Media entered into a Fourth Amended and Restated Credit Agreement (the “Fourth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(the “senior credit facility”), consists of (i) a $750.0 million senior secured revolving credit facility which will mature on February 6, 2025 (the “revolving credit facility”), (ii) a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the aggregate balance outstanding under the senior credit facility was $890.0 million, consisting of $600.0 million in Term B loans aggregate principal balance and $290.0 million in outstanding borrowings under our revolving credit facility. Lamar Media had approximately $446.3 million of unused capacity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 conditions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where the Company conducts its business and overall spending on advertising by advertisers. We expect to generate cash flows from operations during 2022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 its outstanding debt securities and its Accounts Receivable Securitization Program.</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to incur indebtedness pursuant to the following baskets:</w:t>
      </w:r>
    </w:p>
    <w:p>
      <w:pPr>
        <w:spacing w:after="0" w:line="99"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 facility.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March 31, 2022 we were, and currently, we are, in compliance with all such tests under the senior credit facility.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Times New Roman" w:cs="Times New Roman" w:eastAsia="Times New Roman" w:hAnsi="Times New Roman"/>
          <w:sz w:val="18"/>
          <w:szCs w:val="18"/>
          <w:i w:val="1"/>
          <w:iCs w:val="1"/>
          <w:color w:val="auto"/>
        </w:rPr>
        <w:t>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Cash – Accounts Receivable Securitization Program</w:t>
      </w:r>
      <w:r>
        <w:rPr>
          <w:rFonts w:ascii="Times New Roman" w:cs="Times New Roman" w:eastAsia="Times New Roman" w:hAnsi="Times New Roman"/>
          <w:sz w:val="18"/>
          <w:szCs w:val="18"/>
          <w:color w:val="auto"/>
        </w:rPr>
        <w:t>)) 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Advertising, Lamar Media and its restricted subsidiaries (other than the Special Purpose Subsidiaries) to (b) EBITDA, as defined below, for the most recent four fiscal quarters then ended, is less than 7.0 to 1.0.</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w:t>
      </w:r>
    </w:p>
    <w:p>
      <w:pPr>
        <w:jc w:val="both"/>
        <w:ind w:firstLine="8"/>
        <w:spacing w:after="0" w:line="251" w:lineRule="auto"/>
        <w:tabs>
          <w:tab w:leader="none" w:pos="2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will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us, and our restricted subsidiaries, determined on a consolidated basis in accordance with GAAP; provided that following is excluded from net income: the (a) the income (or deficit) of any person accrued prior to the date it becomes a restricted subsidiary or is merged into or consolidated with Lamar Advertising, us or any of our restricted subsidiaries, and (b) the income (or 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$28.8 million for the three months ended March 31, 2022.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our 2022 total capital expenditures to be approximately $170.0 million.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three months ended March 31, 2022, the Company completed acquisitions for an aggregate purchase price of approximately $55.3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which were financed using available cash on hand and borrowings on the Accounts Receivable Securitization Program and revolving credit facility.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4, 2022, the Company acquired Burkhart Advertising Inc. which includes more than 1,500 billboard structures and 3,200 billboard faces, including 23 digital displays. The acquisition was funded with a combination of cash on hand and borrowings under our revolving credit facility.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24, 2022, the Company's Board of Directors declared a quarterly cash dividend of $1.10 per share, paid on March 31, 2022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record of its Class A common stock and Class B common stock on March 21, 2022. Subject to approval of the Company's Board of Directors, the Company expects aggregate quarterly distributions to stockholders in 2022 will be $4.70 per common share, including the dividend paid on March 31, 2022.</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Umbrella Partnership Real Estate Investment Trust. </w:t>
      </w:r>
      <w:r>
        <w:rPr>
          <w:rFonts w:ascii="Times New Roman" w:cs="Times New Roman" w:eastAsia="Times New Roman" w:hAnsi="Times New Roman"/>
          <w:sz w:val="18"/>
          <w:szCs w:val="18"/>
          <w:color w:val="auto"/>
        </w:rPr>
        <w:t>Subject to approval of the Company's Board of Directors, the Company is planning an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to an Umbrella Partnership Real Estate Investment Trust ("UPREIT"). The UPREIT structure allows property owners of appreciated properties to contribute property to the operating partnership of the REIT, on a tax-deferred basis, in exchange for a partnership interest in the form of operating partnership units. This reorganization is not expected to have any material impact on the Company's combined financial statements or business operations.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Special Purpose Acquisition Company. </w:t>
      </w:r>
      <w:r>
        <w:rPr>
          <w:rFonts w:ascii="Times New Roman" w:cs="Times New Roman" w:eastAsia="Times New Roman" w:hAnsi="Times New Roman"/>
          <w:sz w:val="18"/>
          <w:szCs w:val="18"/>
          <w:color w:val="auto"/>
        </w:rPr>
        <w:t>On April 6, 2021, Lamar Partnering Corporation (“LPC”), a newly formed special purpose acquisition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wholly-owned subsidiary of the Company, filed a Registration Statement on Form S-1, with the Securities and Exchange Commission. Subject to market conditions, LPC’s proposed public offering is expected to have a base offering size of $300.0 million, or up to $345.0 million if the underwriters’ over-allotment is exercised in full. The Company, through an indirect wholly-owned subsidiary, would own approximately 20% of LPC’s issued and outstanding ordinary shares upon the consummation of the proposed offering. The Company intends to commit to acquire up to $100.0 million of forward purchase units in a forward purchase agreement that would close concurrently with LPC’s consummation of an initial business combination. As of March 31, 2022, the Company had incurred $1.1 million in deferred offering costs related to the proposed offering, which is included in other assets on our Condensed Consolidated Balance Sheet.</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On March 16, 2020, the Company’s Board of Directors authorized the repurchase of up to $250.0 million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On September 20, 2021, the Board of Directors authorized the extension of the repurchase program through March 31, 2023. There were no repurchases under the program as of March 31, 2022. The Company’s management may opt not to make any repurchases under the program, or may make aggregate purchases less than the total amount authorized.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three months ended March 31, 2022 and thereafter are comprised of contractual obligations, required annual distributions and other opportunistic expenditures.</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required payments under operating and financing leases as of March 31, 2022 (in millions):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Debt maturities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2,955.1</w:t>
            </w:r>
          </w:p>
        </w:tc>
      </w:tr>
      <w:tr>
        <w:trPr>
          <w:trHeight w:val="229"/>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Interest obligations on long-term debt</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5,072.2</w:t>
            </w:r>
          </w:p>
        </w:tc>
      </w:tr>
      <w:tr>
        <w:trPr>
          <w:trHeight w:val="21"/>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w:t>
      </w:r>
    </w:p>
    <w:p>
      <w:pPr>
        <w:spacing w:after="0" w:line="2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March 2022 levels.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Required Annual Distributions</w:t>
      </w:r>
      <w:r>
        <w:rPr>
          <w:rFonts w:ascii="Times New Roman" w:cs="Times New Roman" w:eastAsia="Times New Roman" w:hAnsi="Times New Roman"/>
          <w:sz w:val="18"/>
          <w:szCs w:val="18"/>
          <w:color w:val="auto"/>
        </w:rPr>
        <w:t>. As a REIT, the Company must annually distribute to its stockholders an amount equal to at least 90% of its REIT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(determined before the deduction for distributed earnings and excluding any net capital gain). On February 24, 2022, the Company's Board of Directors approved a dividend of $1.10 per common share, paid on March 31, 2022. Our Board of Directors will continue to evaluate future dividends in order to continue to satisfy the requirements needed to maintain our REIT status.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Opportunistic Expenditures</w:t>
      </w:r>
      <w:r>
        <w:rPr>
          <w:rFonts w:ascii="Times New Roman" w:cs="Times New Roman" w:eastAsia="Times New Roman" w:hAnsi="Times New Roman"/>
          <w:sz w:val="18"/>
          <w:szCs w:val="18"/>
          <w:color w:val="auto"/>
        </w:rPr>
        <w:t>. As part of our capital allocation strategy, we plan to continue to allocate our available capital among investment alternatives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$18.7 million from $83.3 million for the three months ended March 31, 2021 to $102.0 million for the three months ended March 31, 2022, primarily resulting from an increase in revenues of $80.5 million offset by an increase in operating expenses (excluding stock-based compensation, gain on disposition of assets, and depreciation and amortization) of $43.1 million, as compared to the comparable period in 2021.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increased $65.5 million from $17.8 million for the three months ended March 31, 2021 to $83.3 million for the three months ended March 31, 2022 primarily due to a net increase in the amount of assets acquired through acquisitions, investments and capital expenditures of $64.4 million, as compared to the same period in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flows used in financing activities were $2.7 million for the three months ended March 31, 2022 as compared to $144.1 million for the three months ended March 31, 2021. This decrease in cash used in financing activities of $141.4 million for the three months ended March 31, 2022 is primarily due to financing transactions that occurred during 2021, offset by an increase in cash paid for dividends and distributions in 2022 over the comparable period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2021 Combined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which provides optional expedients and exceptions to account for contracts, hedging relationships and other transactions that reference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London Interbank Offered Rate (“LIBOR”) or another reference rate if certain criteria are met. In January 2021, the FASB clarified the scope of this guidance with the issuance of ASU 2021-01, </w:t>
      </w:r>
      <w:r>
        <w:rPr>
          <w:rFonts w:ascii="Times New Roman" w:cs="Times New Roman" w:eastAsia="Times New Roman" w:hAnsi="Times New Roman"/>
          <w:sz w:val="18"/>
          <w:szCs w:val="18"/>
          <w:i w:val="1"/>
          <w:iCs w:val="1"/>
          <w:color w:val="auto"/>
        </w:rPr>
        <w:t>Reference Rate Reform: Scope</w:t>
      </w:r>
      <w:r>
        <w:rPr>
          <w:rFonts w:ascii="Times New Roman" w:cs="Times New Roman" w:eastAsia="Times New Roman" w:hAnsi="Times New Roman"/>
          <w:sz w:val="18"/>
          <w:szCs w:val="18"/>
          <w:color w:val="auto"/>
        </w:rPr>
        <w:t>. ASU 2020-04 may be applied prospectively to contract modifications made and hedging relationships entered into or evaluated on or before December 31, 2022. As of March 31, 2022, the Company has not modified any contracts as a result of reference rate reform and is evaluating the impact this standard may have on its financial statements.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which provides guidance on the recognition and measurement of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At the acquisition date, the acquirer should account for the related revenue contracts as if the acquirer had originated the contracts. The guidance also provides certain practical expedients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acquirers when recognizing and measuring acquired contract assets and contract liabilities from revenue contracts in a business combination. This guidance is effective for public entities as of December 15, 2022. We do not anticipate the adoption of this guidance will have a material impact to the Company's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months ended March 31, 2022 and 2021. This discussion should be read in conjunction with the consolidated financial statements of Lamar Media and the related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$80.5 million or 21.7% to $451.4 million for the three months ended March 31, 2022 from $370.9 million for the same period in 2021. This increase was primarily attributable to an increase in billboard net revenues of $67.7 million, an increase in transit net revenues of $12.5 million, and an increase in logo net revenues of $0.3 million over the same period in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there was a $70.7 million increase in net revenues as compared to acquisition-adjusted net revenue for the three months ended March 31, 2021, which represents an increase of 18.6%. See “Reconciliations” below. The $70.7 million increase in revenue is primarily due to an increase of $59.1 million in billboard net revenues as well as an increase in transit net revenues of $11.4 million over the same period in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$41.2 million, or 18.6%, to $262.7 million for the three months ended March 31, 2022 from $221.5 million in the same period in 2021. The $41.2 million increase over the prior year is comprised of a $43.1 million increase in total direct, general and administrative and corporate expenses (excluding stock-based compensation) primarily related to the operations of our outdoor advertising assets, offset by a $1.9 million decrease in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$7.9 million to $68.6 million for the three months ended March 31, 2022 as compared to $60.7 million for the same period in 2021. The increase is primarily due to acquisitions and capital expenditures that occurred during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Lamar Media recognized a gain on disposition of assets of $0.6 million, primarily resulting from transactions related to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$31.5 million to $120.6 million for the three months ended March 31, 2022 as compared to $89.1 million for the same period in 2021.</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2021, Lamar Media recognized a loss on debt extinguishment of $21.6 million related to the early repayment of our 5 3/4% Senior Notes during the period. There was no loss on debt extinguishment during the three months ended March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decreased $1.4 million for the three months ended March 31, 2022 to $26.8 million as compared to $28.2 million for the three months ended March 31,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$0.7 million for the three months ended March 31, 2022 as a result of investments that occurred in July of 2021. There was no equity in earnings of investee for the three months ended March 31,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as well as the decrease in interest expense and the decrease in loss on extinguishment of debt, resulted in a $55.3 million increase in net income before income taxes. The effective tax rate for the three months ended March 31, 2022 was 2.6%,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March 31, 2022 of $92.3 million, as compared to net income of $38.5 million for the same period in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three months ended March 31, 2021 by adding to or subtracting from it the net revenue generated by the acquired or divested assets prior to our acquisition or divestiture of these assets for the same time frame that those assets were owned in the three months ended March 31, 2022.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three months ended March 31, as well as a comparison of 2021 acquisition-adjusted net revenue to 2022 reported net revenue for the three months ended March 31,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13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451,388</w:t>
            </w:r>
          </w:p>
        </w:tc>
        <w:tc>
          <w:tcPr>
            <w:tcW w:w="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370,881</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451,388</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380,682</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4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44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28"/>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191,382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March 31, 2022 increased 25.4% to $191.4 million. The increase in adjusted EBITDA was primarily attributable to an increase in our gross margin (net revenue less direct advertising expense, exclusive of depreciation and amortization and capitalized contract fulfillment costs, net) of $52.5 million, offset by an increase in total general and administrative and corporate expenses of $16.6 million, excluding the impact of stock-based compensation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0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55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3"/>
              <w:spacing w:after="0" w:line="12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1"/>
                <w:szCs w:val="11"/>
                <w:color w:val="auto"/>
              </w:rPr>
            </w:pPr>
          </w:p>
        </w:tc>
        <w:tc>
          <w:tcPr>
            <w:tcW w:w="14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190"/>
        </w:trPr>
        <w:tc>
          <w:tcPr>
            <w:tcW w:w="5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for the three months ended March 31, 2022 increased from $96.2 million in 2021 to $156.5 million for the same period in 2022, an increase of 62.6%. AFFO for the three months ended March 31, 2022 increased 30.1% to $152.0 million as compared to $116.8 million for the same period in 2021.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 effect of stock-based compensation expense) and capital expenditures related to the maintenance of our advertising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9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Lamar Advertising Company and Lamar Media Corp.</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March 31, 2022, and should be read in conjunction with Note 10 of the Notes to the Company’s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2022 there was approximately $1.06 billion of indebtedness outstanding under the senior credit facility and the Accounts Receivable Securitization Program, or approximately 33.6% of the Company’s outstanding long-term debt on that date, bearing interest at variable rates. The aggregate interest expense for 2022 with respect to borrowings under the senior credit facility and the Accounts Receivable Securitization Program was $3.9 million, and the weighted average interest rate applicable to these borrowings during 2022 was 1.5%. Assuming that the weighted average interest rate was 200 basis points higher (that is 3.5% rather than 1.5%), then the Company’s 2022 interest expense would have increased by approximately $4.6 million for the three months ended March 31, 2022.</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ind w:left="200" w:hanging="192"/>
        <w:spacing w:after="0"/>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93" w:lineRule="exact"/>
        <w:rPr>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2021,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2021.</w:t>
      </w:r>
    </w:p>
    <w:p>
      <w:pPr>
        <w:spacing w:after="0" w:line="284" w:lineRule="exact"/>
        <w:rPr>
          <w:sz w:val="20"/>
          <w:szCs w:val="20"/>
          <w:color w:val="auto"/>
        </w:rPr>
      </w:pPr>
    </w:p>
    <w:p>
      <w:pPr>
        <w:ind w:right="4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720" w:type="dxa"/>
            <w:vAlign w:val="bottom"/>
            <w:gridSpan w:val="25"/>
            <w:vMerge w:val="restart"/>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720" w:type="dxa"/>
            <w:vAlign w:val="bottom"/>
            <w:gridSpan w:val="2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120" w:type="dxa"/>
            <w:vAlign w:val="bottom"/>
            <w:tcBorders>
              <w:top w:val="single" w:sz="8" w:color="auto"/>
            </w:tcBorders>
            <w:gridSpan w:val="27"/>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State of Delaware effective as of November 18, 2014. Previously filed as Exhibit 3.1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(File No. 1-36756) filed on November 19, 2014 and incorporated herein by reference.</w:t>
              </w:r>
            </w:hyperlink>
          </w:p>
        </w:tc>
        <w:tc>
          <w:tcPr>
            <w:tcW w:w="392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120" w:type="dxa"/>
            <w:vAlign w:val="bottom"/>
            <w:gridSpan w:val="27"/>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K (File No. 1-36756) filed on November 19, 2014 and incorporated herein by reference.</w:t>
              </w:r>
            </w:hyperlink>
          </w:p>
        </w:tc>
        <w:tc>
          <w:tcPr>
            <w:tcW w:w="35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10120" w:type="dxa"/>
            <w:vAlign w:val="bottom"/>
            <w:gridSpan w:val="27"/>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Company’s Quarterly Report on Form 10-Q for the period ended March 31, 2007 (File No. 0-30242) filed on May 10, 2007 and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incorporated herein by reference.</w:t>
              </w:r>
            </w:hyperlink>
          </w:p>
        </w:tc>
        <w:tc>
          <w:tcPr>
            <w:tcW w:w="758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10120" w:type="dxa"/>
            <w:vAlign w:val="bottom"/>
            <w:gridSpan w:val="27"/>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Current Report on Form 8-K (File No. 1-36756) filed on November 19, 2014 and incorporated herein by reference.</w:t>
              </w:r>
            </w:hyperlink>
          </w:p>
        </w:tc>
        <w:tc>
          <w:tcPr>
            <w:tcW w:w="160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10120" w:type="dxa"/>
            <w:vAlign w:val="bottom"/>
            <w:gridSpan w:val="27"/>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the period ended September 30, 1999 (File No. 1-12407) filed on November 12, 1999 and incorporated herein by reference.</w:t>
              </w:r>
            </w:hyperlink>
          </w:p>
        </w:tc>
        <w:tc>
          <w:tcPr>
            <w:tcW w:w="10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January 26, 2022, among Lamar Media, the Guarantors named therein and U.S.</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Bank National Association, as Trustee, dated as of January 22, 2021, relating to Lamar Media’s 3.625%% Senior Notes due 2031. Filed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January 26, 2022, among Lamar Media, the Guarantors named therein and U.S.</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Bank National Association, as Trustee, dated as of February 6, 2020, relating to Lamar Media’s 3.750% Senior Notes due 2028. Filed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January 26, 2022, among Lamar Media, the Guarantors named therein and U.S.</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Bank National Association, as Trustee, dated as of February 6, 2020, relating to Lamar Media’s 4.000% Senior Notes due 2030. Filed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January 26, 2022, among Lamar Media, the Guarantors named therein and U.S.</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Bank National Association, as Trustee, dated as of May 13, 2020, relating to Lamar Media’s 4.875% Senior Notes due 2029. Filed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Joinder Agreement, dated as of March 17, 2022, to the Fourth Amended and Restated Credit Agreement dated as of dated as of</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February 6, 2020 (as amended by that certain Amendment No. 1, dated as of July 2, 2021, and as further amended), among Lamar</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Media, the subsidiary borrower party thereto, the subsidiary guarantors party thereto, the lenders party thereto and JPMorgan Chase</w:t>
            </w:r>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2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Bank, N.A., as administrative agent, by Sky High Murals-Colossal Media, Inc. Filed herewith.</w:t>
            </w:r>
          </w:p>
        </w:tc>
        <w:tc>
          <w:tcPr>
            <w:tcW w:w="3260" w:type="dxa"/>
            <w:vAlign w:val="bottom"/>
            <w:gridSpan w:val="20"/>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and Lamar Media pursuant to Securities Exchange Act Rules 13a-14(a)</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and 15d-14(a) as adopted pursuant to Section 302 of the Sarbanes-Oxley Act of 2002. Filed herewith.</w:t>
            </w:r>
          </w:p>
        </w:tc>
        <w:tc>
          <w:tcPr>
            <w:tcW w:w="2700" w:type="dxa"/>
            <w:vAlign w:val="bottom"/>
            <w:tcBorders>
              <w:top w:val="single" w:sz="8" w:color="0000FF"/>
            </w:tcBorders>
            <w:gridSpan w:val="15"/>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and Lamar Media pursuant to Securities Exchange Act Rules 13a-14(a) and</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15d-14(a) as adopted pursuant to Section 302 of the Sarbanes-Oxley Act of 2002. Filed herewith.</w:t>
            </w:r>
          </w:p>
        </w:tc>
        <w:tc>
          <w:tcPr>
            <w:tcW w:w="2920" w:type="dxa"/>
            <w:vAlign w:val="bottom"/>
            <w:tcBorders>
              <w:top w:val="single" w:sz="8" w:color="0000FF"/>
            </w:tcBorders>
            <w:gridSpan w:val="12"/>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Filed</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380" w:right="20" w:hanging="879"/>
        <w:spacing w:after="0" w:line="224"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March 31, 2022,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05" w:lineRule="exact"/>
        <w:rPr>
          <w:sz w:val="20"/>
          <w:szCs w:val="20"/>
          <w:color w:val="auto"/>
        </w:rPr>
      </w:pPr>
    </w:p>
    <w:p>
      <w:pPr>
        <w:ind w:left="1380" w:hanging="879"/>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21"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JANUARY 22, 2021</w:t>
      </w:r>
    </w:p>
    <w:p>
      <w:pPr>
        <w:spacing w:after="0" w:line="200" w:lineRule="exact"/>
        <w:rPr>
          <w:sz w:val="20"/>
          <w:szCs w:val="20"/>
          <w:color w:val="auto"/>
        </w:rPr>
      </w:pPr>
    </w:p>
    <w:p>
      <w:pPr>
        <w:spacing w:after="0" w:line="253" w:lineRule="exact"/>
        <w:rPr>
          <w:sz w:val="20"/>
          <w:szCs w:val="20"/>
          <w:color w:val="auto"/>
        </w:rPr>
      </w:pPr>
    </w:p>
    <w:p>
      <w:pPr>
        <w:jc w:val="both"/>
        <w:ind w:right="20" w:firstLine="428"/>
        <w:spacing w:after="0" w:line="220" w:lineRule="auto"/>
        <w:rPr>
          <w:sz w:val="20"/>
          <w:szCs w:val="20"/>
          <w:color w:val="auto"/>
        </w:rPr>
      </w:pPr>
      <w:r>
        <w:rPr>
          <w:rFonts w:ascii="Times New Roman" w:cs="Times New Roman" w:eastAsia="Times New Roman" w:hAnsi="Times New Roman"/>
          <w:sz w:val="22"/>
          <w:szCs w:val="22"/>
          <w:color w:val="auto"/>
        </w:rPr>
        <w:t>THIS SUPPLEMENTAL INDENTURE dated as of January 26, 2022,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SKY HIGH MURALS-COLOSSAL MEDIA, INC., a New York corporation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predecessor trustee, The Bank of New York Mellon Trust Company, N.A., an Indenture, dated as of January 22, 2021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3.625%% Senior Notes due 2031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7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79"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06" w:lineRule="exact"/>
        <w:rPr>
          <w:rFonts w:ascii="Times New Roman" w:cs="Times New Roman" w:eastAsia="Times New Roman" w:hAnsi="Times New Roman"/>
          <w:sz w:val="22"/>
          <w:szCs w:val="22"/>
          <w:color w:val="auto"/>
        </w:rPr>
      </w:pPr>
    </w:p>
    <w:p>
      <w:pPr>
        <w:jc w:val="both"/>
        <w:ind w:firstLine="656"/>
        <w:spacing w:after="0" w:line="220" w:lineRule="auto"/>
        <w:tabs>
          <w:tab w:leader="none" w:pos="117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pacing w:after="0" w:line="177"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6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ectPr>
          <w:pgSz w:w="11900" w:h="16838" w:orient="portrait"/>
          <w:cols w:equalWidth="0" w:num="1">
            <w:col w:w="11240"/>
          </w:cols>
          <w:pgMar w:left="320" w:top="104" w:right="339" w:bottom="1440" w:gutter="0" w:footer="0" w:header="0"/>
        </w:sectPr>
      </w:pPr>
    </w:p>
    <w:bookmarkStart w:id="51" w:name="page52"/>
    <w:bookmarkEnd w:id="51"/>
    <w:p>
      <w:pPr>
        <w:ind w:left="-20" w:firstLine="656"/>
        <w:spacing w:after="0" w:line="236" w:lineRule="auto"/>
        <w:tabs>
          <w:tab w:leader="none" w:pos="115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77" w:lineRule="exact"/>
        <w:rPr>
          <w:rFonts w:ascii="Times New Roman" w:cs="Times New Roman" w:eastAsia="Times New Roman" w:hAnsi="Times New Roman"/>
          <w:sz w:val="22"/>
          <w:szCs w:val="22"/>
          <w:color w:val="auto"/>
        </w:rPr>
      </w:pPr>
    </w:p>
    <w:p>
      <w:pPr>
        <w:ind w:left="-20" w:firstLine="656"/>
        <w:spacing w:after="0" w:line="236" w:lineRule="auto"/>
        <w:tabs>
          <w:tab w:leader="none" w:pos="100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7" w:lineRule="exact"/>
        <w:rPr>
          <w:rFonts w:ascii="Times New Roman" w:cs="Times New Roman" w:eastAsia="Times New Roman" w:hAnsi="Times New Roman"/>
          <w:sz w:val="22"/>
          <w:szCs w:val="22"/>
          <w:color w:val="auto"/>
        </w:rPr>
      </w:pPr>
    </w:p>
    <w:p>
      <w:pPr>
        <w:ind w:left="-20" w:right="20" w:firstLine="656"/>
        <w:spacing w:after="0" w:line="236" w:lineRule="auto"/>
        <w:tabs>
          <w:tab w:leader="none" w:pos="104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40" w:top="1395" w:right="339" w:bottom="1440" w:gutter="0" w:footer="0" w:header="0"/>
        </w:sectPr>
      </w:pPr>
    </w:p>
    <w:bookmarkStart w:id="52" w:name="page53"/>
    <w:bookmarkEnd w:id="52"/>
    <w:p>
      <w:pPr>
        <w:ind w:firstLine="285"/>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1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SKY HIGH MURALS-COLOSSAL MEDIA, INC.</w:t>
      </w:r>
    </w:p>
    <w:p>
      <w:pPr>
        <w:spacing w:after="0" w:line="200" w:lineRule="exact"/>
        <w:rPr>
          <w:sz w:val="20"/>
          <w:szCs w:val="20"/>
          <w:color w:val="auto"/>
        </w:rPr>
      </w:pPr>
    </w:p>
    <w:p>
      <w:pPr>
        <w:spacing w:after="0" w:line="23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1240"/>
          </w:cols>
          <w:pgMar w:left="320" w:top="1395" w:right="339" w:bottom="1440" w:gutter="0" w:footer="0" w:header="0"/>
        </w:sectPr>
      </w:pPr>
    </w:p>
    <w:bookmarkStart w:id="53" w:name="page54"/>
    <w:bookmarkEnd w:id="53"/>
    <w:p>
      <w:pPr>
        <w:ind w:left="148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91" w:right="1440" w:bottom="1440" w:gutter="0" w:footer="0" w:header="0"/>
        </w:sectPr>
      </w:pPr>
    </w:p>
    <w:bookmarkStart w:id="54" w:name="page55"/>
    <w:bookmarkEnd w:id="54"/>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COLORADO LOGOS, INC.</w:t>
      </w:r>
    </w:p>
    <w:p>
      <w:pPr>
        <w:ind w:left="2120"/>
        <w:spacing w:after="0" w:line="204" w:lineRule="auto"/>
        <w:rPr>
          <w:sz w:val="20"/>
          <w:szCs w:val="20"/>
          <w:color w:val="auto"/>
        </w:rPr>
      </w:pPr>
      <w:r>
        <w:rPr>
          <w:rFonts w:ascii="Times New Roman" w:cs="Times New Roman" w:eastAsia="Times New Roman" w:hAnsi="Times New Roman"/>
          <w:sz w:val="22"/>
          <w:szCs w:val="22"/>
          <w:color w:val="auto"/>
        </w:rPr>
        <w:t>KANSAS LOGOS, INC.</w:t>
      </w:r>
    </w:p>
    <w:p>
      <w:pPr>
        <w:spacing w:after="0" w:line="1" w:lineRule="exact"/>
        <w:rPr>
          <w:sz w:val="20"/>
          <w:szCs w:val="20"/>
          <w:color w:val="auto"/>
        </w:rPr>
      </w:pPr>
    </w:p>
    <w:p>
      <w:pPr>
        <w:ind w:left="2120" w:right="2159"/>
        <w:spacing w:after="0" w:line="204" w:lineRule="auto"/>
        <w:rPr>
          <w:sz w:val="20"/>
          <w:szCs w:val="20"/>
          <w:color w:val="auto"/>
        </w:rPr>
      </w:pPr>
      <w:r>
        <w:rPr>
          <w:rFonts w:ascii="Times New Roman" w:cs="Times New Roman" w:eastAsia="Times New Roman" w:hAnsi="Times New Roman"/>
          <w:sz w:val="22"/>
          <w:szCs w:val="22"/>
          <w:color w:val="auto"/>
        </w:rPr>
        <w:t>LAMAR AIRPORT ADVERTISING COMPANY LAMAR ADVERTISING OF MICHIGAN, INC. LAMAR ADVERTISING OF YOUNGSTOWN, INC. LAMAR ADVERTISING SOUTHWEST, INC. LAMAR ELECTRICAL, INC. LAMAR OCI SOUTH CORPORATION</w:t>
      </w:r>
    </w:p>
    <w:p>
      <w:pPr>
        <w:ind w:left="2120"/>
        <w:spacing w:after="0" w:line="210" w:lineRule="auto"/>
        <w:rPr>
          <w:sz w:val="20"/>
          <w:szCs w:val="20"/>
          <w:color w:val="auto"/>
        </w:rPr>
      </w:pPr>
      <w:r>
        <w:rPr>
          <w:rFonts w:ascii="Times New Roman" w:cs="Times New Roman" w:eastAsia="Times New Roman" w:hAnsi="Times New Roman"/>
          <w:sz w:val="22"/>
          <w:szCs w:val="22"/>
          <w:color w:val="auto"/>
        </w:rPr>
        <w:t>LAMAR OHIO OUTDOOR HOLDING CORP.</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PENSACOLA TRANSIT,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MICHIGAN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MINNESOTA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NEBRASKA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NEVADA LOGOS, INC.</w:t>
      </w:r>
    </w:p>
    <w:p>
      <w:pPr>
        <w:ind w:left="2120"/>
        <w:spacing w:after="0" w:line="204" w:lineRule="auto"/>
        <w:rPr>
          <w:sz w:val="20"/>
          <w:szCs w:val="20"/>
          <w:color w:val="auto"/>
        </w:rPr>
      </w:pPr>
      <w:r>
        <w:rPr>
          <w:rFonts w:ascii="Times New Roman" w:cs="Times New Roman" w:eastAsia="Times New Roman" w:hAnsi="Times New Roman"/>
          <w:sz w:val="22"/>
          <w:szCs w:val="22"/>
          <w:color w:val="auto"/>
        </w:rPr>
        <w:t>NEW MEXICO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OHIO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SOUTH CAROLINA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TENNESSEE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TLC PROPERTIES, INC.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UTAH LOGOS, INC.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55" w:name="page56"/>
    <w:bookmarkEnd w:id="55"/>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ARIZONA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DELAWARE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GEORGIA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KENTUCKY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LOUISIANA INTERSTATE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MAINE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MISSISSIPPI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MISSOURI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MONTANA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HAMPSHIRE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JERSEY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OKLAHOMA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VIRGINIA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WASHINGTON LOGOS,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56" w:name="page57"/>
    <w:bookmarkEnd w:id="56"/>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CENTRAL OUTDOOR,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THE LAMAR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right="2039"/>
        <w:spacing w:after="0" w:line="216" w:lineRule="auto"/>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1" w:lineRule="exact"/>
        <w:rPr>
          <w:sz w:val="20"/>
          <w:szCs w:val="20"/>
          <w:color w:val="auto"/>
        </w:rPr>
      </w:pPr>
    </w:p>
    <w:p>
      <w:pPr>
        <w:ind w:left="2120" w:right="2379"/>
        <w:spacing w:after="0" w:line="204" w:lineRule="auto"/>
        <w:rPr>
          <w:sz w:val="20"/>
          <w:szCs w:val="20"/>
          <w:color w:val="auto"/>
        </w:rPr>
      </w:pPr>
      <w:r>
        <w:rPr>
          <w:rFonts w:ascii="Times New Roman" w:cs="Times New Roman" w:eastAsia="Times New Roman" w:hAnsi="Times New Roman"/>
          <w:sz w:val="22"/>
          <w:szCs w:val="22"/>
          <w:color w:val="auto"/>
        </w:rPr>
        <w:t>LAMAR ADVERTISING OF LOUISIANA, L.L.C. LAMAR ADVERTISING OF SOUTH DAKOTA, L.L.C.</w:t>
      </w:r>
    </w:p>
    <w:p>
      <w:pPr>
        <w:ind w:left="2120"/>
        <w:spacing w:after="0" w:line="207" w:lineRule="auto"/>
        <w:rPr>
          <w:sz w:val="20"/>
          <w:szCs w:val="20"/>
          <w:color w:val="auto"/>
        </w:rPr>
      </w:pPr>
      <w:r>
        <w:rPr>
          <w:rFonts w:ascii="Times New Roman" w:cs="Times New Roman" w:eastAsia="Times New Roman" w:hAnsi="Times New Roman"/>
          <w:sz w:val="22"/>
          <w:szCs w:val="22"/>
          <w:color w:val="auto"/>
        </w:rPr>
        <w:t>LAMAR AIR,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FLORIDA,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NORTH,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57" w:name="page58"/>
    <w:bookmarkEnd w:id="57"/>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5"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FARMS, L.L.C.</w:t>
      </w:r>
    </w:p>
    <w:p>
      <w:pPr>
        <w:ind w:left="212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Inc.,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GP COMPANY,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ADVANTAGE LP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58" w:name="page59"/>
    <w:bookmarkEnd w:id="58"/>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LAMAR ADVANTAGE OUTDOOR COMPANY, L.P.</w:t>
      </w:r>
    </w:p>
    <w:p>
      <w:pPr>
        <w:spacing w:after="0" w:line="218" w:lineRule="exact"/>
        <w:rPr>
          <w:sz w:val="20"/>
          <w:szCs w:val="20"/>
          <w:color w:val="auto"/>
        </w:rPr>
      </w:pPr>
    </w:p>
    <w:p>
      <w:pPr>
        <w:ind w:left="2340" w:right="2039" w:hanging="215"/>
        <w:spacing w:after="0" w:line="216" w:lineRule="auto"/>
        <w:rPr>
          <w:sz w:val="20"/>
          <w:szCs w:val="20"/>
          <w:color w:val="auto"/>
        </w:rPr>
      </w:pPr>
      <w:r>
        <w:rPr>
          <w:rFonts w:ascii="Times New Roman" w:cs="Times New Roman" w:eastAsia="Times New Roman" w:hAnsi="Times New Roman"/>
          <w:sz w:val="22"/>
          <w:szCs w:val="22"/>
          <w:color w:val="auto"/>
        </w:rPr>
        <w:t>By:</w:t>
      </w:r>
      <w:r>
        <w:rPr>
          <w:sz w:val="20"/>
          <w:szCs w:val="20"/>
          <w:color w:val="auto"/>
        </w:rPr>
        <w:t xml:space="preserve"> </w:t>
      </w:r>
      <w:r>
        <w:rPr>
          <w:rFonts w:ascii="Times New Roman" w:cs="Times New Roman" w:eastAsia="Times New Roman" w:hAnsi="Times New Roman"/>
          <w:sz w:val="22"/>
          <w:szCs w:val="22"/>
          <w:color w:val="auto"/>
        </w:rPr>
        <w:t>Lamar Advantage GP Company, LLC, its General Partner</w:t>
      </w:r>
    </w:p>
    <w:p>
      <w:pPr>
        <w:ind w:left="2120"/>
        <w:spacing w:after="0" w:line="215"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5" w:lineRule="auto"/>
        <w:rPr>
          <w:sz w:val="20"/>
          <w:szCs w:val="20"/>
          <w:color w:val="auto"/>
        </w:rPr>
      </w:pPr>
      <w:r>
        <w:rPr>
          <w:rFonts w:ascii="Times New Roman" w:cs="Times New Roman" w:eastAsia="Times New Roman" w:hAnsi="Times New Roman"/>
          <w:sz w:val="22"/>
          <w:szCs w:val="22"/>
          <w:color w:val="auto"/>
        </w:rPr>
        <w:t>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HOLDING COMPANY</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INVESTMENTS,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SERVICE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59" w:name="page60"/>
    <w:bookmarkEnd w:id="59"/>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OUTDOOR MARKETING SYSTEMS,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OUTDOOR PROMOTIONS WEST,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60" w:name="page61"/>
    <w:bookmarkEnd w:id="60"/>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Class A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61" w:name="page62"/>
    <w:bookmarkEnd w:id="61"/>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FMG OUTDOOR HOLDINGS,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FAIRWAY MEDIA GROUP,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ADVERTISING,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FUNDING HOLDINGS,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FUNDING,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MCC OUTDOOR,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MAGIC MEDIA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FMO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OLYMPUS MEDIA/INDIANA, LLC</w:t>
      </w:r>
    </w:p>
    <w:p>
      <w:pPr>
        <w:ind w:left="212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CC, LLC</w:t>
      </w:r>
    </w:p>
    <w:p>
      <w:pPr>
        <w:ind w:left="212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By: Ashby Street Outdoor Holdings LLC, its sole member</w:t>
      </w: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Johnson </w:t>
      </w:r>
      <w:r>
        <w:rPr>
          <w:rFonts w:ascii="Times New Roman" w:cs="Times New Roman" w:eastAsia="Times New Roman" w:hAnsi="Times New Roman"/>
          <w:sz w:val="21"/>
          <w:szCs w:val="21"/>
          <w:color w:val="auto"/>
        </w:rPr>
        <w:t>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62" w:name="page63"/>
    <w:bookmarkEnd w:id="62"/>
    <w:p>
      <w:pPr>
        <w:spacing w:after="0" w:line="200" w:lineRule="exact"/>
        <w:rPr>
          <w:sz w:val="20"/>
          <w:szCs w:val="20"/>
          <w:color w:val="auto"/>
        </w:rPr>
      </w:pPr>
    </w:p>
    <w:p>
      <w:pPr>
        <w:spacing w:after="0" w:line="23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10" w:lineRule="exact"/>
        <w:rPr>
          <w:sz w:val="20"/>
          <w:szCs w:val="20"/>
          <w:color w:val="auto"/>
        </w:rPr>
      </w:pPr>
    </w:p>
    <w:p>
      <w:pPr>
        <w:ind w:left="2120"/>
        <w:spacing w:after="0" w:line="236" w:lineRule="auto"/>
        <w:rPr>
          <w:sz w:val="20"/>
          <w:szCs w:val="20"/>
          <w:color w:val="auto"/>
        </w:rPr>
      </w:pPr>
      <w:r>
        <w:rPr>
          <w:rFonts w:ascii="Times New Roman" w:cs="Times New Roman" w:eastAsia="Times New Roman" w:hAnsi="Times New Roman"/>
          <w:sz w:val="22"/>
          <w:szCs w:val="22"/>
          <w:color w:val="auto"/>
        </w:rPr>
        <w:t>U.S. BANK NATIONAL ASSOCIATION, successor to The Bank of New York Mellon, Trust Company, N.A.,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40"/>
        <w:spacing w:after="0"/>
        <w:tabs>
          <w:tab w:leader="none" w:pos="2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/s/Wallace L. Duke</w:t>
      </w:r>
      <w:r>
        <w:rPr>
          <w:rFonts w:ascii="Times New Roman" w:cs="Times New Roman" w:eastAsia="Times New Roman" w:hAnsi="Times New Roman"/>
          <w:sz w:val="21"/>
          <w:szCs w:val="21"/>
          <w:color w:val="auto"/>
        </w:rPr>
        <w:t>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u w:val="single" w:color="auto"/>
          <w:color w:val="auto"/>
        </w:rPr>
        <w:t>Wallace Duke</w:t>
      </w:r>
      <w:r>
        <w:rPr>
          <w:rFonts w:ascii="Times New Roman" w:cs="Times New Roman" w:eastAsia="Times New Roman" w:hAnsi="Times New Roman"/>
          <w:sz w:val="21"/>
          <w:szCs w:val="21"/>
          <w:color w:val="auto"/>
        </w:rPr>
        <w:t>__________________________</w:t>
      </w:r>
    </w:p>
    <w:p>
      <w:pPr>
        <w:spacing w:after="0" w:line="1"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u w:val="single" w:color="auto"/>
          <w:color w:val="auto"/>
        </w:rPr>
        <w:t>Vice President</w:t>
      </w:r>
      <w:r>
        <w:rPr>
          <w:rFonts w:ascii="Times New Roman" w:cs="Times New Roman" w:eastAsia="Times New Roman" w:hAnsi="Times New Roman"/>
          <w:sz w:val="22"/>
          <w:szCs w:val="22"/>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760"/>
          </w:cols>
          <w:pgMar w:left="1440" w:top="1440" w:right="6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53" w:lineRule="exact"/>
        <w:rPr>
          <w:sz w:val="20"/>
          <w:szCs w:val="20"/>
          <w:color w:val="auto"/>
        </w:rPr>
      </w:pPr>
    </w:p>
    <w:p>
      <w:pPr>
        <w:jc w:val="both"/>
        <w:ind w:firstLine="428"/>
        <w:spacing w:after="0" w:line="225" w:lineRule="auto"/>
        <w:rPr>
          <w:sz w:val="20"/>
          <w:szCs w:val="20"/>
          <w:color w:val="auto"/>
        </w:rPr>
      </w:pPr>
      <w:r>
        <w:rPr>
          <w:rFonts w:ascii="Times New Roman" w:cs="Times New Roman" w:eastAsia="Times New Roman" w:hAnsi="Times New Roman"/>
          <w:sz w:val="22"/>
          <w:szCs w:val="22"/>
          <w:color w:val="auto"/>
        </w:rPr>
        <w:t>THIS SUPPLEMENTAL INDENTURE dated as of January 26, 2022,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SKY HIGH MURALS-COLOSSAL MEDIA, INC., a New York corporation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predecessor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3.750% Senior Notes due 2028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7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79"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06" w:lineRule="exact"/>
        <w:rPr>
          <w:rFonts w:ascii="Times New Roman" w:cs="Times New Roman" w:eastAsia="Times New Roman" w:hAnsi="Times New Roman"/>
          <w:sz w:val="22"/>
          <w:szCs w:val="22"/>
          <w:color w:val="auto"/>
        </w:rPr>
      </w:pPr>
    </w:p>
    <w:p>
      <w:pPr>
        <w:jc w:val="both"/>
        <w:ind w:firstLine="656"/>
        <w:spacing w:after="0" w:line="220" w:lineRule="auto"/>
        <w:tabs>
          <w:tab w:leader="none" w:pos="117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pacing w:after="0" w:line="177"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6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17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ectPr>
          <w:pgSz w:w="11900" w:h="16838" w:orient="portrait"/>
          <w:cols w:equalWidth="0" w:num="1">
            <w:col w:w="11240"/>
          </w:cols>
          <w:pgMar w:left="320" w:top="104" w:right="339" w:bottom="1440" w:gutter="0" w:footer="0" w:header="0"/>
        </w:sectPr>
      </w:pPr>
    </w:p>
    <w:bookmarkStart w:id="64" w:name="page65"/>
    <w:bookmarkEnd w:id="64"/>
    <w:p>
      <w:pPr>
        <w:spacing w:after="0" w:line="198" w:lineRule="exact"/>
        <w:rPr>
          <w:sz w:val="20"/>
          <w:szCs w:val="20"/>
          <w:color w:val="auto"/>
        </w:rPr>
      </w:pPr>
    </w:p>
    <w:p>
      <w:pPr>
        <w:ind w:left="-20" w:firstLine="656"/>
        <w:spacing w:after="0" w:line="236" w:lineRule="auto"/>
        <w:tabs>
          <w:tab w:leader="none" w:pos="100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7" w:lineRule="exact"/>
        <w:rPr>
          <w:rFonts w:ascii="Times New Roman" w:cs="Times New Roman" w:eastAsia="Times New Roman" w:hAnsi="Times New Roman"/>
          <w:sz w:val="22"/>
          <w:szCs w:val="22"/>
          <w:color w:val="auto"/>
        </w:rPr>
      </w:pPr>
    </w:p>
    <w:p>
      <w:pPr>
        <w:ind w:left="-20" w:right="20" w:firstLine="656"/>
        <w:spacing w:after="0" w:line="236" w:lineRule="auto"/>
        <w:tabs>
          <w:tab w:leader="none" w:pos="104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40" w:top="1440" w:right="339" w:bottom="1440" w:gutter="0" w:footer="0" w:header="0"/>
        </w:sectPr>
      </w:pPr>
    </w:p>
    <w:bookmarkStart w:id="65" w:name="page66"/>
    <w:bookmarkEnd w:id="65"/>
    <w:p>
      <w:pPr>
        <w:ind w:firstLine="285"/>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1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SKY HIGH MURALS-COLOSSAL MEDIA, INC.</w:t>
      </w:r>
    </w:p>
    <w:p>
      <w:pPr>
        <w:spacing w:after="0" w:line="200" w:lineRule="exact"/>
        <w:rPr>
          <w:sz w:val="20"/>
          <w:szCs w:val="20"/>
          <w:color w:val="auto"/>
        </w:rPr>
      </w:pPr>
    </w:p>
    <w:p>
      <w:pPr>
        <w:spacing w:after="0" w:line="23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1240"/>
          </w:cols>
          <w:pgMar w:left="320" w:top="1395" w:right="339" w:bottom="1440" w:gutter="0" w:footer="0" w:header="0"/>
        </w:sectPr>
      </w:pPr>
    </w:p>
    <w:bookmarkStart w:id="66" w:name="page67"/>
    <w:bookmarkEnd w:id="66"/>
    <w:p>
      <w:pPr>
        <w:ind w:left="148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91" w:right="1440" w:bottom="1440" w:gutter="0" w:footer="0" w:header="0"/>
        </w:sectPr>
      </w:pPr>
    </w:p>
    <w:bookmarkStart w:id="67" w:name="page68"/>
    <w:bookmarkEnd w:id="67"/>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COLORADO LOGOS, INC.</w:t>
      </w:r>
    </w:p>
    <w:p>
      <w:pPr>
        <w:ind w:left="2120"/>
        <w:spacing w:after="0" w:line="204" w:lineRule="auto"/>
        <w:rPr>
          <w:sz w:val="20"/>
          <w:szCs w:val="20"/>
          <w:color w:val="auto"/>
        </w:rPr>
      </w:pPr>
      <w:r>
        <w:rPr>
          <w:rFonts w:ascii="Times New Roman" w:cs="Times New Roman" w:eastAsia="Times New Roman" w:hAnsi="Times New Roman"/>
          <w:sz w:val="22"/>
          <w:szCs w:val="22"/>
          <w:color w:val="auto"/>
        </w:rPr>
        <w:t>KANSAS LOGOS, INC.</w:t>
      </w:r>
    </w:p>
    <w:p>
      <w:pPr>
        <w:spacing w:after="0" w:line="1" w:lineRule="exact"/>
        <w:rPr>
          <w:sz w:val="20"/>
          <w:szCs w:val="20"/>
          <w:color w:val="auto"/>
        </w:rPr>
      </w:pPr>
    </w:p>
    <w:p>
      <w:pPr>
        <w:ind w:left="2120" w:right="2159"/>
        <w:spacing w:after="0" w:line="204" w:lineRule="auto"/>
        <w:rPr>
          <w:sz w:val="20"/>
          <w:szCs w:val="20"/>
          <w:color w:val="auto"/>
        </w:rPr>
      </w:pPr>
      <w:r>
        <w:rPr>
          <w:rFonts w:ascii="Times New Roman" w:cs="Times New Roman" w:eastAsia="Times New Roman" w:hAnsi="Times New Roman"/>
          <w:sz w:val="22"/>
          <w:szCs w:val="22"/>
          <w:color w:val="auto"/>
        </w:rPr>
        <w:t>LAMAR AIRPORT ADVERTISING COMPANY LAMAR ADVERTISING OF MICHIGAN, INC. LAMAR ADVERTISING OF YOUNGSTOWN, INC. LAMAR ADVERTISING SOUTHWEST, INC. LAMAR ELECTRICAL, INC. LAMAR OCI SOUTH CORPORATION</w:t>
      </w:r>
    </w:p>
    <w:p>
      <w:pPr>
        <w:ind w:left="2120"/>
        <w:spacing w:after="0" w:line="210" w:lineRule="auto"/>
        <w:rPr>
          <w:sz w:val="20"/>
          <w:szCs w:val="20"/>
          <w:color w:val="auto"/>
        </w:rPr>
      </w:pPr>
      <w:r>
        <w:rPr>
          <w:rFonts w:ascii="Times New Roman" w:cs="Times New Roman" w:eastAsia="Times New Roman" w:hAnsi="Times New Roman"/>
          <w:sz w:val="22"/>
          <w:szCs w:val="22"/>
          <w:color w:val="auto"/>
        </w:rPr>
        <w:t>LAMAR OHIO OUTDOOR HOLDING CORP.</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PENSACOLA TRANSIT,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MICHIGAN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MINNESOTA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NEBRASKA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NEVADA LOGOS, INC.</w:t>
      </w:r>
    </w:p>
    <w:p>
      <w:pPr>
        <w:ind w:left="2120"/>
        <w:spacing w:after="0" w:line="204" w:lineRule="auto"/>
        <w:rPr>
          <w:sz w:val="20"/>
          <w:szCs w:val="20"/>
          <w:color w:val="auto"/>
        </w:rPr>
      </w:pPr>
      <w:r>
        <w:rPr>
          <w:rFonts w:ascii="Times New Roman" w:cs="Times New Roman" w:eastAsia="Times New Roman" w:hAnsi="Times New Roman"/>
          <w:sz w:val="22"/>
          <w:szCs w:val="22"/>
          <w:color w:val="auto"/>
        </w:rPr>
        <w:t>NEW MEXICO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OHIO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SOUTH CAROLINA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TENNESSEE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TLC PROPERTIES, INC.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UTAH LOGOS, INC.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68" w:name="page69"/>
    <w:bookmarkEnd w:id="68"/>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ARIZONA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DELAWARE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GEORGIA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KENTUCKY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LOUISIANA INTERSTATE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MAINE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MISSISSIPPI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MISSOURI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MONTANA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HAMPSHIRE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JERSEY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OKLAHOMA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VIRGINIA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WASHINGTON LOGOS,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69" w:name="page70"/>
    <w:bookmarkEnd w:id="69"/>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CENTRAL OUTDOOR,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THE LAMAR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right="2039"/>
        <w:spacing w:after="0" w:line="216" w:lineRule="auto"/>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1" w:lineRule="exact"/>
        <w:rPr>
          <w:sz w:val="20"/>
          <w:szCs w:val="20"/>
          <w:color w:val="auto"/>
        </w:rPr>
      </w:pPr>
    </w:p>
    <w:p>
      <w:pPr>
        <w:ind w:left="2120" w:right="2379"/>
        <w:spacing w:after="0" w:line="204" w:lineRule="auto"/>
        <w:rPr>
          <w:sz w:val="20"/>
          <w:szCs w:val="20"/>
          <w:color w:val="auto"/>
        </w:rPr>
      </w:pPr>
      <w:r>
        <w:rPr>
          <w:rFonts w:ascii="Times New Roman" w:cs="Times New Roman" w:eastAsia="Times New Roman" w:hAnsi="Times New Roman"/>
          <w:sz w:val="22"/>
          <w:szCs w:val="22"/>
          <w:color w:val="auto"/>
        </w:rPr>
        <w:t>LAMAR ADVERTISING OF LOUISIANA, L.L.C. LAMAR ADVERTISING OF SOUTH DAKOTA, L.L.C.</w:t>
      </w:r>
    </w:p>
    <w:p>
      <w:pPr>
        <w:ind w:left="2120"/>
        <w:spacing w:after="0" w:line="207" w:lineRule="auto"/>
        <w:rPr>
          <w:sz w:val="20"/>
          <w:szCs w:val="20"/>
          <w:color w:val="auto"/>
        </w:rPr>
      </w:pPr>
      <w:r>
        <w:rPr>
          <w:rFonts w:ascii="Times New Roman" w:cs="Times New Roman" w:eastAsia="Times New Roman" w:hAnsi="Times New Roman"/>
          <w:sz w:val="22"/>
          <w:szCs w:val="22"/>
          <w:color w:val="auto"/>
        </w:rPr>
        <w:t>LAMAR AIR,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FLORIDA,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NORTH,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70" w:name="page71"/>
    <w:bookmarkEnd w:id="70"/>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FARMS, L.L.C.</w:t>
      </w:r>
    </w:p>
    <w:p>
      <w:pPr>
        <w:ind w:left="212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Inc.,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GP COMPANY,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ADVANTAGE LP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71" w:name="page72"/>
    <w:bookmarkEnd w:id="71"/>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LAMAR ADVANTAGE OUTDOOR COMPANY, L.P.</w:t>
      </w:r>
    </w:p>
    <w:p>
      <w:pPr>
        <w:spacing w:after="0" w:line="218" w:lineRule="exact"/>
        <w:rPr>
          <w:sz w:val="20"/>
          <w:szCs w:val="20"/>
          <w:color w:val="auto"/>
        </w:rPr>
      </w:pPr>
    </w:p>
    <w:p>
      <w:pPr>
        <w:ind w:left="2340" w:right="2039" w:hanging="215"/>
        <w:spacing w:after="0" w:line="216" w:lineRule="auto"/>
        <w:rPr>
          <w:sz w:val="20"/>
          <w:szCs w:val="20"/>
          <w:color w:val="auto"/>
        </w:rPr>
      </w:pPr>
      <w:r>
        <w:rPr>
          <w:rFonts w:ascii="Times New Roman" w:cs="Times New Roman" w:eastAsia="Times New Roman" w:hAnsi="Times New Roman"/>
          <w:sz w:val="22"/>
          <w:szCs w:val="22"/>
          <w:color w:val="auto"/>
        </w:rPr>
        <w:t>By:</w:t>
      </w:r>
      <w:r>
        <w:rPr>
          <w:sz w:val="20"/>
          <w:szCs w:val="20"/>
          <w:color w:val="auto"/>
        </w:rPr>
        <w:t xml:space="preserve"> </w:t>
      </w:r>
      <w:r>
        <w:rPr>
          <w:rFonts w:ascii="Times New Roman" w:cs="Times New Roman" w:eastAsia="Times New Roman" w:hAnsi="Times New Roman"/>
          <w:sz w:val="22"/>
          <w:szCs w:val="22"/>
          <w:color w:val="auto"/>
        </w:rPr>
        <w:t>Lamar Advantage GP Company, LLC, its General Partner</w:t>
      </w:r>
    </w:p>
    <w:p>
      <w:pPr>
        <w:ind w:left="2120"/>
        <w:spacing w:after="0" w:line="215"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5" w:lineRule="auto"/>
        <w:rPr>
          <w:sz w:val="20"/>
          <w:szCs w:val="20"/>
          <w:color w:val="auto"/>
        </w:rPr>
      </w:pPr>
      <w:r>
        <w:rPr>
          <w:rFonts w:ascii="Times New Roman" w:cs="Times New Roman" w:eastAsia="Times New Roman" w:hAnsi="Times New Roman"/>
          <w:sz w:val="22"/>
          <w:szCs w:val="22"/>
          <w:color w:val="auto"/>
        </w:rPr>
        <w:t>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HOLDING COMPANY</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INVESTMENTS,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SERVICE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72" w:name="page73"/>
    <w:bookmarkEnd w:id="72"/>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OUTDOOR MARKETING SYSTEMS,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OUTDOOR PROMOTIONS WEST,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73" w:name="page74"/>
    <w:bookmarkEnd w:id="73"/>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Class A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FMG OUTDOOR HOLDINGS,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FAIRWAY MEDIA GROUP,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ADVERTISING,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FUNDING HOLDINGS,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FUNDING,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MCC OUTDOOR,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MAGIC MEDIA REAL ESTATE, LLC</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Supplemental Indenture]</w:t>
      </w:r>
    </w:p>
    <w:p>
      <w:pPr>
        <w:sectPr>
          <w:pgSz w:w="11900" w:h="16838" w:orient="portrait"/>
          <w:cols w:equalWidth="0" w:num="1">
            <w:col w:w="9019"/>
          </w:cols>
          <w:pgMar w:left="1440" w:top="1440" w:right="1440" w:bottom="1440" w:gutter="0" w:footer="0" w:header="0"/>
          <w:type w:val="continuous"/>
        </w:sectPr>
      </w:pPr>
    </w:p>
    <w:bookmarkStart w:id="74" w:name="page75"/>
    <w:bookmarkEnd w:id="74"/>
    <w:p>
      <w:pPr>
        <w:ind w:left="2120"/>
        <w:spacing w:after="0"/>
        <w:rPr>
          <w:sz w:val="20"/>
          <w:szCs w:val="20"/>
          <w:color w:val="auto"/>
        </w:rPr>
      </w:pPr>
      <w:r>
        <w:rPr>
          <w:rFonts w:ascii="Times New Roman" w:cs="Times New Roman" w:eastAsia="Times New Roman" w:hAnsi="Times New Roman"/>
          <w:sz w:val="22"/>
          <w:szCs w:val="22"/>
          <w:color w:val="auto"/>
        </w:rPr>
        <w:t>FMO REAL ESTATE,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OLYMPUS MEDIA/INDIANA,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CC, LLC</w:t>
      </w:r>
    </w:p>
    <w:p>
      <w:pPr>
        <w:ind w:left="212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By: Ashby Street Outdoor Holdings LLC, its sole member</w:t>
      </w: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 _</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82" w:right="1440" w:bottom="1440" w:gutter="0" w:footer="0" w:header="0"/>
        </w:sectPr>
      </w:pPr>
    </w:p>
    <w:bookmarkStart w:id="75" w:name="page76"/>
    <w:bookmarkEnd w:id="75"/>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10" w:lineRule="exact"/>
        <w:rPr>
          <w:sz w:val="20"/>
          <w:szCs w:val="20"/>
          <w:color w:val="auto"/>
        </w:rPr>
      </w:pPr>
    </w:p>
    <w:p>
      <w:pPr>
        <w:ind w:left="2120"/>
        <w:spacing w:after="0" w:line="236" w:lineRule="auto"/>
        <w:rPr>
          <w:sz w:val="20"/>
          <w:szCs w:val="20"/>
          <w:color w:val="auto"/>
        </w:rPr>
      </w:pPr>
      <w:r>
        <w:rPr>
          <w:rFonts w:ascii="Times New Roman" w:cs="Times New Roman" w:eastAsia="Times New Roman" w:hAnsi="Times New Roman"/>
          <w:sz w:val="22"/>
          <w:szCs w:val="22"/>
          <w:color w:val="auto"/>
        </w:rPr>
        <w:t>U.S. BANK NATIONAL ASSOCIATION, successor to The Bank of New York Mellon, Trust Company, N.A.,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40"/>
        <w:spacing w:after="0"/>
        <w:tabs>
          <w:tab w:leader="none" w:pos="2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/s/Wallace L. Duke</w:t>
      </w:r>
      <w:r>
        <w:rPr>
          <w:rFonts w:ascii="Times New Roman" w:cs="Times New Roman" w:eastAsia="Times New Roman" w:hAnsi="Times New Roman"/>
          <w:sz w:val="21"/>
          <w:szCs w:val="21"/>
          <w:color w:val="auto"/>
        </w:rPr>
        <w:t>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u w:val="single" w:color="auto"/>
          <w:color w:val="auto"/>
        </w:rPr>
        <w:t>Wallace Duke</w:t>
      </w:r>
      <w:r>
        <w:rPr>
          <w:rFonts w:ascii="Times New Roman" w:cs="Times New Roman" w:eastAsia="Times New Roman" w:hAnsi="Times New Roman"/>
          <w:sz w:val="21"/>
          <w:szCs w:val="21"/>
          <w:color w:val="auto"/>
        </w:rPr>
        <w:t>__________________________</w:t>
      </w:r>
    </w:p>
    <w:p>
      <w:pPr>
        <w:spacing w:after="0" w:line="1"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u w:val="single" w:color="auto"/>
          <w:color w:val="auto"/>
        </w:rPr>
        <w:t>Vice President</w:t>
      </w:r>
      <w:r>
        <w:rPr>
          <w:rFonts w:ascii="Times New Roman" w:cs="Times New Roman" w:eastAsia="Times New Roman" w:hAnsi="Times New Roman"/>
          <w:sz w:val="22"/>
          <w:szCs w:val="22"/>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760"/>
          </w:cols>
          <w:pgMar w:left="1440" w:top="1440" w:right="69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53" w:lineRule="exact"/>
        <w:rPr>
          <w:sz w:val="20"/>
          <w:szCs w:val="20"/>
          <w:color w:val="auto"/>
        </w:rPr>
      </w:pPr>
    </w:p>
    <w:p>
      <w:pPr>
        <w:jc w:val="both"/>
        <w:ind w:firstLine="428"/>
        <w:spacing w:after="0" w:line="225" w:lineRule="auto"/>
        <w:rPr>
          <w:sz w:val="20"/>
          <w:szCs w:val="20"/>
          <w:color w:val="auto"/>
        </w:rPr>
      </w:pPr>
      <w:r>
        <w:rPr>
          <w:rFonts w:ascii="Times New Roman" w:cs="Times New Roman" w:eastAsia="Times New Roman" w:hAnsi="Times New Roman"/>
          <w:sz w:val="22"/>
          <w:szCs w:val="22"/>
          <w:color w:val="auto"/>
        </w:rPr>
        <w:t>THIS SUPPLEMENTAL INDENTURE dated as of January 26, 2022,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SKY HIGH MURALS-COLOSSAL MEDIA, INC., a New York corporation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predecessor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4.000% Senior Notes due 2030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7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80"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06" w:lineRule="exact"/>
        <w:rPr>
          <w:rFonts w:ascii="Times New Roman" w:cs="Times New Roman" w:eastAsia="Times New Roman" w:hAnsi="Times New Roman"/>
          <w:sz w:val="22"/>
          <w:szCs w:val="22"/>
          <w:color w:val="auto"/>
        </w:rPr>
      </w:pPr>
    </w:p>
    <w:p>
      <w:pPr>
        <w:jc w:val="both"/>
        <w:ind w:firstLine="656"/>
        <w:spacing w:after="0" w:line="220" w:lineRule="auto"/>
        <w:tabs>
          <w:tab w:leader="none" w:pos="117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pacing w:after="0" w:line="177"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6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17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ectPr>
          <w:pgSz w:w="11900" w:h="16838" w:orient="portrait"/>
          <w:cols w:equalWidth="0" w:num="1">
            <w:col w:w="11240"/>
          </w:cols>
          <w:pgMar w:left="320" w:top="104" w:right="339" w:bottom="1440" w:gutter="0" w:footer="0" w:header="0"/>
        </w:sectPr>
      </w:pPr>
    </w:p>
    <w:bookmarkStart w:id="77" w:name="page78"/>
    <w:bookmarkEnd w:id="77"/>
    <w:p>
      <w:pPr>
        <w:spacing w:after="0" w:line="198" w:lineRule="exact"/>
        <w:rPr>
          <w:sz w:val="20"/>
          <w:szCs w:val="20"/>
          <w:color w:val="auto"/>
        </w:rPr>
      </w:pPr>
    </w:p>
    <w:p>
      <w:pPr>
        <w:ind w:left="-20" w:firstLine="656"/>
        <w:spacing w:after="0" w:line="236" w:lineRule="auto"/>
        <w:tabs>
          <w:tab w:leader="none" w:pos="100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7" w:lineRule="exact"/>
        <w:rPr>
          <w:rFonts w:ascii="Times New Roman" w:cs="Times New Roman" w:eastAsia="Times New Roman" w:hAnsi="Times New Roman"/>
          <w:sz w:val="22"/>
          <w:szCs w:val="22"/>
          <w:color w:val="auto"/>
        </w:rPr>
      </w:pPr>
    </w:p>
    <w:p>
      <w:pPr>
        <w:ind w:left="-20" w:right="20" w:firstLine="656"/>
        <w:spacing w:after="0" w:line="236" w:lineRule="auto"/>
        <w:tabs>
          <w:tab w:leader="none" w:pos="104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40" w:top="1440" w:right="339" w:bottom="1440" w:gutter="0" w:footer="0" w:header="0"/>
        </w:sectPr>
      </w:pPr>
    </w:p>
    <w:bookmarkStart w:id="78" w:name="page79"/>
    <w:bookmarkEnd w:id="78"/>
    <w:p>
      <w:pPr>
        <w:ind w:firstLine="285"/>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1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SKY HIGH MURALS-COLOSSAL MEDIA, INC.</w:t>
      </w:r>
    </w:p>
    <w:p>
      <w:pPr>
        <w:spacing w:after="0" w:line="200" w:lineRule="exact"/>
        <w:rPr>
          <w:sz w:val="20"/>
          <w:szCs w:val="20"/>
          <w:color w:val="auto"/>
        </w:rPr>
      </w:pPr>
    </w:p>
    <w:p>
      <w:pPr>
        <w:spacing w:after="0" w:line="23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1240"/>
          </w:cols>
          <w:pgMar w:left="320" w:top="1395" w:right="339" w:bottom="1440" w:gutter="0" w:footer="0" w:header="0"/>
        </w:sectPr>
      </w:pPr>
    </w:p>
    <w:bookmarkStart w:id="79" w:name="page80"/>
    <w:bookmarkEnd w:id="79"/>
    <w:p>
      <w:pPr>
        <w:ind w:left="148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91" w:right="1440" w:bottom="1440" w:gutter="0" w:footer="0" w:header="0"/>
        </w:sectPr>
      </w:pPr>
    </w:p>
    <w:bookmarkStart w:id="80" w:name="page81"/>
    <w:bookmarkEnd w:id="80"/>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COLORADO LOGOS, INC.</w:t>
      </w:r>
    </w:p>
    <w:p>
      <w:pPr>
        <w:ind w:left="2120"/>
        <w:spacing w:after="0" w:line="204" w:lineRule="auto"/>
        <w:rPr>
          <w:sz w:val="20"/>
          <w:szCs w:val="20"/>
          <w:color w:val="auto"/>
        </w:rPr>
      </w:pPr>
      <w:r>
        <w:rPr>
          <w:rFonts w:ascii="Times New Roman" w:cs="Times New Roman" w:eastAsia="Times New Roman" w:hAnsi="Times New Roman"/>
          <w:sz w:val="22"/>
          <w:szCs w:val="22"/>
          <w:color w:val="auto"/>
        </w:rPr>
        <w:t>KANSAS LOGOS, INC.</w:t>
      </w:r>
    </w:p>
    <w:p>
      <w:pPr>
        <w:spacing w:after="0" w:line="1" w:lineRule="exact"/>
        <w:rPr>
          <w:sz w:val="20"/>
          <w:szCs w:val="20"/>
          <w:color w:val="auto"/>
        </w:rPr>
      </w:pPr>
    </w:p>
    <w:p>
      <w:pPr>
        <w:ind w:left="2120" w:right="2159"/>
        <w:spacing w:after="0" w:line="204" w:lineRule="auto"/>
        <w:rPr>
          <w:sz w:val="20"/>
          <w:szCs w:val="20"/>
          <w:color w:val="auto"/>
        </w:rPr>
      </w:pPr>
      <w:r>
        <w:rPr>
          <w:rFonts w:ascii="Times New Roman" w:cs="Times New Roman" w:eastAsia="Times New Roman" w:hAnsi="Times New Roman"/>
          <w:sz w:val="22"/>
          <w:szCs w:val="22"/>
          <w:color w:val="auto"/>
        </w:rPr>
        <w:t>LAMAR AIRPORT ADVERTISING COMPANY LAMAR ADVERTISING OF MICHIGAN, INC. LAMAR ADVERTISING OF YOUNGSTOWN, INC. LAMAR ADVERTISING SOUTHWEST, INC. LAMAR ELECTRICAL, INC. LAMAR OCI SOUTH CORPORATION</w:t>
      </w:r>
    </w:p>
    <w:p>
      <w:pPr>
        <w:ind w:left="2120"/>
        <w:spacing w:after="0" w:line="210" w:lineRule="auto"/>
        <w:rPr>
          <w:sz w:val="20"/>
          <w:szCs w:val="20"/>
          <w:color w:val="auto"/>
        </w:rPr>
      </w:pPr>
      <w:r>
        <w:rPr>
          <w:rFonts w:ascii="Times New Roman" w:cs="Times New Roman" w:eastAsia="Times New Roman" w:hAnsi="Times New Roman"/>
          <w:sz w:val="22"/>
          <w:szCs w:val="22"/>
          <w:color w:val="auto"/>
        </w:rPr>
        <w:t>LAMAR OHIO OUTDOOR HOLDING CORP.</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PENSACOLA TRANSIT,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MICHIGAN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MINNESOTA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NEBRASKA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NEVADA LOGOS, INC.</w:t>
      </w:r>
    </w:p>
    <w:p>
      <w:pPr>
        <w:ind w:left="2120"/>
        <w:spacing w:after="0" w:line="204" w:lineRule="auto"/>
        <w:rPr>
          <w:sz w:val="20"/>
          <w:szCs w:val="20"/>
          <w:color w:val="auto"/>
        </w:rPr>
      </w:pPr>
      <w:r>
        <w:rPr>
          <w:rFonts w:ascii="Times New Roman" w:cs="Times New Roman" w:eastAsia="Times New Roman" w:hAnsi="Times New Roman"/>
          <w:sz w:val="22"/>
          <w:szCs w:val="22"/>
          <w:color w:val="auto"/>
        </w:rPr>
        <w:t>NEW MEXICO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OHIO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SOUTH CAROLINA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TENNESSEE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TLC PROPERTIES, INC.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UTAH LOGOS, INC.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1" w:name="page82"/>
    <w:bookmarkEnd w:id="81"/>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ARIZONA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DELAWARE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GEORGIA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KENTUCKY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LOUISIANA INTERSTATE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MAINE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MISSISSIPPI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MISSOURI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MONTANA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HAMPSHIRE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JERSEY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OKLAHOMA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VIRGINIA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WASHINGTON LOGOS,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2" w:name="page83"/>
    <w:bookmarkEnd w:id="82"/>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CENTRAL OUTDOOR,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THE LAMAR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right="2039"/>
        <w:spacing w:after="0" w:line="216" w:lineRule="auto"/>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1" w:lineRule="exact"/>
        <w:rPr>
          <w:sz w:val="20"/>
          <w:szCs w:val="20"/>
          <w:color w:val="auto"/>
        </w:rPr>
      </w:pPr>
    </w:p>
    <w:p>
      <w:pPr>
        <w:ind w:left="2120" w:right="2379"/>
        <w:spacing w:after="0" w:line="204" w:lineRule="auto"/>
        <w:rPr>
          <w:sz w:val="20"/>
          <w:szCs w:val="20"/>
          <w:color w:val="auto"/>
        </w:rPr>
      </w:pPr>
      <w:r>
        <w:rPr>
          <w:rFonts w:ascii="Times New Roman" w:cs="Times New Roman" w:eastAsia="Times New Roman" w:hAnsi="Times New Roman"/>
          <w:sz w:val="22"/>
          <w:szCs w:val="22"/>
          <w:color w:val="auto"/>
        </w:rPr>
        <w:t>LAMAR ADVERTISING OF LOUISIANA, L.L.C. LAMAR ADVERTISING OF SOUTH DAKOTA, L.L.C.</w:t>
      </w:r>
    </w:p>
    <w:p>
      <w:pPr>
        <w:ind w:left="2120"/>
        <w:spacing w:after="0" w:line="207" w:lineRule="auto"/>
        <w:rPr>
          <w:sz w:val="20"/>
          <w:szCs w:val="20"/>
          <w:color w:val="auto"/>
        </w:rPr>
      </w:pPr>
      <w:r>
        <w:rPr>
          <w:rFonts w:ascii="Times New Roman" w:cs="Times New Roman" w:eastAsia="Times New Roman" w:hAnsi="Times New Roman"/>
          <w:sz w:val="22"/>
          <w:szCs w:val="22"/>
          <w:color w:val="auto"/>
        </w:rPr>
        <w:t>LAMAR AIR,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FLORIDA,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NORTH,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3" w:name="page84"/>
    <w:bookmarkEnd w:id="83"/>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FARMS, L.L.C.</w:t>
      </w:r>
    </w:p>
    <w:p>
      <w:pPr>
        <w:ind w:left="212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Inc.,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GP COMPANY,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ADVANTAGE LP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4" w:name="page85"/>
    <w:bookmarkEnd w:id="84"/>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LAMAR ADVANTAGE OUTDOOR COMPANY, L.P.</w:t>
      </w:r>
    </w:p>
    <w:p>
      <w:pPr>
        <w:spacing w:after="0" w:line="218" w:lineRule="exact"/>
        <w:rPr>
          <w:sz w:val="20"/>
          <w:szCs w:val="20"/>
          <w:color w:val="auto"/>
        </w:rPr>
      </w:pPr>
    </w:p>
    <w:p>
      <w:pPr>
        <w:ind w:left="2340" w:right="2039" w:hanging="215"/>
        <w:spacing w:after="0" w:line="216" w:lineRule="auto"/>
        <w:rPr>
          <w:sz w:val="20"/>
          <w:szCs w:val="20"/>
          <w:color w:val="auto"/>
        </w:rPr>
      </w:pPr>
      <w:r>
        <w:rPr>
          <w:rFonts w:ascii="Times New Roman" w:cs="Times New Roman" w:eastAsia="Times New Roman" w:hAnsi="Times New Roman"/>
          <w:sz w:val="22"/>
          <w:szCs w:val="22"/>
          <w:color w:val="auto"/>
        </w:rPr>
        <w:t>By:</w:t>
      </w:r>
      <w:r>
        <w:rPr>
          <w:sz w:val="20"/>
          <w:szCs w:val="20"/>
          <w:color w:val="auto"/>
        </w:rPr>
        <w:t xml:space="preserve"> </w:t>
      </w:r>
      <w:r>
        <w:rPr>
          <w:rFonts w:ascii="Times New Roman" w:cs="Times New Roman" w:eastAsia="Times New Roman" w:hAnsi="Times New Roman"/>
          <w:sz w:val="22"/>
          <w:szCs w:val="22"/>
          <w:color w:val="auto"/>
        </w:rPr>
        <w:t>Lamar Advantage GP Company, LLC, its General Partner</w:t>
      </w:r>
    </w:p>
    <w:p>
      <w:pPr>
        <w:ind w:left="2120"/>
        <w:spacing w:after="0" w:line="215"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5" w:lineRule="auto"/>
        <w:rPr>
          <w:sz w:val="20"/>
          <w:szCs w:val="20"/>
          <w:color w:val="auto"/>
        </w:rPr>
      </w:pPr>
      <w:r>
        <w:rPr>
          <w:rFonts w:ascii="Times New Roman" w:cs="Times New Roman" w:eastAsia="Times New Roman" w:hAnsi="Times New Roman"/>
          <w:sz w:val="22"/>
          <w:szCs w:val="22"/>
          <w:color w:val="auto"/>
        </w:rPr>
        <w:t>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HOLDING COMPANY</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INVESTMENTS,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SERVICE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5" w:name="page86"/>
    <w:bookmarkEnd w:id="85"/>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OUTDOOR MARKETING SYSTEMS,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OUTDOOR PROMOTIONS WEST,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6" w:name="page87"/>
    <w:bookmarkEnd w:id="86"/>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Class A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FMG OUTDOOR HOLDINGS,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FAIRWAY MEDIA GROUP,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ADVERTISING,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FUNDING HOLDINGS,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FUNDING,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MCC OUTDOOR,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MAGIC MEDIA REAL ESTATE, LLC</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Supplemental Indenture]</w:t>
      </w:r>
    </w:p>
    <w:p>
      <w:pPr>
        <w:sectPr>
          <w:pgSz w:w="11900" w:h="16838" w:orient="portrait"/>
          <w:cols w:equalWidth="0" w:num="1">
            <w:col w:w="9019"/>
          </w:cols>
          <w:pgMar w:left="1440" w:top="1440" w:right="1440" w:bottom="1440" w:gutter="0" w:footer="0" w:header="0"/>
          <w:type w:val="continuous"/>
        </w:sectPr>
      </w:pPr>
    </w:p>
    <w:bookmarkStart w:id="87" w:name="page88"/>
    <w:bookmarkEnd w:id="87"/>
    <w:p>
      <w:pPr>
        <w:ind w:left="2120"/>
        <w:spacing w:after="0"/>
        <w:rPr>
          <w:sz w:val="20"/>
          <w:szCs w:val="20"/>
          <w:color w:val="auto"/>
        </w:rPr>
      </w:pPr>
      <w:r>
        <w:rPr>
          <w:rFonts w:ascii="Times New Roman" w:cs="Times New Roman" w:eastAsia="Times New Roman" w:hAnsi="Times New Roman"/>
          <w:sz w:val="22"/>
          <w:szCs w:val="22"/>
          <w:color w:val="auto"/>
        </w:rPr>
        <w:t>FMO REAL ESTATE,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OLYMPUS MEDIA/INDIANA,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CC, LLC</w:t>
      </w:r>
    </w:p>
    <w:p>
      <w:pPr>
        <w:ind w:left="212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By: Ashby Street Outdoor Holdings LLC, its sole member</w:t>
      </w: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w:t>
      </w:r>
      <w:r>
        <w:rPr>
          <w:rFonts w:ascii="Times New Roman" w:cs="Times New Roman" w:eastAsia="Times New Roman" w:hAnsi="Times New Roman"/>
          <w:sz w:val="21"/>
          <w:szCs w:val="21"/>
          <w:color w:val="auto"/>
        </w:rPr>
        <w:t>______________________________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82" w:right="1440" w:bottom="1440" w:gutter="0" w:footer="0" w:header="0"/>
        </w:sectPr>
      </w:pPr>
    </w:p>
    <w:bookmarkStart w:id="88" w:name="page89"/>
    <w:bookmarkEnd w:id="88"/>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10" w:lineRule="exact"/>
        <w:rPr>
          <w:sz w:val="20"/>
          <w:szCs w:val="20"/>
          <w:color w:val="auto"/>
        </w:rPr>
      </w:pPr>
    </w:p>
    <w:p>
      <w:pPr>
        <w:ind w:left="2120"/>
        <w:spacing w:after="0" w:line="236" w:lineRule="auto"/>
        <w:rPr>
          <w:sz w:val="20"/>
          <w:szCs w:val="20"/>
          <w:color w:val="auto"/>
        </w:rPr>
      </w:pPr>
      <w:r>
        <w:rPr>
          <w:rFonts w:ascii="Times New Roman" w:cs="Times New Roman" w:eastAsia="Times New Roman" w:hAnsi="Times New Roman"/>
          <w:sz w:val="22"/>
          <w:szCs w:val="22"/>
          <w:color w:val="auto"/>
        </w:rPr>
        <w:t>U.S. BANK NATIONAL ASSOCIATION, successor to The Bank of New York Mellon, Trust Company, N.A.,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40"/>
        <w:spacing w:after="0"/>
        <w:tabs>
          <w:tab w:leader="none" w:pos="2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/s/Wallace L. Duke</w:t>
      </w:r>
      <w:r>
        <w:rPr>
          <w:rFonts w:ascii="Times New Roman" w:cs="Times New Roman" w:eastAsia="Times New Roman" w:hAnsi="Times New Roman"/>
          <w:sz w:val="21"/>
          <w:szCs w:val="21"/>
          <w:color w:val="auto"/>
        </w:rPr>
        <w:t>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u w:val="single" w:color="auto"/>
          <w:color w:val="auto"/>
        </w:rPr>
        <w:t>Wallace Duke</w:t>
      </w:r>
      <w:r>
        <w:rPr>
          <w:rFonts w:ascii="Times New Roman" w:cs="Times New Roman" w:eastAsia="Times New Roman" w:hAnsi="Times New Roman"/>
          <w:sz w:val="21"/>
          <w:szCs w:val="21"/>
          <w:color w:val="auto"/>
        </w:rPr>
        <w:t>__________________________</w:t>
      </w:r>
    </w:p>
    <w:p>
      <w:pPr>
        <w:spacing w:after="0" w:line="1"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u w:val="single" w:color="auto"/>
          <w:color w:val="auto"/>
        </w:rPr>
        <w:t>Vice President</w:t>
      </w:r>
      <w:r>
        <w:rPr>
          <w:rFonts w:ascii="Times New Roman" w:cs="Times New Roman" w:eastAsia="Times New Roman" w:hAnsi="Times New Roman"/>
          <w:sz w:val="22"/>
          <w:szCs w:val="22"/>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760"/>
          </w:cols>
          <w:pgMar w:left="1440" w:top="1440" w:right="6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MAY 13, 2020</w:t>
      </w:r>
    </w:p>
    <w:p>
      <w:pPr>
        <w:spacing w:after="0" w:line="200" w:lineRule="exact"/>
        <w:rPr>
          <w:sz w:val="20"/>
          <w:szCs w:val="20"/>
          <w:color w:val="auto"/>
        </w:rPr>
      </w:pPr>
    </w:p>
    <w:p>
      <w:pPr>
        <w:spacing w:after="0" w:line="253" w:lineRule="exact"/>
        <w:rPr>
          <w:sz w:val="20"/>
          <w:szCs w:val="20"/>
          <w:color w:val="auto"/>
        </w:rPr>
      </w:pPr>
    </w:p>
    <w:p>
      <w:pPr>
        <w:jc w:val="both"/>
        <w:ind w:firstLine="428"/>
        <w:spacing w:after="0" w:line="225" w:lineRule="auto"/>
        <w:rPr>
          <w:sz w:val="20"/>
          <w:szCs w:val="20"/>
          <w:color w:val="auto"/>
        </w:rPr>
      </w:pPr>
      <w:r>
        <w:rPr>
          <w:rFonts w:ascii="Times New Roman" w:cs="Times New Roman" w:eastAsia="Times New Roman" w:hAnsi="Times New Roman"/>
          <w:sz w:val="22"/>
          <w:szCs w:val="22"/>
          <w:color w:val="auto"/>
        </w:rPr>
        <w:t>THIS SUPPLEMENTAL INDENTURE dated as of January 26, 2022,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SKY HIGH MURALS-COLOSSAL MEDIA, INC., a New York corporation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predecessor trustee, The Bank of New York Mellon Trust Company, N.A., an Indenture, dated as of May 13,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4.875% Senior Notes due 2029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7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79"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06" w:lineRule="exact"/>
        <w:rPr>
          <w:rFonts w:ascii="Times New Roman" w:cs="Times New Roman" w:eastAsia="Times New Roman" w:hAnsi="Times New Roman"/>
          <w:sz w:val="22"/>
          <w:szCs w:val="22"/>
          <w:color w:val="auto"/>
        </w:rPr>
      </w:pPr>
    </w:p>
    <w:p>
      <w:pPr>
        <w:jc w:val="both"/>
        <w:ind w:firstLine="656"/>
        <w:spacing w:after="0" w:line="220" w:lineRule="auto"/>
        <w:tabs>
          <w:tab w:leader="none" w:pos="117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pacing w:after="0" w:line="177"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6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17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ectPr>
          <w:pgSz w:w="11900" w:h="16838" w:orient="portrait"/>
          <w:cols w:equalWidth="0" w:num="1">
            <w:col w:w="11240"/>
          </w:cols>
          <w:pgMar w:left="320" w:top="104" w:right="339" w:bottom="1440" w:gutter="0" w:footer="0" w:header="0"/>
        </w:sectPr>
      </w:pPr>
    </w:p>
    <w:bookmarkStart w:id="90" w:name="page91"/>
    <w:bookmarkEnd w:id="90"/>
    <w:p>
      <w:pPr>
        <w:spacing w:after="0" w:line="198" w:lineRule="exact"/>
        <w:rPr>
          <w:sz w:val="20"/>
          <w:szCs w:val="20"/>
          <w:color w:val="auto"/>
        </w:rPr>
      </w:pPr>
    </w:p>
    <w:p>
      <w:pPr>
        <w:ind w:left="-20" w:firstLine="656"/>
        <w:spacing w:after="0" w:line="236" w:lineRule="auto"/>
        <w:tabs>
          <w:tab w:leader="none" w:pos="100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7" w:lineRule="exact"/>
        <w:rPr>
          <w:rFonts w:ascii="Times New Roman" w:cs="Times New Roman" w:eastAsia="Times New Roman" w:hAnsi="Times New Roman"/>
          <w:sz w:val="22"/>
          <w:szCs w:val="22"/>
          <w:color w:val="auto"/>
        </w:rPr>
      </w:pPr>
    </w:p>
    <w:p>
      <w:pPr>
        <w:ind w:left="-20" w:right="20" w:firstLine="656"/>
        <w:spacing w:after="0" w:line="236" w:lineRule="auto"/>
        <w:tabs>
          <w:tab w:leader="none" w:pos="104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40" w:top="1440" w:right="339" w:bottom="1440" w:gutter="0" w:footer="0" w:header="0"/>
        </w:sectPr>
      </w:pPr>
    </w:p>
    <w:bookmarkStart w:id="91" w:name="page92"/>
    <w:bookmarkEnd w:id="91"/>
    <w:p>
      <w:pPr>
        <w:ind w:firstLine="285"/>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1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SKY HIGH MURALS-COLOSSAL MEDIA, INC.</w:t>
      </w:r>
    </w:p>
    <w:p>
      <w:pPr>
        <w:spacing w:after="0" w:line="200" w:lineRule="exact"/>
        <w:rPr>
          <w:sz w:val="20"/>
          <w:szCs w:val="20"/>
          <w:color w:val="auto"/>
        </w:rPr>
      </w:pPr>
    </w:p>
    <w:p>
      <w:pPr>
        <w:spacing w:after="0" w:line="23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1240"/>
          </w:cols>
          <w:pgMar w:left="320" w:top="1395" w:right="339" w:bottom="1440" w:gutter="0" w:footer="0" w:header="0"/>
        </w:sectPr>
      </w:pPr>
    </w:p>
    <w:bookmarkStart w:id="92" w:name="page93"/>
    <w:bookmarkEnd w:id="92"/>
    <w:p>
      <w:pPr>
        <w:ind w:left="148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91" w:right="1440" w:bottom="1440" w:gutter="0" w:footer="0" w:header="0"/>
        </w:sectPr>
      </w:pPr>
    </w:p>
    <w:bookmarkStart w:id="93" w:name="page94"/>
    <w:bookmarkEnd w:id="93"/>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COLORADO LOGOS, INC.</w:t>
      </w:r>
    </w:p>
    <w:p>
      <w:pPr>
        <w:ind w:left="2120"/>
        <w:spacing w:after="0" w:line="204" w:lineRule="auto"/>
        <w:rPr>
          <w:sz w:val="20"/>
          <w:szCs w:val="20"/>
          <w:color w:val="auto"/>
        </w:rPr>
      </w:pPr>
      <w:r>
        <w:rPr>
          <w:rFonts w:ascii="Times New Roman" w:cs="Times New Roman" w:eastAsia="Times New Roman" w:hAnsi="Times New Roman"/>
          <w:sz w:val="22"/>
          <w:szCs w:val="22"/>
          <w:color w:val="auto"/>
        </w:rPr>
        <w:t>KANSAS LOGOS, INC.</w:t>
      </w:r>
    </w:p>
    <w:p>
      <w:pPr>
        <w:spacing w:after="0" w:line="1" w:lineRule="exact"/>
        <w:rPr>
          <w:sz w:val="20"/>
          <w:szCs w:val="20"/>
          <w:color w:val="auto"/>
        </w:rPr>
      </w:pPr>
    </w:p>
    <w:p>
      <w:pPr>
        <w:ind w:left="2120" w:right="2159"/>
        <w:spacing w:after="0" w:line="204" w:lineRule="auto"/>
        <w:rPr>
          <w:sz w:val="20"/>
          <w:szCs w:val="20"/>
          <w:color w:val="auto"/>
        </w:rPr>
      </w:pPr>
      <w:r>
        <w:rPr>
          <w:rFonts w:ascii="Times New Roman" w:cs="Times New Roman" w:eastAsia="Times New Roman" w:hAnsi="Times New Roman"/>
          <w:sz w:val="22"/>
          <w:szCs w:val="22"/>
          <w:color w:val="auto"/>
        </w:rPr>
        <w:t>LAMAR AIRPORT ADVERTISING COMPANY LAMAR ADVERTISING OF MICHIGAN, INC. LAMAR ADVERTISING OF YOUNGSTOWN, INC. LAMAR ADVERTISING SOUTHWEST, INC. LAMAR ELECTRICAL, INC. LAMAR OCI SOUTH CORPORATION</w:t>
      </w:r>
    </w:p>
    <w:p>
      <w:pPr>
        <w:ind w:left="2120"/>
        <w:spacing w:after="0" w:line="210" w:lineRule="auto"/>
        <w:rPr>
          <w:sz w:val="20"/>
          <w:szCs w:val="20"/>
          <w:color w:val="auto"/>
        </w:rPr>
      </w:pPr>
      <w:r>
        <w:rPr>
          <w:rFonts w:ascii="Times New Roman" w:cs="Times New Roman" w:eastAsia="Times New Roman" w:hAnsi="Times New Roman"/>
          <w:sz w:val="22"/>
          <w:szCs w:val="22"/>
          <w:color w:val="auto"/>
        </w:rPr>
        <w:t>LAMAR OHIO OUTDOOR HOLDING CORP.</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PENSACOLA TRANSIT,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MICHIGAN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MINNESOTA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NEBRASKA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NEVADA LOGOS, INC.</w:t>
      </w:r>
    </w:p>
    <w:p>
      <w:pPr>
        <w:ind w:left="2120"/>
        <w:spacing w:after="0" w:line="204" w:lineRule="auto"/>
        <w:rPr>
          <w:sz w:val="20"/>
          <w:szCs w:val="20"/>
          <w:color w:val="auto"/>
        </w:rPr>
      </w:pPr>
      <w:r>
        <w:rPr>
          <w:rFonts w:ascii="Times New Roman" w:cs="Times New Roman" w:eastAsia="Times New Roman" w:hAnsi="Times New Roman"/>
          <w:sz w:val="22"/>
          <w:szCs w:val="22"/>
          <w:color w:val="auto"/>
        </w:rPr>
        <w:t>NEW MEXICO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OHIO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SOUTH CAROLINA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TENNESSEE LOGOS, INC.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TLC PROPERTIES, INC.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UTAH LOGOS, INC.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94" w:name="page95"/>
    <w:bookmarkEnd w:id="94"/>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ARIZONA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DELAWARE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GEORGIA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KENTUCKY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LOUISIANA INTERSTATE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MAINE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MISSISSIPPI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MISSOURI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MONTANA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HAMPSHIRE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JERSEY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OKLAHOMA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VIRGINIA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WASHINGTON LOGOS,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95" w:name="page96"/>
    <w:bookmarkEnd w:id="95"/>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CENTRAL OUTDOOR,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THE LAMAR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right="2039"/>
        <w:spacing w:after="0" w:line="216" w:lineRule="auto"/>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1" w:lineRule="exact"/>
        <w:rPr>
          <w:sz w:val="20"/>
          <w:szCs w:val="20"/>
          <w:color w:val="auto"/>
        </w:rPr>
      </w:pPr>
    </w:p>
    <w:p>
      <w:pPr>
        <w:ind w:left="2120" w:right="2379"/>
        <w:spacing w:after="0" w:line="204" w:lineRule="auto"/>
        <w:rPr>
          <w:sz w:val="20"/>
          <w:szCs w:val="20"/>
          <w:color w:val="auto"/>
        </w:rPr>
      </w:pPr>
      <w:r>
        <w:rPr>
          <w:rFonts w:ascii="Times New Roman" w:cs="Times New Roman" w:eastAsia="Times New Roman" w:hAnsi="Times New Roman"/>
          <w:sz w:val="22"/>
          <w:szCs w:val="22"/>
          <w:color w:val="auto"/>
        </w:rPr>
        <w:t>LAMAR ADVERTISING OF LOUISIANA, L.L.C. LAMAR ADVERTISING OF SOUTH DAKOTA, L.L.C.</w:t>
      </w:r>
    </w:p>
    <w:p>
      <w:pPr>
        <w:ind w:left="2120"/>
        <w:spacing w:after="0" w:line="207" w:lineRule="auto"/>
        <w:rPr>
          <w:sz w:val="20"/>
          <w:szCs w:val="20"/>
          <w:color w:val="auto"/>
        </w:rPr>
      </w:pPr>
      <w:r>
        <w:rPr>
          <w:rFonts w:ascii="Times New Roman" w:cs="Times New Roman" w:eastAsia="Times New Roman" w:hAnsi="Times New Roman"/>
          <w:sz w:val="22"/>
          <w:szCs w:val="22"/>
          <w:color w:val="auto"/>
        </w:rPr>
        <w:t>LAMAR AIR,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FLORIDA,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NORTH,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96" w:name="page97"/>
    <w:bookmarkEnd w:id="96"/>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FARMS, L.L.C.</w:t>
      </w:r>
    </w:p>
    <w:p>
      <w:pPr>
        <w:ind w:left="212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Inc.,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GP COMPANY,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ADVANTAGE LP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97" w:name="page98"/>
    <w:bookmarkEnd w:id="97"/>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LAMAR ADVANTAGE OUTDOOR COMPANY, L.P.</w:t>
      </w:r>
    </w:p>
    <w:p>
      <w:pPr>
        <w:spacing w:after="0" w:line="218" w:lineRule="exact"/>
        <w:rPr>
          <w:sz w:val="20"/>
          <w:szCs w:val="20"/>
          <w:color w:val="auto"/>
        </w:rPr>
      </w:pPr>
    </w:p>
    <w:p>
      <w:pPr>
        <w:ind w:left="2340" w:right="2039" w:hanging="215"/>
        <w:spacing w:after="0" w:line="216" w:lineRule="auto"/>
        <w:rPr>
          <w:sz w:val="20"/>
          <w:szCs w:val="20"/>
          <w:color w:val="auto"/>
        </w:rPr>
      </w:pPr>
      <w:r>
        <w:rPr>
          <w:rFonts w:ascii="Times New Roman" w:cs="Times New Roman" w:eastAsia="Times New Roman" w:hAnsi="Times New Roman"/>
          <w:sz w:val="22"/>
          <w:szCs w:val="22"/>
          <w:color w:val="auto"/>
        </w:rPr>
        <w:t>By:</w:t>
      </w:r>
      <w:r>
        <w:rPr>
          <w:sz w:val="20"/>
          <w:szCs w:val="20"/>
          <w:color w:val="auto"/>
        </w:rPr>
        <w:t xml:space="preserve"> </w:t>
      </w:r>
      <w:r>
        <w:rPr>
          <w:rFonts w:ascii="Times New Roman" w:cs="Times New Roman" w:eastAsia="Times New Roman" w:hAnsi="Times New Roman"/>
          <w:sz w:val="22"/>
          <w:szCs w:val="22"/>
          <w:color w:val="auto"/>
        </w:rPr>
        <w:t>Lamar Advantage GP Company, LLC, its General Partner</w:t>
      </w:r>
    </w:p>
    <w:p>
      <w:pPr>
        <w:ind w:left="2120"/>
        <w:spacing w:after="0" w:line="215"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5" w:lineRule="auto"/>
        <w:rPr>
          <w:sz w:val="20"/>
          <w:szCs w:val="20"/>
          <w:color w:val="auto"/>
        </w:rPr>
      </w:pPr>
      <w:r>
        <w:rPr>
          <w:rFonts w:ascii="Times New Roman" w:cs="Times New Roman" w:eastAsia="Times New Roman" w:hAnsi="Times New Roman"/>
          <w:sz w:val="22"/>
          <w:szCs w:val="22"/>
          <w:color w:val="auto"/>
        </w:rPr>
        <w:t>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HOLDING COMPANY</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INVESTMENTS,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SERVICE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98" w:name="page99"/>
    <w:bookmarkEnd w:id="98"/>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OUTDOOR MARKETING SYSTEMS,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OUTDOOR PROMOTIONS WEST,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99" w:name="page100"/>
    <w:bookmarkEnd w:id="99"/>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Class A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100" w:name="page101"/>
    <w:bookmarkEnd w:id="100"/>
    <w:p>
      <w:pPr>
        <w:ind w:left="2120"/>
        <w:spacing w:after="0"/>
        <w:rPr>
          <w:sz w:val="20"/>
          <w:szCs w:val="20"/>
          <w:color w:val="auto"/>
        </w:rPr>
      </w:pPr>
      <w:r>
        <w:rPr>
          <w:rFonts w:ascii="Times New Roman" w:cs="Times New Roman" w:eastAsia="Times New Roman" w:hAnsi="Times New Roman"/>
          <w:sz w:val="22"/>
          <w:szCs w:val="22"/>
          <w:color w:val="auto"/>
        </w:rPr>
        <w:t>FMG OUTDOOR HOLDINGS,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FAIRWAY MEDIA GROUP,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ADVERTISING,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FUNDING HOLDINGS,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FAIRWAY OUTDOOR FUNDING,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MCC OUTDOOR,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MAGIC MEDIA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FMO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OLYMPUS MEDIA/INDIANA, LLC</w:t>
      </w:r>
    </w:p>
    <w:p>
      <w:pPr>
        <w:ind w:left="212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CC, LLC</w:t>
      </w:r>
    </w:p>
    <w:p>
      <w:pPr>
        <w:ind w:left="212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By: Ashby Street Outdoor Holdings LLC, its sole member</w:t>
      </w: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/s/Jay Johnson____________________________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82" w:right="1440" w:bottom="1440" w:gutter="0" w:footer="0" w:header="0"/>
        </w:sectPr>
      </w:pPr>
    </w:p>
    <w:bookmarkStart w:id="101" w:name="page102"/>
    <w:bookmarkEnd w:id="101"/>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10" w:lineRule="exact"/>
        <w:rPr>
          <w:sz w:val="20"/>
          <w:szCs w:val="20"/>
          <w:color w:val="auto"/>
        </w:rPr>
      </w:pPr>
    </w:p>
    <w:p>
      <w:pPr>
        <w:ind w:left="2120"/>
        <w:spacing w:after="0" w:line="236" w:lineRule="auto"/>
        <w:rPr>
          <w:sz w:val="20"/>
          <w:szCs w:val="20"/>
          <w:color w:val="auto"/>
        </w:rPr>
      </w:pPr>
      <w:r>
        <w:rPr>
          <w:rFonts w:ascii="Times New Roman" w:cs="Times New Roman" w:eastAsia="Times New Roman" w:hAnsi="Times New Roman"/>
          <w:sz w:val="22"/>
          <w:szCs w:val="22"/>
          <w:color w:val="auto"/>
        </w:rPr>
        <w:t>U.S. BANK NATIONAL ASSOCIATION, successor to The Bank of New York Mellon, Trust Company, N.A., as Trustee</w:t>
      </w:r>
    </w:p>
    <w:p>
      <w:pPr>
        <w:spacing w:after="0" w:line="200" w:lineRule="exact"/>
        <w:rPr>
          <w:sz w:val="20"/>
          <w:szCs w:val="20"/>
          <w:color w:val="auto"/>
        </w:rPr>
      </w:pPr>
    </w:p>
    <w:p>
      <w:pPr>
        <w:spacing w:after="0" w:line="20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/s/Wallace L. Duke</w:t>
      </w:r>
      <w:r>
        <w:rPr>
          <w:rFonts w:ascii="Times New Roman" w:cs="Times New Roman" w:eastAsia="Times New Roman" w:hAnsi="Times New Roman"/>
          <w:sz w:val="21"/>
          <w:szCs w:val="21"/>
          <w:color w:val="auto"/>
        </w:rPr>
        <w:t>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u w:val="single" w:color="auto"/>
          <w:color w:val="auto"/>
        </w:rPr>
        <w:t>Wallace Duke</w:t>
      </w:r>
      <w:r>
        <w:rPr>
          <w:rFonts w:ascii="Times New Roman" w:cs="Times New Roman" w:eastAsia="Times New Roman" w:hAnsi="Times New Roman"/>
          <w:sz w:val="21"/>
          <w:szCs w:val="21"/>
          <w:color w:val="auto"/>
        </w:rPr>
        <w:t>_________________________</w:t>
      </w:r>
    </w:p>
    <w:p>
      <w:pPr>
        <w:spacing w:after="0" w:line="1"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u w:val="single" w:color="auto"/>
          <w:color w:val="auto"/>
        </w:rPr>
        <w:t>Vice President</w:t>
      </w:r>
      <w:r>
        <w:rPr>
          <w:rFonts w:ascii="Times New Roman" w:cs="Times New Roman" w:eastAsia="Times New Roman" w:hAnsi="Times New Roman"/>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760"/>
          </w:cols>
          <w:pgMar w:left="1440" w:top="1440" w:right="6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JOINDER AGREEMENT</w:t>
      </w:r>
    </w:p>
    <w:p>
      <w:pPr>
        <w:spacing w:after="0" w:line="21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3"/>
          <w:szCs w:val="23"/>
          <w:color w:val="auto"/>
        </w:rPr>
        <w:t>JOINDER AGREEMENT dated as of March 17, 2022, by Sky High Murals-Colossal Media, Inc., a New York</w:t>
      </w:r>
    </w:p>
    <w:p>
      <w:pPr>
        <w:spacing w:after="0" w:line="5"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3"/>
          <w:szCs w:val="23"/>
          <w:color w:val="auto"/>
        </w:rPr>
        <w:t>corporation (the “</w:t>
      </w:r>
      <w:r>
        <w:rPr>
          <w:rFonts w:ascii="Times New Roman" w:cs="Times New Roman" w:eastAsia="Times New Roman" w:hAnsi="Times New Roman"/>
          <w:sz w:val="23"/>
          <w:szCs w:val="23"/>
          <w:u w:val="single" w:color="auto"/>
          <w:color w:val="auto"/>
        </w:rPr>
        <w:t>Additional Subsidiary Guarantor</w:t>
      </w:r>
      <w:r>
        <w:rPr>
          <w:rFonts w:ascii="Times New Roman" w:cs="Times New Roman" w:eastAsia="Times New Roman" w:hAnsi="Times New Roman"/>
          <w:sz w:val="23"/>
          <w:szCs w:val="23"/>
          <w:color w:val="auto"/>
        </w:rPr>
        <w:t>”), in favor of JPMorgan Chase Bank, N.A., as administrative agent for the Lenders party to the Credit Agreement referred to below (in such capacity, together with its successors in such capacity, the “</w:t>
      </w:r>
      <w:r>
        <w:rPr>
          <w:rFonts w:ascii="Times New Roman" w:cs="Times New Roman" w:eastAsia="Times New Roman" w:hAnsi="Times New Roman"/>
          <w:sz w:val="23"/>
          <w:szCs w:val="23"/>
          <w:u w:val="single" w:color="auto"/>
          <w:color w:val="auto"/>
        </w:rPr>
        <w:t>Administrative Agent</w:t>
      </w:r>
      <w:r>
        <w:rPr>
          <w:rFonts w:ascii="Times New Roman" w:cs="Times New Roman" w:eastAsia="Times New Roman" w:hAnsi="Times New Roman"/>
          <w:sz w:val="23"/>
          <w:szCs w:val="23"/>
          <w:color w:val="auto"/>
        </w:rPr>
        <w:t>”).</w:t>
      </w:r>
    </w:p>
    <w:p>
      <w:pPr>
        <w:spacing w:after="0" w:line="182" w:lineRule="exact"/>
        <w:rPr>
          <w:sz w:val="20"/>
          <w:szCs w:val="20"/>
          <w:color w:val="auto"/>
        </w:rPr>
      </w:pPr>
    </w:p>
    <w:p>
      <w:pPr>
        <w:jc w:val="both"/>
        <w:ind w:firstLine="258"/>
        <w:spacing w:after="0" w:line="220" w:lineRule="auto"/>
        <w:rPr>
          <w:sz w:val="20"/>
          <w:szCs w:val="20"/>
          <w:color w:val="auto"/>
        </w:rPr>
      </w:pPr>
      <w:r>
        <w:rPr>
          <w:rFonts w:ascii="Times New Roman" w:cs="Times New Roman" w:eastAsia="Times New Roman" w:hAnsi="Times New Roman"/>
          <w:sz w:val="23"/>
          <w:szCs w:val="23"/>
          <w:color w:val="auto"/>
        </w:rPr>
        <w:t>Lamar Media Corp., a Delaware corporation (the “</w:t>
      </w:r>
      <w:r>
        <w:rPr>
          <w:rFonts w:ascii="Times New Roman" w:cs="Times New Roman" w:eastAsia="Times New Roman" w:hAnsi="Times New Roman"/>
          <w:sz w:val="23"/>
          <w:szCs w:val="23"/>
          <w:u w:val="single" w:color="auto"/>
          <w:color w:val="auto"/>
        </w:rPr>
        <w:t>Company</w:t>
      </w:r>
      <w:r>
        <w:rPr>
          <w:rFonts w:ascii="Times New Roman" w:cs="Times New Roman" w:eastAsia="Times New Roman" w:hAnsi="Times New Roman"/>
          <w:sz w:val="23"/>
          <w:szCs w:val="23"/>
          <w:color w:val="auto"/>
        </w:rPr>
        <w:t>”), each Additional Subsidiary Borrower that may be or may become a party thereto (each an “</w:t>
      </w:r>
      <w:r>
        <w:rPr>
          <w:rFonts w:ascii="Times New Roman" w:cs="Times New Roman" w:eastAsia="Times New Roman" w:hAnsi="Times New Roman"/>
          <w:sz w:val="23"/>
          <w:szCs w:val="23"/>
          <w:u w:val="single" w:color="auto"/>
          <w:color w:val="auto"/>
        </w:rPr>
        <w:t>Additional Subsidiary Borrower</w:t>
      </w:r>
      <w:r>
        <w:rPr>
          <w:rFonts w:ascii="Times New Roman" w:cs="Times New Roman" w:eastAsia="Times New Roman" w:hAnsi="Times New Roman"/>
          <w:sz w:val="23"/>
          <w:szCs w:val="23"/>
          <w:color w:val="auto"/>
        </w:rPr>
        <w:t>” and together with the Company, the “</w:t>
      </w:r>
      <w:r>
        <w:rPr>
          <w:rFonts w:ascii="Times New Roman" w:cs="Times New Roman" w:eastAsia="Times New Roman" w:hAnsi="Times New Roman"/>
          <w:sz w:val="23"/>
          <w:szCs w:val="23"/>
          <w:u w:val="single" w:color="auto"/>
          <w:color w:val="auto"/>
        </w:rPr>
        <w:t>Borrowers</w:t>
      </w:r>
      <w:r>
        <w:rPr>
          <w:rFonts w:ascii="Times New Roman" w:cs="Times New Roman" w:eastAsia="Times New Roman" w:hAnsi="Times New Roman"/>
          <w:sz w:val="23"/>
          <w:szCs w:val="23"/>
          <w:color w:val="auto"/>
        </w:rPr>
        <w:t>”) and certain of its subsidiaries (collectively, the “</w:t>
      </w:r>
      <w:r>
        <w:rPr>
          <w:rFonts w:ascii="Times New Roman" w:cs="Times New Roman" w:eastAsia="Times New Roman" w:hAnsi="Times New Roman"/>
          <w:sz w:val="23"/>
          <w:szCs w:val="23"/>
          <w:u w:val="single" w:color="auto"/>
          <w:color w:val="auto"/>
        </w:rPr>
        <w:t>Existing Subsidiary Guarantors</w:t>
      </w:r>
      <w:r>
        <w:rPr>
          <w:rFonts w:ascii="Times New Roman" w:cs="Times New Roman" w:eastAsia="Times New Roman" w:hAnsi="Times New Roman"/>
          <w:sz w:val="23"/>
          <w:szCs w:val="23"/>
          <w:color w:val="auto"/>
        </w:rPr>
        <w:t>” and, together with the</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3"/>
          <w:szCs w:val="23"/>
          <w:color w:val="auto"/>
        </w:rPr>
        <w:t>Borrowers, the “</w:t>
      </w:r>
      <w:r>
        <w:rPr>
          <w:rFonts w:ascii="Times New Roman" w:cs="Times New Roman" w:eastAsia="Times New Roman" w:hAnsi="Times New Roman"/>
          <w:sz w:val="23"/>
          <w:szCs w:val="23"/>
          <w:u w:val="single" w:color="auto"/>
          <w:color w:val="auto"/>
        </w:rPr>
        <w:t>Securing Parties</w:t>
      </w:r>
      <w:r>
        <w:rPr>
          <w:rFonts w:ascii="Times New Roman" w:cs="Times New Roman" w:eastAsia="Times New Roman" w:hAnsi="Times New Roman"/>
          <w:sz w:val="23"/>
          <w:szCs w:val="23"/>
          <w:color w:val="auto"/>
        </w:rPr>
        <w:t>”) are parties to that certain Fourth Amended and Restated Credit Agreement dated as of February 6, 2020 (as amended by that certain Amendment No. 1, dated as of July 2, 2021, and as further amended, restated, amended and restated, extended, supplemented or otherwise modified from time to time, the “</w:t>
      </w:r>
      <w:r>
        <w:rPr>
          <w:rFonts w:ascii="Times New Roman" w:cs="Times New Roman" w:eastAsia="Times New Roman" w:hAnsi="Times New Roman"/>
          <w:sz w:val="23"/>
          <w:szCs w:val="23"/>
          <w:u w:val="single" w:color="auto"/>
          <w:color w:val="auto"/>
        </w:rPr>
        <w:t>Credit</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3"/>
          <w:szCs w:val="23"/>
          <w:u w:val="single" w:color="auto"/>
          <w:color w:val="auto"/>
        </w:rPr>
        <w:t>Agreement</w:t>
      </w:r>
      <w:r>
        <w:rPr>
          <w:rFonts w:ascii="Times New Roman" w:cs="Times New Roman" w:eastAsia="Times New Roman" w:hAnsi="Times New Roman"/>
          <w:sz w:val="23"/>
          <w:szCs w:val="23"/>
          <w:color w:val="auto"/>
        </w:rPr>
        <w:t>”), providing, subject to the terms and conditions thereof, for extensions of credit (by means of loans and letters of credit) to be made by the Lenders named therein (collectively, together with any entity that becomes a “Lender” party to the Credit Agreement after the date hereof as provided therein, the “</w:t>
      </w:r>
      <w:r>
        <w:rPr>
          <w:rFonts w:ascii="Times New Roman" w:cs="Times New Roman" w:eastAsia="Times New Roman" w:hAnsi="Times New Roman"/>
          <w:sz w:val="23"/>
          <w:szCs w:val="23"/>
          <w:u w:val="single" w:color="auto"/>
          <w:color w:val="auto"/>
        </w:rPr>
        <w:t>Lenders</w:t>
      </w:r>
      <w:r>
        <w:rPr>
          <w:rFonts w:ascii="Times New Roman" w:cs="Times New Roman" w:eastAsia="Times New Roman" w:hAnsi="Times New Roman"/>
          <w:sz w:val="23"/>
          <w:szCs w:val="23"/>
          <w:color w:val="auto"/>
        </w:rPr>
        <w:t>” and, together with</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3"/>
          <w:szCs w:val="23"/>
          <w:color w:val="auto"/>
        </w:rPr>
        <w:t>Administrative Agent and any successors or assigns of any of the foregoing, the “</w:t>
      </w:r>
      <w:r>
        <w:rPr>
          <w:rFonts w:ascii="Times New Roman" w:cs="Times New Roman" w:eastAsia="Times New Roman" w:hAnsi="Times New Roman"/>
          <w:sz w:val="23"/>
          <w:szCs w:val="23"/>
          <w:u w:val="single" w:color="auto"/>
          <w:color w:val="auto"/>
        </w:rPr>
        <w:t>Secured Parties</w:t>
      </w:r>
      <w:r>
        <w:rPr>
          <w:rFonts w:ascii="Times New Roman" w:cs="Times New Roman" w:eastAsia="Times New Roman" w:hAnsi="Times New Roman"/>
          <w:sz w:val="23"/>
          <w:szCs w:val="23"/>
          <w:color w:val="auto"/>
        </w:rPr>
        <w:t>”) to the Borrowers. In addition, the Borrowers may from time to time be obligated to one or more of the Lenders under the Credit Agreement in respect of Swap Agreements under and as defined in the Credit Agreement (collectively, the “</w:t>
      </w:r>
      <w:r>
        <w:rPr>
          <w:rFonts w:ascii="Times New Roman" w:cs="Times New Roman" w:eastAsia="Times New Roman" w:hAnsi="Times New Roman"/>
          <w:sz w:val="23"/>
          <w:szCs w:val="23"/>
          <w:u w:val="single" w:color="auto"/>
          <w:color w:val="auto"/>
        </w:rPr>
        <w:t>Swap Agreements</w:t>
      </w:r>
      <w:r>
        <w:rPr>
          <w:rFonts w:ascii="Times New Roman" w:cs="Times New Roman" w:eastAsia="Times New Roman" w:hAnsi="Times New Roman"/>
          <w:sz w:val="23"/>
          <w:szCs w:val="23"/>
          <w:color w:val="auto"/>
        </w:rPr>
        <w:t>”).</w:t>
      </w:r>
    </w:p>
    <w:p>
      <w:pPr>
        <w:spacing w:after="0" w:line="182" w:lineRule="exact"/>
        <w:rPr>
          <w:sz w:val="20"/>
          <w:szCs w:val="20"/>
          <w:color w:val="auto"/>
        </w:rPr>
      </w:pPr>
    </w:p>
    <w:p>
      <w:pPr>
        <w:jc w:val="both"/>
        <w:ind w:firstLine="258"/>
        <w:spacing w:after="0" w:line="220" w:lineRule="auto"/>
        <w:rPr>
          <w:sz w:val="20"/>
          <w:szCs w:val="20"/>
          <w:color w:val="auto"/>
        </w:rPr>
      </w:pPr>
      <w:r>
        <w:rPr>
          <w:rFonts w:ascii="Times New Roman" w:cs="Times New Roman" w:eastAsia="Times New Roman" w:hAnsi="Times New Roman"/>
          <w:sz w:val="23"/>
          <w:szCs w:val="23"/>
          <w:color w:val="auto"/>
        </w:rPr>
        <w:t>In connection with the Credit Agreement, the Borrowers, the Existing Subsidiary Guarantors and the Administrative Agent are parties to that certain Amended and Restated Pledge Agreement dated as of February 3, 2014 (the “</w:t>
      </w:r>
      <w:r>
        <w:rPr>
          <w:rFonts w:ascii="Times New Roman" w:cs="Times New Roman" w:eastAsia="Times New Roman" w:hAnsi="Times New Roman"/>
          <w:sz w:val="23"/>
          <w:szCs w:val="23"/>
          <w:u w:val="single" w:color="auto"/>
          <w:color w:val="auto"/>
        </w:rPr>
        <w:t>Pledge</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u w:val="single" w:color="auto"/>
          <w:color w:val="auto"/>
        </w:rPr>
        <w:t>Agreement</w:t>
      </w:r>
      <w:r>
        <w:rPr>
          <w:rFonts w:ascii="Times New Roman" w:cs="Times New Roman" w:eastAsia="Times New Roman" w:hAnsi="Times New Roman"/>
          <w:sz w:val="23"/>
          <w:szCs w:val="23"/>
          <w:color w:val="auto"/>
        </w:rPr>
        <w:t xml:space="preserve">”) pursuant to which the Securing Parties have, </w:t>
      </w:r>
      <w:r>
        <w:rPr>
          <w:rFonts w:ascii="Times New Roman" w:cs="Times New Roman" w:eastAsia="Times New Roman" w:hAnsi="Times New Roman"/>
          <w:sz w:val="23"/>
          <w:szCs w:val="23"/>
          <w:u w:val="single" w:color="auto"/>
          <w:color w:val="auto"/>
        </w:rPr>
        <w:t>inter alia</w:t>
      </w:r>
      <w:r>
        <w:rPr>
          <w:rFonts w:ascii="Times New Roman" w:cs="Times New Roman" w:eastAsia="Times New Roman" w:hAnsi="Times New Roman"/>
          <w:sz w:val="23"/>
          <w:szCs w:val="23"/>
          <w:color w:val="auto"/>
        </w:rPr>
        <w:t>, granted a security interest in the Collateral (as</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3"/>
          <w:szCs w:val="23"/>
          <w:color w:val="auto"/>
        </w:rPr>
        <w:t>defined in the Pledge Agreement) as collateral security for the Secured Obligations (as so defined). Terms defined in the Pledge Agreement are used herein as defined therein.</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color w:val="auto"/>
        </w:rPr>
        <w:t>To induce the Secured Parties to enter into the Credit Agreement, and to extend credit thereunder and to extend credit</w:t>
      </w:r>
    </w:p>
    <w:p>
      <w:pPr>
        <w:spacing w:after="0" w:line="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3"/>
          <w:szCs w:val="23"/>
          <w:color w:val="auto"/>
        </w:rPr>
        <w:t>to the Borrowers under Swap Agreements, and for other good and valuable consideration the receipt and sufficiency of which are hereby acknowledged, the Additional Subsidiary Guarantor has agreed to become a party to the Credit Agreement and the Pledge Agreement as a “Subsidiary Guarantor” thereunder, and to pledge and grant a security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interest in the Collateral (as defined in the Pledge Agreement).</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color w:val="auto"/>
        </w:rPr>
        <w:t>Accordingly, the parties hereto agree as follows: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color w:val="auto"/>
        </w:rPr>
        <w:t xml:space="preserve">Section 1. </w:t>
      </w:r>
      <w:r>
        <w:rPr>
          <w:rFonts w:ascii="Times New Roman" w:cs="Times New Roman" w:eastAsia="Times New Roman" w:hAnsi="Times New Roman"/>
          <w:sz w:val="23"/>
          <w:szCs w:val="23"/>
          <w:u w:val="single" w:color="auto"/>
          <w:color w:val="auto"/>
        </w:rPr>
        <w:t>Definitions</w:t>
      </w:r>
      <w:r>
        <w:rPr>
          <w:rFonts w:ascii="Times New Roman" w:cs="Times New Roman" w:eastAsia="Times New Roman" w:hAnsi="Times New Roman"/>
          <w:sz w:val="23"/>
          <w:szCs w:val="23"/>
          <w:color w:val="auto"/>
        </w:rPr>
        <w:t>. Terms defined in the Credit Agreement are used herein as defined therein.</w:t>
      </w:r>
    </w:p>
    <w:p>
      <w:pPr>
        <w:spacing w:after="0" w:line="222" w:lineRule="exact"/>
        <w:rPr>
          <w:sz w:val="20"/>
          <w:szCs w:val="20"/>
          <w:color w:val="auto"/>
        </w:rPr>
      </w:pPr>
    </w:p>
    <w:p>
      <w:pPr>
        <w:jc w:val="both"/>
        <w:ind w:firstLine="378"/>
        <w:spacing w:after="0" w:line="244" w:lineRule="auto"/>
        <w:rPr>
          <w:sz w:val="20"/>
          <w:szCs w:val="20"/>
          <w:color w:val="auto"/>
        </w:rPr>
      </w:pPr>
      <w:r>
        <w:rPr>
          <w:rFonts w:ascii="Times New Roman" w:cs="Times New Roman" w:eastAsia="Times New Roman" w:hAnsi="Times New Roman"/>
          <w:sz w:val="23"/>
          <w:szCs w:val="23"/>
          <w:color w:val="auto"/>
        </w:rPr>
        <w:t xml:space="preserve">Section 2. </w:t>
      </w:r>
      <w:r>
        <w:rPr>
          <w:rFonts w:ascii="Times New Roman" w:cs="Times New Roman" w:eastAsia="Times New Roman" w:hAnsi="Times New Roman"/>
          <w:sz w:val="23"/>
          <w:szCs w:val="23"/>
          <w:u w:val="single" w:color="auto"/>
          <w:color w:val="auto"/>
        </w:rPr>
        <w:t>Joinder to Agreements</w:t>
      </w:r>
      <w:r>
        <w:rPr>
          <w:rFonts w:ascii="Times New Roman" w:cs="Times New Roman" w:eastAsia="Times New Roman" w:hAnsi="Times New Roman"/>
          <w:sz w:val="23"/>
          <w:szCs w:val="23"/>
          <w:color w:val="auto"/>
        </w:rPr>
        <w:t>. Effective upon the execution and delivery hereof, the Additional Subsidiary Guarantor hereby agrees that it shall become a</w:t>
      </w:r>
    </w:p>
    <w:p>
      <w:pPr>
        <w:sectPr>
          <w:pgSz w:w="11900" w:h="16838" w:orient="portrait"/>
          <w:cols w:equalWidth="0" w:num="1">
            <w:col w:w="11240"/>
          </w:cols>
          <w:pgMar w:left="320" w:top="104" w:right="339" w:bottom="1440" w:gutter="0" w:footer="0" w:header="0"/>
        </w:sectPr>
      </w:pPr>
    </w:p>
    <w:bookmarkStart w:id="103" w:name="page104"/>
    <w:bookmarkEnd w:id="103"/>
    <w:p>
      <w:pPr>
        <w:spacing w:after="0" w:line="226" w:lineRule="auto"/>
        <w:rPr>
          <w:sz w:val="20"/>
          <w:szCs w:val="20"/>
          <w:color w:val="auto"/>
        </w:rPr>
      </w:pPr>
      <w:r>
        <w:rPr>
          <w:rFonts w:ascii="Times New Roman" w:cs="Times New Roman" w:eastAsia="Times New Roman" w:hAnsi="Times New Roman"/>
          <w:sz w:val="23"/>
          <w:szCs w:val="23"/>
          <w:color w:val="auto"/>
        </w:rPr>
        <w:t>“Subsidiary Guarantor” under and for all purposes of the Credit Agreement and a “Securing Party” under and for all purposes of the Pledge Agreement with all the rights and obligations of a Subsidiary Guarantor and Securing Party</w:t>
      </w:r>
    </w:p>
    <w:p>
      <w:pPr>
        <w:spacing w:after="0"/>
        <w:rPr>
          <w:sz w:val="20"/>
          <w:szCs w:val="20"/>
          <w:color w:val="auto"/>
        </w:rPr>
      </w:pPr>
      <w:r>
        <w:rPr>
          <w:rFonts w:ascii="Times New Roman" w:cs="Times New Roman" w:eastAsia="Times New Roman" w:hAnsi="Times New Roman"/>
          <w:sz w:val="23"/>
          <w:szCs w:val="23"/>
          <w:color w:val="auto"/>
        </w:rPr>
        <w:t>thereunder, as applicable. Without limiting the generality of the foregoing, the Additional Subsidiary Guarantor hereby:</w:t>
      </w:r>
    </w:p>
    <w:p>
      <w:pPr>
        <w:spacing w:after="0" w:line="182" w:lineRule="exact"/>
        <w:rPr>
          <w:sz w:val="20"/>
          <w:szCs w:val="20"/>
          <w:color w:val="auto"/>
        </w:rPr>
      </w:pPr>
    </w:p>
    <w:p>
      <w:pPr>
        <w:jc w:val="both"/>
        <w:ind w:left="660" w:hanging="4"/>
        <w:spacing w:after="0" w:line="228" w:lineRule="auto"/>
        <w:tabs>
          <w:tab w:leader="none" w:pos="1126" w:val="left"/>
        </w:tabs>
        <w:numPr>
          <w:ilvl w:val="0"/>
          <w:numId w:val="4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jointly and severally with the other Subsidiary Guarantors party to the Credit Agreement guarantees to each Secured Party and their respective successors and assigns the prompt payment in full when due (whether at stated maturity, by acceleration or otherwise) of all Guaranteed Obligations in the same manner and to the same extent as is provided in Article III of the Credit Agreement;</w:t>
      </w:r>
    </w:p>
    <w:p>
      <w:pPr>
        <w:spacing w:after="0" w:line="169" w:lineRule="exact"/>
        <w:rPr>
          <w:rFonts w:ascii="Times New Roman" w:cs="Times New Roman" w:eastAsia="Times New Roman" w:hAnsi="Times New Roman"/>
          <w:sz w:val="23"/>
          <w:szCs w:val="23"/>
          <w:color w:val="auto"/>
        </w:rPr>
      </w:pPr>
    </w:p>
    <w:p>
      <w:pPr>
        <w:jc w:val="both"/>
        <w:ind w:left="660" w:hanging="4"/>
        <w:spacing w:after="0" w:line="226" w:lineRule="auto"/>
        <w:tabs>
          <w:tab w:leader="none" w:pos="1382" w:val="left"/>
        </w:tabs>
        <w:numPr>
          <w:ilvl w:val="0"/>
          <w:numId w:val="4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pledges and grants the security interests in all right, title and interest of the Additional Subsidiary Guarantor in all Collateral (as defined in the Pledge Agreement) that it now owns or hereafter acquires and whether now existing or hereafter coming into existence provided for by Article III of the Pledge Agreement as collateral security for the Secured Obligations and agrees that the Schedules thereof shall be supplemented as provided in Appendices A and B hereto;</w:t>
      </w:r>
    </w:p>
    <w:p>
      <w:pPr>
        <w:spacing w:after="0" w:line="172" w:lineRule="exact"/>
        <w:rPr>
          <w:rFonts w:ascii="Times New Roman" w:cs="Times New Roman" w:eastAsia="Times New Roman" w:hAnsi="Times New Roman"/>
          <w:sz w:val="23"/>
          <w:szCs w:val="23"/>
          <w:color w:val="auto"/>
        </w:rPr>
      </w:pPr>
    </w:p>
    <w:p>
      <w:pPr>
        <w:jc w:val="both"/>
        <w:ind w:left="660" w:hanging="4"/>
        <w:spacing w:after="0" w:line="235" w:lineRule="auto"/>
        <w:tabs>
          <w:tab w:leader="none" w:pos="1328" w:val="left"/>
        </w:tabs>
        <w:numPr>
          <w:ilvl w:val="0"/>
          <w:numId w:val="4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makes the representations and warranties set forth in Article IV of the Credit Agreement and in Article II of the Pledge Agreement, to the extent relating to the Additional Subsidiary Guarantor or to the Pledged Equity evidenced by the certificates, if any, identified in Appendix A hereto; and</w:t>
      </w:r>
    </w:p>
    <w:p>
      <w:pPr>
        <w:spacing w:after="0" w:line="168" w:lineRule="exact"/>
        <w:rPr>
          <w:rFonts w:ascii="Times New Roman" w:cs="Times New Roman" w:eastAsia="Times New Roman" w:hAnsi="Times New Roman"/>
          <w:sz w:val="23"/>
          <w:szCs w:val="23"/>
          <w:color w:val="auto"/>
        </w:rPr>
      </w:pPr>
    </w:p>
    <w:p>
      <w:pPr>
        <w:ind w:left="660" w:right="20" w:hanging="4"/>
        <w:spacing w:after="0" w:line="244" w:lineRule="auto"/>
        <w:tabs>
          <w:tab w:leader="none" w:pos="1266" w:val="left"/>
        </w:tabs>
        <w:numPr>
          <w:ilvl w:val="0"/>
          <w:numId w:val="4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submits to the jurisdiction of the courts, and waives jury trial, as provided in Sections 10.09 and 10.10 of the Credit Agreement.</w:t>
      </w:r>
    </w:p>
    <w:p>
      <w:pPr>
        <w:spacing w:after="0" w:line="178" w:lineRule="exact"/>
        <w:rPr>
          <w:sz w:val="20"/>
          <w:szCs w:val="20"/>
          <w:color w:val="auto"/>
        </w:rPr>
      </w:pPr>
    </w:p>
    <w:p>
      <w:pPr>
        <w:ind w:firstLine="380"/>
        <w:spacing w:after="0" w:line="244" w:lineRule="auto"/>
        <w:rPr>
          <w:sz w:val="20"/>
          <w:szCs w:val="20"/>
          <w:color w:val="auto"/>
        </w:rPr>
      </w:pPr>
      <w:r>
        <w:rPr>
          <w:rFonts w:ascii="Times New Roman" w:cs="Times New Roman" w:eastAsia="Times New Roman" w:hAnsi="Times New Roman"/>
          <w:sz w:val="23"/>
          <w:szCs w:val="23"/>
          <w:color w:val="auto"/>
        </w:rPr>
        <w:t>The Additional Subsidiary Guarantor hereby instructs its counsel to deliver the opinions referred to in Section 6.10(a)(iii) of the Credit Agreement to the Secured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Signature Page Follows</w:t>
      </w:r>
      <w:r>
        <w:rPr>
          <w:rFonts w:ascii="Times New Roman" w:cs="Times New Roman" w:eastAsia="Times New Roman" w:hAnsi="Times New Roman"/>
          <w:sz w:val="23"/>
          <w:szCs w:val="23"/>
          <w:color w:val="auto"/>
        </w:rPr>
        <w:t>]</w:t>
      </w:r>
    </w:p>
    <w:p>
      <w:pPr>
        <w:sectPr>
          <w:pgSz w:w="11900" w:h="16838" w:orient="portrait"/>
          <w:cols w:equalWidth="0" w:num="1">
            <w:col w:w="11240"/>
          </w:cols>
          <w:pgMar w:left="320" w:top="1390"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Additional Subsidiary Guarantor has caused this Joinder Agreement to be duly executed and delivered as of the day and year first above written.</w:t>
      </w:r>
    </w:p>
    <w:p>
      <w:pPr>
        <w:spacing w:after="0" w:line="1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ADDITIONAL SUBSIDIARY GUARANTOR:</w:t>
      </w: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SKY HIGH MURALS-COLOSSAL MEDIA, INC.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L. Johnson </w:t>
      </w:r>
      <w:r>
        <w:rPr>
          <w:rFonts w:ascii="Times New Roman" w:cs="Times New Roman" w:eastAsia="Times New Roman" w:hAnsi="Times New Roman"/>
          <w:sz w:val="21"/>
          <w:szCs w:val="21"/>
          <w:color w:val="auto"/>
        </w:rPr>
        <w:t>_________________________</w:t>
      </w:r>
    </w:p>
    <w:p>
      <w:pPr>
        <w:ind w:left="1300"/>
        <w:spacing w:after="0" w:line="204" w:lineRule="auto"/>
        <w:rPr>
          <w:sz w:val="20"/>
          <w:szCs w:val="20"/>
          <w:color w:val="auto"/>
        </w:rPr>
      </w:pPr>
      <w:r>
        <w:rPr>
          <w:rFonts w:ascii="Times New Roman" w:cs="Times New Roman" w:eastAsia="Times New Roman" w:hAnsi="Times New Roman"/>
          <w:sz w:val="22"/>
          <w:szCs w:val="22"/>
          <w:color w:val="auto"/>
        </w:rPr>
        <w:t>Jay L. Johnson, Executive Vice President</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/s/James R. McIlwain</w:t>
      </w:r>
      <w:r>
        <w:rPr>
          <w:rFonts w:ascii="Times New Roman" w:cs="Times New Roman" w:eastAsia="Times New Roman" w:hAnsi="Times New Roman"/>
          <w:sz w:val="22"/>
          <w:szCs w:val="22"/>
          <w:color w:val="auto"/>
        </w:rPr>
        <w:t xml:space="preserve"> _____________</w:t>
      </w:r>
    </w:p>
    <w:p>
      <w:pPr>
        <w:spacing w:after="0"/>
        <w:rPr>
          <w:sz w:val="20"/>
          <w:szCs w:val="20"/>
          <w:color w:val="auto"/>
        </w:rPr>
      </w:pPr>
      <w:r>
        <w:rPr>
          <w:rFonts w:ascii="Times New Roman" w:cs="Times New Roman" w:eastAsia="Times New Roman" w:hAnsi="Times New Roman"/>
          <w:sz w:val="22"/>
          <w:szCs w:val="22"/>
          <w:color w:val="auto"/>
        </w:rPr>
        <w:t>James R. McIlwain, Secretary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/s/Bruce S. Borden</w:t>
      </w:r>
      <w:r>
        <w:rPr>
          <w:rFonts w:ascii="Times New Roman" w:cs="Times New Roman" w:eastAsia="Times New Roman" w:hAnsi="Times New Roman"/>
          <w:sz w:val="21"/>
          <w:szCs w:val="21"/>
          <w:color w:val="auto"/>
        </w:rPr>
        <w:t>______________________________</w:t>
      </w:r>
    </w:p>
    <w:p>
      <w:pPr>
        <w:spacing w:after="0" w:line="214" w:lineRule="auto"/>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u w:val="single" w:color="auto"/>
          <w:color w:val="auto"/>
        </w:rPr>
        <w:t>Bruce S. Borden</w:t>
      </w:r>
      <w:r>
        <w:rPr>
          <w:rFonts w:ascii="Times New Roman" w:cs="Times New Roman" w:eastAsia="Times New Roman" w:hAnsi="Times New Roman"/>
          <w:sz w:val="21"/>
          <w:szCs w:val="21"/>
          <w:color w:val="auto"/>
        </w:rPr>
        <w:t xml:space="preserve"> 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Title: </w:t>
      </w:r>
      <w:r>
        <w:rPr>
          <w:rFonts w:ascii="Times New Roman" w:cs="Times New Roman" w:eastAsia="Times New Roman" w:hAnsi="Times New Roman"/>
          <w:sz w:val="21"/>
          <w:szCs w:val="21"/>
          <w:u w:val="single" w:color="auto"/>
          <w:color w:val="auto"/>
        </w:rPr>
        <w:t>Executive Director</w:t>
      </w:r>
      <w:r>
        <w:rPr>
          <w:rFonts w:ascii="Times New Roman" w:cs="Times New Roman" w:eastAsia="Times New Roman" w:hAnsi="Times New Roman"/>
          <w:sz w:val="21"/>
          <w:szCs w:val="21"/>
          <w:color w:val="auto"/>
        </w:rPr>
        <w:t>_____________________________</w:t>
      </w:r>
    </w:p>
    <w:p>
      <w:pPr>
        <w:sectPr>
          <w:pgSz w:w="11900" w:h="16838" w:orient="portrait"/>
          <w:cols w:equalWidth="0" w:num="1">
            <w:col w:w="10139"/>
          </w:cols>
          <w:pgMar w:left="320" w:top="1395"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March 31, 2022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0"/>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30"/>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8"/>
    </w:lvl>
  </w:abstractNum>
  <w:abstractNum w:abstractNumId="13">
    <w:nsid w:val="1E7FF521"/>
    <w:multiLevelType w:val="hybridMultilevel"/>
    <w:lvl w:ilvl="0">
      <w:lvlJc w:val="left"/>
      <w:lvlText w:val="%1."/>
      <w:numFmt w:val="decimal"/>
      <w:start w:val="9"/>
    </w:lvl>
  </w:abstractNum>
  <w:abstractNum w:abstractNumId="14">
    <w:nsid w:val="7C3DBD3D"/>
    <w:multiLevelType w:val="hybridMultilevel"/>
    <w:lvl w:ilvl="0">
      <w:lvlJc w:val="left"/>
      <w:lvlText w:val="%1."/>
      <w:numFmt w:val="decimal"/>
      <w:start w:val="10"/>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1"/>
    </w:lvl>
  </w:abstractNum>
  <w:abstractNum w:abstractNumId="17">
    <w:nsid w:val="22221A70"/>
    <w:multiLevelType w:val="hybridMultilevel"/>
    <w:lvl w:ilvl="0">
      <w:lvlJc w:val="left"/>
      <w:lvlText w:val="%1."/>
      <w:numFmt w:val="decimal"/>
      <w:start w:val="12"/>
    </w:lvl>
  </w:abstractNum>
  <w:abstractNum w:abstractNumId="18">
    <w:nsid w:val="4516DDE9"/>
    <w:multiLevelType w:val="hybridMultilevel"/>
    <w:lvl w:ilvl="0">
      <w:lvlJc w:val="left"/>
      <w:lvlText w:val="%1."/>
      <w:numFmt w:val="decimal"/>
      <w:start w:val="13"/>
    </w:lvl>
  </w:abstractNum>
  <w:abstractNum w:abstractNumId="19">
    <w:nsid w:val="3006C83E"/>
    <w:multiLevelType w:val="hybridMultilevel"/>
    <w:lvl w:ilvl="0">
      <w:lvlJc w:val="left"/>
      <w:lvlText w:val="%1."/>
      <w:numFmt w:val="decimal"/>
      <w:start w:val="14"/>
    </w:lvl>
  </w:abstractNum>
  <w:abstractNum w:abstractNumId="20">
    <w:nsid w:val="614FD4A1"/>
    <w:multiLevelType w:val="hybridMultilevel"/>
    <w:lvl w:ilvl="0">
      <w:lvlJc w:val="left"/>
      <w:lvlText w:val="%1."/>
      <w:numFmt w:val="decimal"/>
      <w:start w:val="15"/>
    </w:lvl>
  </w:abstractNum>
  <w:abstractNum w:abstractNumId="21">
    <w:nsid w:val="419AC241"/>
    <w:multiLevelType w:val="hybridMultilevel"/>
    <w:lvl w:ilvl="0">
      <w:lvlJc w:val="left"/>
      <w:lvlText w:val="%1."/>
      <w:numFmt w:val="decimal"/>
      <w:start w:val="16"/>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2"/>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lowerRoman"/>
      <w:start w:val="4"/>
    </w:lvl>
  </w:abstractNum>
  <w:abstractNum w:abstractNumId="27">
    <w:nsid w:val="7724C67E"/>
    <w:multiLevelType w:val="hybridMultilevel"/>
    <w:lvl w:ilvl="0">
      <w:lvlJc w:val="left"/>
      <w:lvlText w:val="(%1)"/>
      <w:numFmt w:val="lowerRoman"/>
      <w:start w:val="7"/>
    </w:lvl>
  </w:abstractNum>
  <w:abstractNum w:abstractNumId="28">
    <w:nsid w:val="5C482A97"/>
    <w:multiLevelType w:val="hybridMultilevel"/>
    <w:lvl w:ilvl="0">
      <w:lvlJc w:val="left"/>
      <w:lvlText w:val="(%1)"/>
      <w:numFmt w:val="decimal"/>
      <w:start w:val="2"/>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lowerRoman"/>
      <w:start w:val="5"/>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2"/>
    </w:lvl>
  </w:abstractNum>
  <w:abstractNum w:abstractNumId="34">
    <w:nsid w:val="153EA438"/>
    <w:multiLevelType w:val="hybridMultilevel"/>
    <w:lvl w:ilvl="0">
      <w:lvlJc w:val="left"/>
      <w:lvlText w:val="%1"/>
      <w:numFmt w:val="decimal"/>
      <w:start w:val="101"/>
    </w:lvl>
  </w:abstractNum>
  <w:abstractNum w:abstractNumId="35">
    <w:nsid w:val="3855585C"/>
    <w:multiLevelType w:val="hybridMultilevel"/>
    <w:lvl w:ilvl="0">
      <w:lvlJc w:val="left"/>
      <w:lvlText w:val="%1"/>
      <w:numFmt w:val="decimal"/>
      <w:start w:val="104"/>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6"/>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7"/>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7"/>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7"/>
    </w:lvl>
  </w:abstractNum>
  <w:abstractNum w:abstractNumId="44">
    <w:nsid w:val="4B588F54"/>
    <w:multiLevelType w:val="hybridMultilevel"/>
    <w:lvl w:ilvl="0">
      <w:lvlJc w:val="left"/>
      <w:lvlText w:val="(%1)"/>
      <w:numFmt w:val="lowerRoman"/>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86" Type="http://schemas.openxmlformats.org/officeDocument/2006/relationships/hyperlink" Target="https://www.sec.gov/Archives/edgar/data/1090425/000119312514417756/d823054dex31.htm" TargetMode="External"/><Relationship Id="rId87" Type="http://schemas.openxmlformats.org/officeDocument/2006/relationships/hyperlink" Target="https://www.sec.gov/Archives/edgar/data/1090425/000119312514417756/d823054dex32.htm" TargetMode="External"/><Relationship Id="rId88" Type="http://schemas.openxmlformats.org/officeDocument/2006/relationships/hyperlink" Target="https://www.sec.gov/Archives/edgar/data/899045/000095013407011105/d46520exv3w2.htm" TargetMode="External"/><Relationship Id="rId89" Type="http://schemas.openxmlformats.org/officeDocument/2006/relationships/hyperlink" Target="https://www.sec.gov/Archives/edgar/data/1090425/000119312514417756/d823054dex33.htm" TargetMode="External"/><Relationship Id="rId90" Type="http://schemas.openxmlformats.org/officeDocument/2006/relationships/hyperlink" Target="https://www.sec.gov/Archives/edgar/data/899045/000095013499009877/0000950134-99-00987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2022-05-05T09:32:01Z</dcterms:created>
  <dcterms:modified xsi:type="dcterms:W3CDTF">2022-05-05T09:32:01Z</dcterms:modified>
</cp:coreProperties>
</file>