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REIFENHEISER THOMAS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 CORPORATE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LAMAR ADVERTISING CO/NEW</w:t>
              </w:r>
            </w:hyperlink>
            <w:r>
              <w:rPr/>
              <w:t xml:space="preserve"> [ </w:t>
            </w:r>
            <w:r>
              <w:rPr>
                <w:rFonts w:ascii="Times;serif" w:hAnsi="Times;serif"/>
                <w:color w:val="0000FF"/>
                <w:sz w:val="24"/>
                <w:shd w:fill="FFFFFF" w:val="clear"/>
              </w:rPr>
              <w:t>LAMR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149.0308</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36,387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weighted-average price. These shares were sold in multiple transactions at prices ranging from $148.75 to $149.23 inclusive. The reporting person undertakes to provide to Lamar Advertising Company ("Lamar"), any security holder of Lamar, or the staff of the Securities and Exchange Commission, upon request, full information regarding the number of shares sold at each separate price within the range set forth in this footnote 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McIlwain, at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7157" TargetMode="External"/><Relationship Id="rId5" Type="http://schemas.openxmlformats.org/officeDocument/2006/relationships/hyperlink" Target="http://www.sec.gov/cgi-bin/browse-edgar?action=getcompany&amp;CIK=00010904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3475</Characters>
  <CharactersWithSpaces>4046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