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-95250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-95250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3" w:lineRule="exact"/>
        <w:rPr>
          <w:sz w:val="24"/>
          <w:szCs w:val="24"/>
          <w:color w:val="auto"/>
        </w:rPr>
      </w:pPr>
    </w:p>
    <w:p>
      <w:pPr>
        <w:ind w:left="386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3655060</wp:posOffset>
            </wp:positionH>
            <wp:positionV relativeFrom="paragraph">
              <wp:posOffset>-1270</wp:posOffset>
            </wp:positionV>
            <wp:extent cx="1035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Commission File Number 1-36756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Lamar Advertising Company</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Commission File Number 1-12407</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Lamar Media Corp.</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tbl>
      <w:tblPr>
        <w:tblLayout w:type="fixed"/>
        <w:tblInd w:w="120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2700" w:type="dxa"/>
            <w:vAlign w:val="bottom"/>
          </w:tcPr>
          <w:p>
            <w:pPr>
              <w:jc w:val="center"/>
              <w:ind w:right="1548"/>
              <w:spacing w:after="0"/>
              <w:rPr>
                <w:sz w:val="20"/>
                <w:szCs w:val="20"/>
                <w:color w:val="auto"/>
              </w:rPr>
            </w:pPr>
            <w:r>
              <w:rPr>
                <w:rFonts w:ascii="Arial" w:cs="Arial" w:eastAsia="Arial" w:hAnsi="Arial"/>
                <w:sz w:val="16"/>
                <w:szCs w:val="16"/>
                <w:b w:val="1"/>
                <w:bCs w:val="1"/>
                <w:color w:val="auto"/>
                <w:w w:val="91"/>
              </w:rPr>
              <w:t>Delaware</w:t>
            </w:r>
          </w:p>
        </w:tc>
        <w:tc>
          <w:tcPr>
            <w:tcW w:w="1580" w:type="dxa"/>
            <w:vAlign w:val="bottom"/>
          </w:tcPr>
          <w:p>
            <w:pPr>
              <w:spacing w:after="0"/>
              <w:rPr>
                <w:sz w:val="17"/>
                <w:szCs w:val="17"/>
                <w:color w:val="auto"/>
              </w:rPr>
            </w:pPr>
          </w:p>
        </w:tc>
        <w:tc>
          <w:tcPr>
            <w:tcW w:w="2560" w:type="dxa"/>
            <w:vAlign w:val="bottom"/>
          </w:tcPr>
          <w:p>
            <w:pPr>
              <w:jc w:val="center"/>
              <w:ind w:left="1347"/>
              <w:spacing w:after="0"/>
              <w:rPr>
                <w:sz w:val="20"/>
                <w:szCs w:val="20"/>
                <w:color w:val="auto"/>
              </w:rPr>
            </w:pPr>
            <w:r>
              <w:rPr>
                <w:rFonts w:ascii="Arial" w:cs="Arial" w:eastAsia="Arial" w:hAnsi="Arial"/>
                <w:sz w:val="16"/>
                <w:szCs w:val="16"/>
                <w:b w:val="1"/>
                <w:bCs w:val="1"/>
                <w:color w:val="auto"/>
                <w:w w:val="91"/>
              </w:rPr>
              <w:t>72-1449411</w:t>
            </w:r>
          </w:p>
        </w:tc>
        <w:tc>
          <w:tcPr>
            <w:tcW w:w="360" w:type="dxa"/>
            <w:vAlign w:val="bottom"/>
          </w:tcPr>
          <w:p>
            <w:pPr>
              <w:spacing w:after="0"/>
              <w:rPr>
                <w:sz w:val="17"/>
                <w:szCs w:val="17"/>
                <w:color w:val="auto"/>
              </w:rPr>
            </w:pPr>
          </w:p>
        </w:tc>
      </w:tr>
      <w:tr>
        <w:trPr>
          <w:trHeight w:val="202"/>
        </w:trPr>
        <w:tc>
          <w:tcPr>
            <w:tcW w:w="1020" w:type="dxa"/>
            <w:vAlign w:val="bottom"/>
          </w:tcPr>
          <w:p>
            <w:pPr>
              <w:spacing w:after="0"/>
              <w:rPr>
                <w:sz w:val="17"/>
                <w:szCs w:val="17"/>
                <w:color w:val="auto"/>
              </w:rPr>
            </w:pPr>
          </w:p>
        </w:tc>
        <w:tc>
          <w:tcPr>
            <w:tcW w:w="2700" w:type="dxa"/>
            <w:vAlign w:val="bottom"/>
          </w:tcPr>
          <w:p>
            <w:pPr>
              <w:jc w:val="center"/>
              <w:ind w:right="1548"/>
              <w:spacing w:after="0"/>
              <w:rPr>
                <w:sz w:val="20"/>
                <w:szCs w:val="20"/>
                <w:color w:val="auto"/>
              </w:rPr>
            </w:pPr>
            <w:r>
              <w:rPr>
                <w:rFonts w:ascii="Arial" w:cs="Arial" w:eastAsia="Arial" w:hAnsi="Arial"/>
                <w:sz w:val="16"/>
                <w:szCs w:val="16"/>
                <w:b w:val="1"/>
                <w:bCs w:val="1"/>
                <w:color w:val="auto"/>
                <w:w w:val="91"/>
              </w:rPr>
              <w:t>Delaware</w:t>
            </w:r>
          </w:p>
        </w:tc>
        <w:tc>
          <w:tcPr>
            <w:tcW w:w="1580" w:type="dxa"/>
            <w:vAlign w:val="bottom"/>
          </w:tcPr>
          <w:p>
            <w:pPr>
              <w:spacing w:after="0"/>
              <w:rPr>
                <w:sz w:val="17"/>
                <w:szCs w:val="17"/>
                <w:color w:val="auto"/>
              </w:rPr>
            </w:pPr>
          </w:p>
        </w:tc>
        <w:tc>
          <w:tcPr>
            <w:tcW w:w="2560" w:type="dxa"/>
            <w:vAlign w:val="bottom"/>
          </w:tcPr>
          <w:p>
            <w:pPr>
              <w:jc w:val="center"/>
              <w:ind w:left="1347"/>
              <w:spacing w:after="0"/>
              <w:rPr>
                <w:sz w:val="20"/>
                <w:szCs w:val="20"/>
                <w:color w:val="auto"/>
              </w:rPr>
            </w:pPr>
            <w:r>
              <w:rPr>
                <w:rFonts w:ascii="Arial" w:cs="Arial" w:eastAsia="Arial" w:hAnsi="Arial"/>
                <w:sz w:val="16"/>
                <w:szCs w:val="16"/>
                <w:b w:val="1"/>
                <w:bCs w:val="1"/>
                <w:color w:val="auto"/>
                <w:w w:val="91"/>
              </w:rPr>
              <w:t>72-1205791</w:t>
            </w:r>
          </w:p>
        </w:tc>
        <w:tc>
          <w:tcPr>
            <w:tcW w:w="360" w:type="dxa"/>
            <w:vAlign w:val="bottom"/>
          </w:tcPr>
          <w:p>
            <w:pPr>
              <w:spacing w:after="0"/>
              <w:rPr>
                <w:sz w:val="17"/>
                <w:szCs w:val="17"/>
                <w:color w:val="auto"/>
              </w:rPr>
            </w:pPr>
          </w:p>
        </w:tc>
      </w:tr>
      <w:tr>
        <w:trPr>
          <w:trHeight w:val="160"/>
        </w:trPr>
        <w:tc>
          <w:tcPr>
            <w:tcW w:w="3720" w:type="dxa"/>
            <w:vAlign w:val="bottom"/>
            <w:gridSpan w:val="2"/>
          </w:tcPr>
          <w:p>
            <w:pPr>
              <w:jc w:val="center"/>
              <w:ind w:right="528"/>
              <w:spacing w:after="0"/>
              <w:rPr>
                <w:sz w:val="20"/>
                <w:szCs w:val="20"/>
                <w:color w:val="auto"/>
              </w:rPr>
            </w:pPr>
            <w:r>
              <w:rPr>
                <w:rFonts w:ascii="Arial" w:cs="Arial" w:eastAsia="Arial" w:hAnsi="Arial"/>
                <w:sz w:val="13"/>
                <w:szCs w:val="13"/>
                <w:b w:val="1"/>
                <w:bCs w:val="1"/>
                <w:i w:val="1"/>
                <w:iCs w:val="1"/>
                <w:color w:val="auto"/>
                <w:w w:val="84"/>
              </w:rPr>
              <w:t>(State or other jurisdiction of incorporation or organization)</w:t>
            </w:r>
          </w:p>
        </w:tc>
        <w:tc>
          <w:tcPr>
            <w:tcW w:w="1580" w:type="dxa"/>
            <w:vAlign w:val="bottom"/>
          </w:tcPr>
          <w:p>
            <w:pPr>
              <w:spacing w:after="0"/>
              <w:rPr>
                <w:sz w:val="13"/>
                <w:szCs w:val="13"/>
                <w:color w:val="auto"/>
              </w:rPr>
            </w:pPr>
          </w:p>
        </w:tc>
        <w:tc>
          <w:tcPr>
            <w:tcW w:w="2920" w:type="dxa"/>
            <w:vAlign w:val="bottom"/>
            <w:gridSpan w:val="2"/>
          </w:tcPr>
          <w:p>
            <w:pPr>
              <w:jc w:val="center"/>
              <w:ind w:left="1007"/>
              <w:spacing w:after="0"/>
              <w:rPr>
                <w:sz w:val="20"/>
                <w:szCs w:val="20"/>
                <w:color w:val="auto"/>
              </w:rPr>
            </w:pPr>
            <w:r>
              <w:rPr>
                <w:rFonts w:ascii="Arial" w:cs="Arial" w:eastAsia="Arial" w:hAnsi="Arial"/>
                <w:sz w:val="13"/>
                <w:szCs w:val="13"/>
                <w:b w:val="1"/>
                <w:bCs w:val="1"/>
                <w:i w:val="1"/>
                <w:iCs w:val="1"/>
                <w:color w:val="auto"/>
                <w:w w:val="87"/>
              </w:rPr>
              <w:t>(I.R.S Employer Identification No.)</w:t>
            </w:r>
          </w:p>
        </w:tc>
      </w:tr>
      <w:tr>
        <w:trPr>
          <w:trHeight w:val="214"/>
        </w:trPr>
        <w:tc>
          <w:tcPr>
            <w:tcW w:w="3720" w:type="dxa"/>
            <w:vAlign w:val="bottom"/>
            <w:gridSpan w:val="2"/>
          </w:tcPr>
          <w:p>
            <w:pPr>
              <w:jc w:val="center"/>
              <w:ind w:right="528"/>
              <w:spacing w:after="0"/>
              <w:rPr>
                <w:sz w:val="20"/>
                <w:szCs w:val="20"/>
                <w:color w:val="auto"/>
              </w:rPr>
            </w:pPr>
            <w:r>
              <w:rPr>
                <w:rFonts w:ascii="Arial" w:cs="Arial" w:eastAsia="Arial" w:hAnsi="Arial"/>
                <w:sz w:val="16"/>
                <w:szCs w:val="16"/>
                <w:b w:val="1"/>
                <w:bCs w:val="1"/>
                <w:color w:val="auto"/>
                <w:w w:val="92"/>
              </w:rPr>
              <w:t>5321 Corporate Blvd., Baton Rouge, LA</w:t>
            </w:r>
          </w:p>
        </w:tc>
        <w:tc>
          <w:tcPr>
            <w:tcW w:w="1580" w:type="dxa"/>
            <w:vAlign w:val="bottom"/>
          </w:tcPr>
          <w:p>
            <w:pPr>
              <w:spacing w:after="0"/>
              <w:rPr>
                <w:sz w:val="18"/>
                <w:szCs w:val="18"/>
                <w:color w:val="auto"/>
              </w:rPr>
            </w:pPr>
          </w:p>
        </w:tc>
        <w:tc>
          <w:tcPr>
            <w:tcW w:w="2560" w:type="dxa"/>
            <w:vAlign w:val="bottom"/>
          </w:tcPr>
          <w:p>
            <w:pPr>
              <w:jc w:val="center"/>
              <w:ind w:left="1367"/>
              <w:spacing w:after="0"/>
              <w:rPr>
                <w:sz w:val="20"/>
                <w:szCs w:val="20"/>
                <w:color w:val="auto"/>
              </w:rPr>
            </w:pPr>
            <w:r>
              <w:rPr>
                <w:rFonts w:ascii="Arial" w:cs="Arial" w:eastAsia="Arial" w:hAnsi="Arial"/>
                <w:sz w:val="16"/>
                <w:szCs w:val="16"/>
                <w:b w:val="1"/>
                <w:bCs w:val="1"/>
                <w:color w:val="auto"/>
                <w:w w:val="89"/>
              </w:rPr>
              <w:t>70808</w:t>
            </w:r>
          </w:p>
        </w:tc>
        <w:tc>
          <w:tcPr>
            <w:tcW w:w="360" w:type="dxa"/>
            <w:vAlign w:val="bottom"/>
          </w:tcPr>
          <w:p>
            <w:pPr>
              <w:spacing w:after="0"/>
              <w:rPr>
                <w:sz w:val="18"/>
                <w:szCs w:val="18"/>
                <w:color w:val="auto"/>
              </w:rPr>
            </w:pPr>
          </w:p>
        </w:tc>
      </w:tr>
      <w:tr>
        <w:trPr>
          <w:trHeight w:val="164"/>
        </w:trPr>
        <w:tc>
          <w:tcPr>
            <w:tcW w:w="3720" w:type="dxa"/>
            <w:vAlign w:val="bottom"/>
            <w:gridSpan w:val="2"/>
          </w:tcPr>
          <w:p>
            <w:pPr>
              <w:jc w:val="center"/>
              <w:ind w:right="52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580" w:type="dxa"/>
            <w:vAlign w:val="bottom"/>
          </w:tcPr>
          <w:p>
            <w:pPr>
              <w:spacing w:after="0"/>
              <w:rPr>
                <w:sz w:val="14"/>
                <w:szCs w:val="14"/>
                <w:color w:val="auto"/>
              </w:rPr>
            </w:pPr>
          </w:p>
        </w:tc>
        <w:tc>
          <w:tcPr>
            <w:tcW w:w="2920" w:type="dxa"/>
            <w:vAlign w:val="bottom"/>
            <w:gridSpan w:val="2"/>
          </w:tcPr>
          <w:p>
            <w:pPr>
              <w:jc w:val="center"/>
              <w:ind w:left="987"/>
              <w:spacing w:after="0"/>
              <w:rPr>
                <w:sz w:val="20"/>
                <w:szCs w:val="20"/>
                <w:color w:val="auto"/>
              </w:rPr>
            </w:pPr>
            <w:r>
              <w:rPr>
                <w:rFonts w:ascii="Arial" w:cs="Arial" w:eastAsia="Arial" w:hAnsi="Arial"/>
                <w:sz w:val="13"/>
                <w:szCs w:val="13"/>
                <w:b w:val="1"/>
                <w:bCs w:val="1"/>
                <w:color w:val="auto"/>
                <w:w w:val="90"/>
              </w:rPr>
              <w:t>(Zip Code)</w:t>
            </w:r>
          </w:p>
        </w:tc>
      </w:tr>
      <w:tr>
        <w:trPr>
          <w:trHeight w:val="189"/>
        </w:trPr>
        <w:tc>
          <w:tcPr>
            <w:tcW w:w="1020" w:type="dxa"/>
            <w:vAlign w:val="bottom"/>
          </w:tcPr>
          <w:p>
            <w:pPr>
              <w:spacing w:after="0"/>
              <w:rPr>
                <w:sz w:val="16"/>
                <w:szCs w:val="16"/>
                <w:color w:val="auto"/>
              </w:rPr>
            </w:pPr>
          </w:p>
        </w:tc>
        <w:tc>
          <w:tcPr>
            <w:tcW w:w="7200" w:type="dxa"/>
            <w:vAlign w:val="bottom"/>
            <w:gridSpan w:val="4"/>
          </w:tcPr>
          <w:p>
            <w:pPr>
              <w:ind w:left="1560"/>
              <w:spacing w:after="0"/>
              <w:rPr>
                <w:sz w:val="20"/>
                <w:szCs w:val="20"/>
                <w:color w:val="auto"/>
              </w:rPr>
            </w:pPr>
            <w:r>
              <w:rPr>
                <w:rFonts w:ascii="Arial" w:cs="Arial" w:eastAsia="Arial" w:hAnsi="Arial"/>
                <w:sz w:val="13"/>
                <w:szCs w:val="13"/>
                <w:b w:val="1"/>
                <w:bCs w:val="1"/>
                <w:color w:val="auto"/>
              </w:rPr>
              <w:t>Registrants’ telephone number, including area code: (225) 926-1000</w:t>
            </w:r>
          </w:p>
        </w:tc>
      </w:tr>
      <w:tr>
        <w:trPr>
          <w:trHeight w:val="189"/>
        </w:trPr>
        <w:tc>
          <w:tcPr>
            <w:tcW w:w="1020" w:type="dxa"/>
            <w:vAlign w:val="bottom"/>
          </w:tcPr>
          <w:p>
            <w:pPr>
              <w:spacing w:after="0"/>
              <w:rPr>
                <w:sz w:val="16"/>
                <w:szCs w:val="16"/>
                <w:color w:val="auto"/>
              </w:rPr>
            </w:pPr>
          </w:p>
        </w:tc>
        <w:tc>
          <w:tcPr>
            <w:tcW w:w="7200" w:type="dxa"/>
            <w:vAlign w:val="bottom"/>
            <w:gridSpan w:val="4"/>
          </w:tcPr>
          <w:p>
            <w:pPr>
              <w:ind w:left="1960"/>
              <w:spacing w:after="0"/>
              <w:rPr>
                <w:sz w:val="20"/>
                <w:szCs w:val="20"/>
                <w:color w:val="auto"/>
              </w:rPr>
            </w:pPr>
            <w:r>
              <w:rPr>
                <w:rFonts w:ascii="Arial" w:cs="Arial" w:eastAsia="Arial" w:hAnsi="Arial"/>
                <w:sz w:val="13"/>
                <w:szCs w:val="13"/>
                <w:color w:val="auto"/>
              </w:rPr>
              <w:t>Securities registered pursuant to Section 12(b) of the Act:</w:t>
            </w:r>
          </w:p>
        </w:tc>
      </w:tr>
      <w:tr>
        <w:trPr>
          <w:trHeight w:val="97"/>
        </w:trPr>
        <w:tc>
          <w:tcPr>
            <w:tcW w:w="1020" w:type="dxa"/>
            <w:vAlign w:val="bottom"/>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r>
      <w:tr>
        <w:trPr>
          <w:trHeight w:val="142"/>
        </w:trPr>
        <w:tc>
          <w:tcPr>
            <w:tcW w:w="1020" w:type="dxa"/>
            <w:vAlign w:val="bottom"/>
            <w:tcBorders>
              <w:right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Title of each class</w:t>
            </w:r>
          </w:p>
        </w:tc>
        <w:tc>
          <w:tcPr>
            <w:tcW w:w="1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Trading Symbol(s)</w:t>
            </w:r>
          </w:p>
        </w:tc>
        <w:tc>
          <w:tcPr>
            <w:tcW w:w="25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Name of each exchange on which registered</w:t>
            </w:r>
          </w:p>
        </w:tc>
        <w:tc>
          <w:tcPr>
            <w:tcW w:w="360" w:type="dxa"/>
            <w:vAlign w:val="bottom"/>
          </w:tcPr>
          <w:p>
            <w:pPr>
              <w:spacing w:after="0"/>
              <w:rPr>
                <w:sz w:val="12"/>
                <w:szCs w:val="12"/>
                <w:color w:val="auto"/>
              </w:rPr>
            </w:pPr>
          </w:p>
        </w:tc>
      </w:tr>
      <w:tr>
        <w:trPr>
          <w:trHeight w:val="142"/>
        </w:trPr>
        <w:tc>
          <w:tcPr>
            <w:tcW w:w="1020" w:type="dxa"/>
            <w:vAlign w:val="bottom"/>
            <w:tcBorders>
              <w:right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Class A common stock, $0.001 par value</w:t>
            </w:r>
          </w:p>
        </w:tc>
        <w:tc>
          <w:tcPr>
            <w:tcW w:w="1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LAMR</w:t>
            </w:r>
          </w:p>
        </w:tc>
        <w:tc>
          <w:tcPr>
            <w:tcW w:w="25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The NASDAQ Stock Market, LLC</w:t>
            </w:r>
          </w:p>
        </w:tc>
        <w:tc>
          <w:tcPr>
            <w:tcW w:w="360" w:type="dxa"/>
            <w:vAlign w:val="bottom"/>
          </w:tcPr>
          <w:p>
            <w:pPr>
              <w:spacing w:after="0"/>
              <w:rPr>
                <w:sz w:val="12"/>
                <w:szCs w:val="12"/>
                <w:color w:val="auto"/>
              </w:rPr>
            </w:pPr>
          </w:p>
        </w:tc>
      </w:tr>
    </w:tbl>
    <w:p>
      <w:pPr>
        <w:spacing w:after="0" w:line="41" w:lineRule="exact"/>
        <w:rPr>
          <w:sz w:val="24"/>
          <w:szCs w:val="24"/>
          <w:color w:val="auto"/>
        </w:rPr>
      </w:pPr>
    </w:p>
    <w:p>
      <w:pPr>
        <w:jc w:val="both"/>
        <w:ind w:right="20"/>
        <w:spacing w:after="0" w:line="193" w:lineRule="exact"/>
        <w:rPr>
          <w:sz w:val="20"/>
          <w:szCs w:val="20"/>
          <w:color w:val="auto"/>
        </w:rPr>
      </w:pPr>
      <w:r>
        <w:rPr>
          <w:rFonts w:ascii="Arial" w:cs="Arial" w:eastAsia="Arial" w:hAnsi="Arial"/>
          <w:sz w:val="14"/>
          <w:szCs w:val="14"/>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rPr>
          <w:sz w:val="20"/>
          <w:szCs w:val="20"/>
          <w:color w:val="auto"/>
        </w:rPr>
      </w:pPr>
      <w:r>
        <w:rPr>
          <w:rFonts w:ascii="Arial" w:cs="Arial" w:eastAsia="Arial" w:hAnsi="Arial"/>
          <w:sz w:val="15"/>
          <w:szCs w:val="15"/>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4"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14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320" w:top="593" w:right="339" w:bottom="1440" w:gutter="0" w:footer="0" w:header="0"/>
        </w:sectPr>
      </w:pPr>
    </w:p>
    <w:p>
      <w:pPr>
        <w:spacing w:after="0" w:line="3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0"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70" w:lineRule="exact"/>
        <w:rPr>
          <w:sz w:val="24"/>
          <w:szCs w:val="24"/>
          <w:color w:val="auto"/>
        </w:rPr>
      </w:pPr>
    </w:p>
    <w:p>
      <w:pPr>
        <w:sectPr>
          <w:pgSz w:w="11900" w:h="16838" w:orient="portrait"/>
          <w:cols w:equalWidth="0" w:num="4">
            <w:col w:w="7940" w:space="160"/>
            <w:col w:w="220" w:space="80"/>
            <w:col w:w="140" w:space="140"/>
            <w:col w:w="2560"/>
          </w:cols>
          <w:pgMar w:left="320" w:top="593"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9" w:lineRule="exact"/>
        <w:rPr>
          <w:sz w:val="24"/>
          <w:szCs w:val="24"/>
          <w:color w:val="auto"/>
        </w:rPr>
      </w:pPr>
    </w:p>
    <w:p>
      <w:pPr>
        <w:sectPr>
          <w:pgSz w:w="11900" w:h="16838" w:orient="portrait"/>
          <w:cols w:equalWidth="0" w:num="5">
            <w:col w:w="7360" w:space="160"/>
            <w:col w:w="220" w:space="80"/>
            <w:col w:w="140" w:space="140"/>
            <w:col w:w="180" w:space="80"/>
            <w:col w:w="2880"/>
          </w:cols>
          <w:pgMar w:left="320" w:top="593" w:right="339" w:bottom="1440" w:gutter="0" w:footer="0" w:header="0"/>
          <w:type w:val="continuous"/>
        </w:sectPr>
      </w:pPr>
    </w:p>
    <w:p>
      <w:pPr>
        <w:spacing w:after="0"/>
        <w:rPr>
          <w:sz w:val="20"/>
          <w:szCs w:val="20"/>
          <w:color w:val="auto"/>
        </w:rPr>
      </w:pPr>
      <w:r>
        <w:rPr>
          <w:rFonts w:ascii="Arial" w:cs="Arial" w:eastAsia="Arial" w:hAnsi="Arial"/>
          <w:sz w:val="14"/>
          <w:szCs w:val="14"/>
          <w:color w:val="auto"/>
        </w:rPr>
        <w:t>The number of shares of Lamar Advertising Company’s Class A common stock outstanding as of July 31, 2020: 86,389,807</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Lamar Advertising Company’s Class B common stock outstanding as of July 31, 2020: 14,420,085</w:t>
      </w: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Lamar Media Corp. common stock outstanding as of July 31, 2020: 100</w:t>
      </w:r>
    </w:p>
    <w:p>
      <w:pPr>
        <w:sectPr>
          <w:pgSz w:w="11900" w:h="16838" w:orient="portrait"/>
          <w:cols w:equalWidth="0" w:num="1">
            <w:col w:w="11240"/>
          </w:cols>
          <w:pgMar w:left="320" w:top="593" w:right="339" w:bottom="1440" w:gutter="0" w:footer="0" w:header="0"/>
          <w:type w:val="continuous"/>
        </w:sectPr>
      </w:pPr>
    </w:p>
    <w:p>
      <w:pPr>
        <w:spacing w:after="0" w:line="40" w:lineRule="exact"/>
        <w:rPr>
          <w:sz w:val="24"/>
          <w:szCs w:val="24"/>
          <w:color w:val="auto"/>
        </w:rPr>
      </w:pPr>
    </w:p>
    <w:p>
      <w:pPr>
        <w:jc w:val="both"/>
        <w:spacing w:after="0" w:line="243" w:lineRule="auto"/>
        <w:rPr>
          <w:sz w:val="20"/>
          <w:szCs w:val="20"/>
          <w:color w:val="auto"/>
        </w:rPr>
      </w:pPr>
      <w:r>
        <w:rPr>
          <w:rFonts w:ascii="Arial" w:cs="Arial" w:eastAsia="Arial" w:hAnsi="Arial"/>
          <w:sz w:val="15"/>
          <w:szCs w:val="15"/>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9"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condition;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plans, objectives, prospects, growth and operating strategies;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 and level of acquisition activity;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opportunities and competitive positions;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cash flows and expected cash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risks;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covenants and restrictions included in Lamar Media’s senior credit facility and the indentures relating to its outstanding notes;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future dividend distributions;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qualified as a Real Estate Investment Trust (“REIT”).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9" w:lineRule="exact"/>
        <w:rPr>
          <w:sz w:val="20"/>
          <w:szCs w:val="20"/>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state of the economy and financial markets generally and their effects on the markets in which we operate and the broader demand for advertising;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magnitude of the impact of the novel coronavirus (COVID-19) on our operations and on general 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outdoor advertising in particular;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demand for outdoor advertising and its continued popularity as an advertising medium;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operations and debt refinancing;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within the outdoor advertising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regulation of the outdoor advertising industry by federal, state and local governments;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renew expiring contracts at favorable rates;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integration of businesses and assets that we acquire and our ability to recognize cost savings and operating efficiencies as a result of these acquisitions;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digital deployment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our Class A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mitigate the threat of and damages caused by hurricanes and other kinds of severe weather;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qualify as a REIT and maintain our status as a REIT;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applicable to REITs or in the interpretation of those 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spacing w:after="0" w:line="301" w:lineRule="auto"/>
        <w:rPr>
          <w:sz w:val="20"/>
          <w:szCs w:val="20"/>
          <w:color w:val="auto"/>
        </w:rPr>
      </w:pPr>
      <w:r>
        <w:rPr>
          <w:rFonts w:ascii="Arial" w:cs="Arial" w:eastAsia="Arial" w:hAnsi="Arial"/>
          <w:sz w:val="16"/>
          <w:szCs w:val="16"/>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 further description of these and other risks and uncertainties, the Company encourages you to read carefully Item 1A to the combined Annual Report on Form 10-K for the year ended December 31, 2019 of the Company and Lamar Media (the “2019 Combined Form 10-K”), filed on February 20, 2020, as updated and supplemented in Part II, Item 1A of this Quarterly Report on Form 10-Q,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 FINANCIAL INFORMATION</w:t>
              </w:r>
            </w:hyperlink>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680" w:type="dxa"/>
            <w:vAlign w:val="bottom"/>
            <w:vMerge w:val="continue"/>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23"/>
        </w:trPr>
        <w:tc>
          <w:tcPr>
            <w:tcW w:w="10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Lamar Advertising Company</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June 30, 2020 and December 31,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Condensed Consolidated Statements of Income and Comprehensive Income for the three and six months ended June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 for the three and six months ended June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2"/>
              </w:rPr>
              <w:t>7-8</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 for the six months ended June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0"/>
        </w:trPr>
        <w:tc>
          <w:tcPr>
            <w:tcW w:w="10680" w:type="dxa"/>
            <w:vAlign w:val="bottom"/>
          </w:tcPr>
          <w:p>
            <w:pPr>
              <w:ind w:left="4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10-20</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Lamar Media Corp.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Condensed Consolidated Balance Sheets as of June 30, 2020 and December 31,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w w:val="93"/>
              </w:rPr>
            </w:pPr>
            <w:hyperlink w:anchor="page22">
              <w:r>
                <w:rPr>
                  <w:rFonts w:ascii="Arial" w:cs="Arial" w:eastAsia="Arial" w:hAnsi="Arial"/>
                  <w:sz w:val="18"/>
                  <w:szCs w:val="18"/>
                  <w:u w:val="single" w:color="auto"/>
                  <w:color w:val="0000EE"/>
                  <w:w w:val="93"/>
                </w:rPr>
                <w:t>Condensed Consolidated Statements of Income and Comprehensive Income for the three and six months ended June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Condensed Consolidated Statements of Stockholder’s Equity for the three and six months ended June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10680" w:type="dxa"/>
            <w:vAlign w:val="bottom"/>
          </w:tcPr>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Condensed Consolidated Statements of Cash Flows for the six months ended June 30, 2020 and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10680" w:type="dxa"/>
            <w:vAlign w:val="bottom"/>
          </w:tcPr>
          <w:p>
            <w:pPr>
              <w:ind w:left="4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25-33</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Management’s Discussion and Analysis of Financial Condition and Results of Operations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34-52</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3. Quantitative and Qualitative Disclosures About Market Risk</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4. Controls and Procedures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PART II — 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1A. Risk Factors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2. Unregistered Sales of Equity Securities and Use of Proceeds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5. 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338"/>
        </w:trPr>
        <w:tc>
          <w:tcPr>
            <w:tcW w:w="1068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6. Exhibits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57-58</w:t>
            </w:r>
          </w:p>
        </w:tc>
        <w:tc>
          <w:tcPr>
            <w:tcW w:w="0" w:type="dxa"/>
            <w:vAlign w:val="bottom"/>
          </w:tcPr>
          <w:p>
            <w:pPr>
              <w:spacing w:after="0"/>
              <w:rPr>
                <w:sz w:val="1"/>
                <w:szCs w:val="1"/>
                <w:color w:val="auto"/>
              </w:rPr>
            </w:pPr>
          </w:p>
        </w:tc>
      </w:tr>
      <w:tr>
        <w:trPr>
          <w:trHeight w:val="864"/>
        </w:trPr>
        <w:tc>
          <w:tcPr>
            <w:tcW w:w="10680" w:type="dxa"/>
            <w:vAlign w:val="bottom"/>
          </w:tcPr>
          <w:p>
            <w:pPr>
              <w:ind w:left="55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6"/>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720" w:type="dxa"/>
            <w:vAlign w:val="bottom"/>
            <w:shd w:val="clear" w:color="auto" w:fill="CFF0FC"/>
          </w:tcPr>
          <w:p>
            <w:pPr>
              <w:ind w:left="346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177,093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26,188</w:t>
            </w: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Receivables, net of allowance for doubtful accounts of $17,661 and $13,185 in 2020 and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2019, respectively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232,176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254,930</w:t>
            </w:r>
          </w:p>
        </w:tc>
        <w:tc>
          <w:tcPr>
            <w:tcW w:w="120" w:type="dxa"/>
            <w:vAlign w:val="bottom"/>
          </w:tcPr>
          <w:p>
            <w:pPr>
              <w:spacing w:after="0"/>
              <w:rPr>
                <w:sz w:val="18"/>
                <w:szCs w:val="18"/>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34,968</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29,051</w:t>
            </w:r>
          </w:p>
        </w:tc>
        <w:tc>
          <w:tcPr>
            <w:tcW w:w="120" w:type="dxa"/>
            <w:vAlign w:val="bottom"/>
            <w:shd w:val="clear" w:color="auto" w:fill="CFF0FC"/>
          </w:tcPr>
          <w:p>
            <w:pPr>
              <w:spacing w:after="0"/>
              <w:rPr>
                <w:sz w:val="18"/>
                <w:szCs w:val="18"/>
                <w:color w:val="auto"/>
              </w:rPr>
            </w:pPr>
          </w:p>
        </w:tc>
      </w:tr>
      <w:tr>
        <w:trPr>
          <w:trHeight w:val="209"/>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444,237</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310,169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3,666,749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3,660,311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Less accumulated depreciation and amortization</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(2,346,274)</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(2,311,196)</w:t>
            </w:r>
          </w:p>
        </w:tc>
      </w:tr>
      <w:tr>
        <w:trPr>
          <w:trHeight w:val="209"/>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Net property, plant and equipment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1,320,475</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1,349,115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7"/>
                <w:szCs w:val="17"/>
                <w:color w:val="auto"/>
              </w:rPr>
              <w:t>Operating lease right of use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1,292,917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1,320,779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1,912,161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1,912,274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Intangible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955,196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992,244</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56,595</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56,574</w:t>
            </w:r>
          </w:p>
        </w:tc>
        <w:tc>
          <w:tcPr>
            <w:tcW w:w="120" w:type="dxa"/>
            <w:vAlign w:val="bottom"/>
            <w:shd w:val="clear" w:color="auto" w:fill="CFF0FC"/>
          </w:tcPr>
          <w:p>
            <w:pPr>
              <w:spacing w:after="0"/>
              <w:rPr>
                <w:sz w:val="18"/>
                <w:szCs w:val="18"/>
                <w:color w:val="auto"/>
              </w:rPr>
            </w:pPr>
          </w:p>
        </w:tc>
      </w:tr>
      <w:tr>
        <w:trPr>
          <w:trHeight w:val="249"/>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5,981,581</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5,941,155</w:t>
            </w:r>
          </w:p>
        </w:tc>
        <w:tc>
          <w:tcPr>
            <w:tcW w:w="120" w:type="dxa"/>
            <w:vAlign w:val="bottom"/>
            <w:tcBorders>
              <w:bottom w:val="single" w:sz="8" w:color="CFF0FC"/>
            </w:tcBorders>
          </w:tcPr>
          <w:p>
            <w:pPr>
              <w:spacing w:after="0"/>
              <w:rPr>
                <w:sz w:val="21"/>
                <w:szCs w:val="21"/>
                <w:color w:val="auto"/>
              </w:rPr>
            </w:pPr>
          </w:p>
        </w:tc>
      </w:tr>
      <w:tr>
        <w:trPr>
          <w:trHeight w:val="197"/>
        </w:trPr>
        <w:tc>
          <w:tcPr>
            <w:tcW w:w="7720" w:type="dxa"/>
            <w:vAlign w:val="bottom"/>
            <w:shd w:val="clear" w:color="auto" w:fill="CFF0FC"/>
          </w:tcPr>
          <w:p>
            <w:pPr>
              <w:ind w:left="1920"/>
              <w:spacing w:after="0" w:line="193" w:lineRule="exact"/>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Trade accounts payable</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11,928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14,974</w:t>
            </w: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Current maturities of long-term debt, net of deferred financing costs of $0 and $6,081</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in 2020 and 2019, respectively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226,514</w:t>
            </w:r>
          </w:p>
        </w:tc>
        <w:tc>
          <w:tcPr>
            <w:tcW w:w="120" w:type="dxa"/>
            <w:vAlign w:val="bottom"/>
          </w:tcPr>
          <w:p>
            <w:pPr>
              <w:spacing w:after="0"/>
              <w:rPr>
                <w:sz w:val="18"/>
                <w:szCs w:val="18"/>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Current operating lease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173,835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196,841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Accrued expenses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73,071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107,225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income</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125,908</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127,254</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393,862</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672,808</w:t>
            </w:r>
          </w:p>
        </w:tc>
        <w:tc>
          <w:tcPr>
            <w:tcW w:w="120" w:type="dxa"/>
            <w:vAlign w:val="bottom"/>
            <w:tcBorders>
              <w:bottom w:val="single" w:sz="8" w:color="CFF0FC"/>
            </w:tcBorders>
          </w:tcPr>
          <w:p>
            <w:pPr>
              <w:spacing w:after="0"/>
              <w:rPr>
                <w:sz w:val="18"/>
                <w:szCs w:val="18"/>
                <w:color w:val="auto"/>
              </w:rPr>
            </w:pPr>
          </w:p>
        </w:tc>
      </w:tr>
      <w:tr>
        <w:trPr>
          <w:trHeight w:val="192"/>
        </w:trPr>
        <w:tc>
          <w:tcPr>
            <w:tcW w:w="772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Long-term debt, net of deferred financing costs of $43,115 and $18,333 in 2020 and 2019,</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0"/>
        </w:trPr>
        <w:tc>
          <w:tcPr>
            <w:tcW w:w="7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respectively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3,146,779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2,753,604</w:t>
            </w:r>
          </w:p>
        </w:tc>
        <w:tc>
          <w:tcPr>
            <w:tcW w:w="120" w:type="dxa"/>
            <w:vAlign w:val="bottom"/>
            <w:shd w:val="clear" w:color="auto" w:fill="CFF0FC"/>
          </w:tcPr>
          <w:p>
            <w:pPr>
              <w:spacing w:after="0"/>
              <w:rPr>
                <w:sz w:val="19"/>
                <w:szCs w:val="19"/>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1,054,140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1,068,181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4,406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5,713</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Asset retirement obligation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224,945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226,137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34,078</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34,406</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Total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4,858,210</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4,760,849</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Series AA preferred stock, par value $.001, $63.80 cumulative dividends,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5,720 shares authorized; 5,720 shares issued and outstanding at 2020 and 2019</w:t>
            </w:r>
          </w:p>
        </w:tc>
        <w:tc>
          <w:tcPr>
            <w:tcW w:w="2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A common stock, par value $.001, 362,500,000 shares authorized; 87,004,721 and</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20" w:type="dxa"/>
            <w:vAlign w:val="bottom"/>
            <w:shd w:val="clear" w:color="auto" w:fill="CFF0FC"/>
          </w:tcPr>
          <w:p>
            <w:pPr>
              <w:ind w:left="460"/>
              <w:spacing w:after="0"/>
              <w:rPr>
                <w:sz w:val="20"/>
                <w:szCs w:val="20"/>
                <w:color w:val="auto"/>
              </w:rPr>
            </w:pPr>
            <w:r>
              <w:rPr>
                <w:rFonts w:ascii="Arial" w:cs="Arial" w:eastAsia="Arial" w:hAnsi="Arial"/>
                <w:sz w:val="17"/>
                <w:szCs w:val="17"/>
                <w:color w:val="auto"/>
              </w:rPr>
              <w:t>86,596,498 shares issued at 2020 and 2019, respectively; 86,389,807 and 86,093,300</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7720" w:type="dxa"/>
            <w:vAlign w:val="bottom"/>
            <w:shd w:val="clear" w:color="auto" w:fill="CFF0FC"/>
          </w:tcPr>
          <w:p>
            <w:pPr>
              <w:ind w:left="420"/>
              <w:spacing w:after="0"/>
              <w:rPr>
                <w:sz w:val="20"/>
                <w:szCs w:val="20"/>
                <w:color w:val="auto"/>
              </w:rPr>
            </w:pPr>
            <w:r>
              <w:rPr>
                <w:rFonts w:ascii="Arial" w:cs="Arial" w:eastAsia="Arial" w:hAnsi="Arial"/>
                <w:sz w:val="17"/>
                <w:szCs w:val="17"/>
                <w:color w:val="auto"/>
              </w:rPr>
              <w:t>outstanding at 2020 and 2019, respectively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FF0FC"/>
          </w:tcPr>
          <w:p>
            <w:pPr>
              <w:spacing w:after="0"/>
              <w:rPr>
                <w:sz w:val="19"/>
                <w:szCs w:val="19"/>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Class B common stock, par value $.001, 37,500,000 shares authorized,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20"/>
              <w:spacing w:after="0"/>
              <w:rPr>
                <w:sz w:val="20"/>
                <w:szCs w:val="20"/>
                <w:color w:val="auto"/>
              </w:rPr>
            </w:pPr>
            <w:r>
              <w:rPr>
                <w:rFonts w:ascii="Arial" w:cs="Arial" w:eastAsia="Arial" w:hAnsi="Arial"/>
                <w:sz w:val="17"/>
                <w:szCs w:val="17"/>
                <w:color w:val="auto"/>
              </w:rPr>
              <w:t>14,420,085 shares issued and outstanding at 2020 and 2019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1,955,612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1,922,222</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Accumulated comprehensive (loss) income</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(173)</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685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deficit</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(787,751)</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(708,408)</w:t>
            </w: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Cost of shares held in treasury, 614,914 and 503,198 shares at 2020 and 2019,</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460"/>
              <w:spacing w:after="0"/>
              <w:rPr>
                <w:sz w:val="20"/>
                <w:szCs w:val="20"/>
                <w:color w:val="auto"/>
              </w:rPr>
            </w:pPr>
            <w:r>
              <w:rPr>
                <w:rFonts w:ascii="Arial" w:cs="Arial" w:eastAsia="Arial" w:hAnsi="Arial"/>
                <w:sz w:val="17"/>
                <w:szCs w:val="17"/>
                <w:color w:val="auto"/>
              </w:rPr>
              <w:t>respectively</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(44,418)</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(34,294)</w:t>
            </w:r>
          </w:p>
        </w:tc>
      </w:tr>
      <w:tr>
        <w:trPr>
          <w:trHeight w:val="212"/>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1,123,371</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1,180,306</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740"/>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5,981,581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5,941,155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347,652</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448,742</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754,221</w:t>
            </w:r>
          </w:p>
        </w:tc>
        <w:tc>
          <w:tcPr>
            <w:tcW w:w="2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833,199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134,059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146,390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283,553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78,416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149,612</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16,750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18,674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35,241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61,693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304,636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591,198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144,106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163,023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106,016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73,218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(12,380)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31,429</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118,396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and paid on preferred stock</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applicable to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31,338</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118,305</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71,740</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169,467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3"/>
                <w:szCs w:val="23"/>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23"/>
                <w:szCs w:val="23"/>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60"/>
              <w:spacing w:after="0"/>
              <w:rPr>
                <w:sz w:val="20"/>
                <w:szCs w:val="20"/>
                <w:color w:val="auto"/>
              </w:rPr>
            </w:pPr>
            <w:r>
              <w:rPr>
                <w:rFonts w:ascii="Arial" w:cs="Arial" w:eastAsia="Arial" w:hAnsi="Arial"/>
                <w:sz w:val="18"/>
                <w:szCs w:val="18"/>
                <w:color w:val="auto"/>
              </w:rPr>
              <w:t>Cash dividends declared per share of common stock</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computing earnings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share:</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100,765,681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100,012,827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100,677,510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99,862,452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100,861,881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100,222,082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100,818,347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100,058,054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118,396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71,922</w:t>
            </w: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118,683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71,064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Series AA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B</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Treasury</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PREF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CMN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CMN</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 in</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2019</w:t>
            </w: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(34,294)</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1,922,222</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685</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(708,408)</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1,180,306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1,261</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272,813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 stock through</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performance stock awards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24,956</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Exercise of 14,609 shares of stock</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652</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58,734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 plan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2,560</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Purchase of 110,520 shares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(10,068)</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(10,068)</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(1,598)</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40,493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40,493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shareholders ($1.00 per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(100,687)</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(100,687)</w:t>
            </w: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March 31, 2020</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(44,362)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1,951,651</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(913)</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(768,693)</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1,137,784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3"/>
                <w:szCs w:val="13"/>
                <w:color w:val="auto"/>
              </w:rPr>
            </w:pPr>
          </w:p>
        </w:tc>
        <w:tc>
          <w:tcPr>
            <w:tcW w:w="760" w:type="dxa"/>
            <w:vAlign w:val="bottom"/>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1,525</w:t>
            </w:r>
          </w:p>
        </w:tc>
        <w:tc>
          <w:tcPr>
            <w:tcW w:w="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1,525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13,642 shares of stock</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Issuance of shares 31,114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common stock through employee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1,765</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Purchase of 1,196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treasury stock</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740</w:t>
            </w:r>
          </w:p>
        </w:tc>
        <w:tc>
          <w:tcPr>
            <w:tcW w:w="2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31,429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shareholders ($0.50 per common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(50,396)</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(50,396)</w:t>
            </w: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4"/>
                <w:szCs w:val="14"/>
                <w:color w:val="auto"/>
              </w:rPr>
              <w:t>Balance, June 30, 2020</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(44,418)</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1,955,612</w:t>
            </w:r>
          </w:p>
        </w:tc>
        <w:tc>
          <w:tcPr>
            <w:tcW w:w="2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(787,751)</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1,123,371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Series AA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A</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B</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Treasury</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PREF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CMN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CMN</w:t>
            </w: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 in</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2018</w:t>
            </w: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(25,412)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1,852,421</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(695,337)</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1,131,784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1,178</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286,350 shares of</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 stock through</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performance stock awards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19,919</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Exercise of 186,521 shares of stock</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7,352</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44,161 shares of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stock</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through employee purchase plan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Purchase of 111,835 shares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(8,682)</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(8,682)</w:t>
            </w: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51,253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51,253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shareholders ($0.96 per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(95,915)</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(95,915)</w:t>
            </w: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March 31, 2019</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(34,094)</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1,883,391</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(740,090)</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1,109,578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4"/>
                <w:szCs w:val="14"/>
                <w:color w:val="auto"/>
              </w:rPr>
              <w:t>Non-cash compensation</w:t>
            </w:r>
          </w:p>
        </w:tc>
        <w:tc>
          <w:tcPr>
            <w:tcW w:w="100" w:type="dxa"/>
            <w:vAlign w:val="bottom"/>
          </w:tcPr>
          <w:p>
            <w:pPr>
              <w:spacing w:after="0"/>
              <w:rPr>
                <w:sz w:val="13"/>
                <w:szCs w:val="13"/>
                <w:color w:val="auto"/>
              </w:rPr>
            </w:pPr>
          </w:p>
        </w:tc>
        <w:tc>
          <w:tcPr>
            <w:tcW w:w="760" w:type="dxa"/>
            <w:vAlign w:val="bottom"/>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1,425</w:t>
            </w:r>
          </w:p>
        </w:tc>
        <w:tc>
          <w:tcPr>
            <w:tcW w:w="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Exercise of 85,379 shares of stock</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3,943</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Issuance of shares 31,455 of</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common stock through</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employee purchase plan</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1,796</w:t>
            </w:r>
          </w:p>
        </w:tc>
        <w:tc>
          <w:tcPr>
            <w:tcW w:w="2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118,396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118,396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Dividends/distributions to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shareholders ($0.96 per common</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(96,039)</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(96,039)</w:t>
            </w:r>
          </w:p>
        </w:tc>
        <w:tc>
          <w:tcPr>
            <w:tcW w:w="0" w:type="dxa"/>
            <w:vAlign w:val="bottom"/>
          </w:tcPr>
          <w:p>
            <w:pPr>
              <w:spacing w:after="0"/>
              <w:rPr>
                <w:sz w:val="1"/>
                <w:szCs w:val="1"/>
                <w:color w:val="auto"/>
              </w:rPr>
            </w:pPr>
          </w:p>
        </w:tc>
      </w:tr>
      <w:tr>
        <w:trPr>
          <w:trHeight w:val="143"/>
        </w:trPr>
        <w:tc>
          <w:tcPr>
            <w:tcW w:w="2620" w:type="dxa"/>
            <w:vAlign w:val="bottom"/>
          </w:tcPr>
          <w:p>
            <w:pPr>
              <w:spacing w:after="0" w:line="143" w:lineRule="exact"/>
              <w:rPr>
                <w:sz w:val="20"/>
                <w:szCs w:val="20"/>
                <w:color w:val="auto"/>
              </w:rPr>
            </w:pPr>
            <w:r>
              <w:rPr>
                <w:rFonts w:ascii="Arial" w:cs="Arial" w:eastAsia="Arial" w:hAnsi="Arial"/>
                <w:sz w:val="14"/>
                <w:szCs w:val="14"/>
                <w:color w:val="auto"/>
              </w:rPr>
              <w:t>Dividends ($15.95 per preferred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2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(91)</w:t>
            </w: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5"/>
        </w:trPr>
        <w:tc>
          <w:tcPr>
            <w:tcW w:w="2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June 30, 2019</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(34,094)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1,890,555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(717,824)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1,139,295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p>
      <w:pPr>
        <w:jc w:val="center"/>
        <w:ind w:left="7580"/>
        <w:spacing w:after="0"/>
        <w:rPr>
          <w:sz w:val="20"/>
          <w:szCs w:val="20"/>
          <w:color w:val="auto"/>
        </w:rPr>
      </w:pPr>
      <w:r>
        <w:rPr>
          <w:rFonts w:ascii="Arial" w:cs="Arial" w:eastAsia="Arial" w:hAnsi="Arial"/>
          <w:sz w:val="13"/>
          <w:szCs w:val="13"/>
          <w:b w:val="1"/>
          <w:bCs w:val="1"/>
          <w:color w:val="auto"/>
        </w:rPr>
        <w:t>Six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3"/>
          <w:szCs w:val="13"/>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Net income</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71,922</w:t>
            </w:r>
          </w:p>
        </w:tc>
        <w:tc>
          <w:tcPr>
            <w:tcW w:w="280" w:type="dxa"/>
            <w:vAlign w:val="bottom"/>
          </w:tcPr>
          <w:p>
            <w:pPr>
              <w:spacing w:after="0"/>
              <w:rPr>
                <w:sz w:val="15"/>
                <w:szCs w:val="15"/>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169,649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Depreciation and amortization</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126,311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123,199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6,162</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7,506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Amortization included in interest expense</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2,878</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Gain on disposition of assets and investments</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(3,519)</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(5,161)</w:t>
            </w: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Loss on extinguishment of debt</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18,184</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tax benefit</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(1,313)</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(15,121)</w:t>
            </w: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Provision for doubtful accounts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8,331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operating assets and liabilities</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500"/>
              <w:spacing w:after="0"/>
              <w:rPr>
                <w:sz w:val="20"/>
                <w:szCs w:val="20"/>
                <w:color w:val="auto"/>
              </w:rPr>
            </w:pPr>
            <w:r>
              <w:rPr>
                <w:rFonts w:ascii="Arial" w:cs="Arial" w:eastAsia="Arial" w:hAnsi="Arial"/>
                <w:sz w:val="15"/>
                <w:szCs w:val="15"/>
                <w:color w:val="auto"/>
              </w:rPr>
              <w:t>Decrease (increase) in:</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1000"/>
              <w:spacing w:after="0"/>
              <w:rPr>
                <w:sz w:val="20"/>
                <w:szCs w:val="20"/>
                <w:color w:val="auto"/>
              </w:rPr>
            </w:pPr>
            <w:r>
              <w:rPr>
                <w:rFonts w:ascii="Arial" w:cs="Arial" w:eastAsia="Arial" w:hAnsi="Arial"/>
                <w:sz w:val="15"/>
                <w:szCs w:val="15"/>
                <w:color w:val="auto"/>
              </w:rPr>
              <w:t>Receivables</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13,772</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(19,103)</w:t>
            </w:r>
          </w:p>
        </w:tc>
        <w:tc>
          <w:tcPr>
            <w:tcW w:w="0" w:type="dxa"/>
            <w:vAlign w:val="bottom"/>
          </w:tcPr>
          <w:p>
            <w:pPr>
              <w:spacing w:after="0"/>
              <w:rPr>
                <w:sz w:val="1"/>
                <w:szCs w:val="1"/>
                <w:color w:val="auto"/>
              </w:rPr>
            </w:pPr>
          </w:p>
        </w:tc>
      </w:tr>
      <w:tr>
        <w:trPr>
          <w:trHeight w:val="175"/>
        </w:trPr>
        <w:tc>
          <w:tcPr>
            <w:tcW w:w="7720" w:type="dxa"/>
            <w:vAlign w:val="bottom"/>
          </w:tcPr>
          <w:p>
            <w:pPr>
              <w:ind w:left="1000"/>
              <w:spacing w:after="0"/>
              <w:rPr>
                <w:sz w:val="20"/>
                <w:szCs w:val="20"/>
                <w:color w:val="auto"/>
              </w:rPr>
            </w:pPr>
            <w:r>
              <w:rPr>
                <w:rFonts w:ascii="Arial" w:cs="Arial" w:eastAsia="Arial" w:hAnsi="Arial"/>
                <w:sz w:val="15"/>
                <w:szCs w:val="15"/>
                <w:color w:val="auto"/>
              </w:rPr>
              <w:t>Prepaid lease expenses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623</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20,173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1000"/>
              <w:spacing w:after="0"/>
              <w:rPr>
                <w:sz w:val="20"/>
                <w:szCs w:val="20"/>
                <w:color w:val="auto"/>
              </w:rPr>
            </w:pPr>
            <w:r>
              <w:rPr>
                <w:rFonts w:ascii="Arial" w:cs="Arial" w:eastAsia="Arial" w:hAnsi="Arial"/>
                <w:sz w:val="15"/>
                <w:szCs w:val="15"/>
                <w:color w:val="auto"/>
              </w:rPr>
              <w:t>Other assets</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(7,179)</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(11,108)</w:t>
            </w: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(Decrease) increase in:</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1000"/>
              <w:spacing w:after="0"/>
              <w:rPr>
                <w:sz w:val="20"/>
                <w:szCs w:val="20"/>
                <w:color w:val="auto"/>
              </w:rPr>
            </w:pPr>
            <w:r>
              <w:rPr>
                <w:rFonts w:ascii="Arial" w:cs="Arial" w:eastAsia="Arial" w:hAnsi="Arial"/>
                <w:sz w:val="15"/>
                <w:szCs w:val="15"/>
                <w:color w:val="auto"/>
              </w:rPr>
              <w:t>Trade accounts payable</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(25)</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1000"/>
              <w:spacing w:after="0"/>
              <w:rPr>
                <w:sz w:val="20"/>
                <w:szCs w:val="20"/>
                <w:color w:val="auto"/>
              </w:rPr>
            </w:pPr>
            <w:r>
              <w:rPr>
                <w:rFonts w:ascii="Arial" w:cs="Arial" w:eastAsia="Arial" w:hAnsi="Arial"/>
                <w:sz w:val="15"/>
                <w:szCs w:val="15"/>
                <w:color w:val="auto"/>
              </w:rPr>
              <w:t>Accrued expenses</w:t>
            </w:r>
          </w:p>
        </w:tc>
        <w:tc>
          <w:tcPr>
            <w:tcW w:w="9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(12,012)</w:t>
            </w: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(13,528)</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1000"/>
              <w:spacing w:after="0"/>
              <w:rPr>
                <w:sz w:val="20"/>
                <w:szCs w:val="20"/>
                <w:color w:val="auto"/>
              </w:rPr>
            </w:pPr>
            <w:r>
              <w:rPr>
                <w:rFonts w:ascii="Arial" w:cs="Arial" w:eastAsia="Arial" w:hAnsi="Arial"/>
                <w:sz w:val="15"/>
                <w:szCs w:val="15"/>
                <w:color w:val="auto"/>
              </w:rPr>
              <w:t>Operating lease liabilities</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(8,735)</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(45,836)</w:t>
            </w:r>
          </w:p>
        </w:tc>
        <w:tc>
          <w:tcPr>
            <w:tcW w:w="0" w:type="dxa"/>
            <w:vAlign w:val="bottom"/>
          </w:tcPr>
          <w:p>
            <w:pPr>
              <w:spacing w:after="0"/>
              <w:rPr>
                <w:sz w:val="1"/>
                <w:szCs w:val="1"/>
                <w:color w:val="auto"/>
              </w:rPr>
            </w:pPr>
          </w:p>
        </w:tc>
      </w:tr>
      <w:tr>
        <w:trPr>
          <w:trHeight w:val="176"/>
        </w:trPr>
        <w:tc>
          <w:tcPr>
            <w:tcW w:w="7720" w:type="dxa"/>
            <w:vAlign w:val="bottom"/>
          </w:tcPr>
          <w:p>
            <w:pPr>
              <w:ind w:left="1000"/>
              <w:spacing w:after="0"/>
              <w:rPr>
                <w:sz w:val="20"/>
                <w:szCs w:val="20"/>
                <w:color w:val="auto"/>
              </w:rPr>
            </w:pPr>
            <w:r>
              <w:rPr>
                <w:rFonts w:ascii="Arial" w:cs="Arial" w:eastAsia="Arial" w:hAnsi="Arial"/>
                <w:sz w:val="15"/>
                <w:szCs w:val="15"/>
                <w:color w:val="auto"/>
              </w:rPr>
              <w:t>Other liabilities</w:t>
            </w:r>
          </w:p>
        </w:tc>
        <w:tc>
          <w:tcPr>
            <w:tcW w:w="9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(4,723)</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17,532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ind w:left="1240"/>
              <w:spacing w:after="0" w:line="169" w:lineRule="exact"/>
              <w:rPr>
                <w:sz w:val="20"/>
                <w:szCs w:val="20"/>
                <w:color w:val="auto"/>
              </w:rPr>
            </w:pPr>
            <w:r>
              <w:rPr>
                <w:rFonts w:ascii="Arial" w:cs="Arial" w:eastAsia="Arial" w:hAnsi="Arial"/>
                <w:sz w:val="15"/>
                <w:szCs w:val="15"/>
                <w:color w:val="auto"/>
              </w:rPr>
              <w:t>Net cash provided by operating activities</w:t>
            </w:r>
          </w:p>
        </w:tc>
        <w:tc>
          <w:tcPr>
            <w:tcW w:w="9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210,677</w:t>
            </w:r>
          </w:p>
        </w:tc>
        <w:tc>
          <w:tcPr>
            <w:tcW w:w="2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237,049</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line="169" w:lineRule="exact"/>
              <w:rPr>
                <w:sz w:val="20"/>
                <w:szCs w:val="20"/>
                <w:color w:val="auto"/>
              </w:rPr>
            </w:pPr>
            <w:r>
              <w:rPr>
                <w:rFonts w:ascii="Arial" w:cs="Arial" w:eastAsia="Arial" w:hAnsi="Arial"/>
                <w:sz w:val="15"/>
                <w:szCs w:val="15"/>
                <w:color w:val="auto"/>
              </w:rPr>
              <w:t>Cash flows from investing activities:</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Acquisitions</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(26,153)</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(78,141)</w:t>
            </w: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Capital expenditures</w:t>
            </w:r>
          </w:p>
        </w:tc>
        <w:tc>
          <w:tcPr>
            <w:tcW w:w="9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(36,274)</w:t>
            </w: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(60,560)</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disposition of assets and investments</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4,750</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Increase of notes receivable</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(544)</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1240"/>
              <w:spacing w:after="0"/>
              <w:rPr>
                <w:sz w:val="20"/>
                <w:szCs w:val="20"/>
                <w:color w:val="auto"/>
              </w:rPr>
            </w:pPr>
            <w:r>
              <w:rPr>
                <w:rFonts w:ascii="Arial" w:cs="Arial" w:eastAsia="Arial" w:hAnsi="Arial"/>
                <w:sz w:val="15"/>
                <w:szCs w:val="15"/>
                <w:color w:val="auto"/>
              </w:rPr>
              <w:t>Net cash used in investing activities</w:t>
            </w: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(57,677)</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(137,145)</w:t>
            </w:r>
          </w:p>
        </w:tc>
        <w:tc>
          <w:tcPr>
            <w:tcW w:w="0" w:type="dxa"/>
            <w:vAlign w:val="bottom"/>
          </w:tcPr>
          <w:p>
            <w:pPr>
              <w:spacing w:after="0"/>
              <w:rPr>
                <w:sz w:val="1"/>
                <w:szCs w:val="1"/>
                <w:color w:val="auto"/>
              </w:rPr>
            </w:pPr>
          </w:p>
        </w:tc>
      </w:tr>
      <w:tr>
        <w:trPr>
          <w:trHeight w:val="169"/>
        </w:trPr>
        <w:tc>
          <w:tcPr>
            <w:tcW w:w="7720" w:type="dxa"/>
            <w:vAlign w:val="bottom"/>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9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used for purchase of treasury stock</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(10,124)</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(8,682)</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Net proceeds from issuance of common stock</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5,648</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15,612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Principal payments on long term debt</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(182)</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(14,421)</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Borrowings on long term debt</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8,750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on revolving credit facility</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(805,000)</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(375,000)</w:t>
            </w: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Proceeds received from revolving credit facility</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655,000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Redemption of senior subordinated notes</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(519,139)</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Proceeds received from note offering</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89"/>
              </w:rPr>
              <w:t>1,400,000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255,000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received from accounts receivable securitization program</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Payments on accounts receivable securitization program</w:t>
            </w:r>
          </w:p>
        </w:tc>
        <w:tc>
          <w:tcPr>
            <w:tcW w:w="9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(175,000)</w:t>
            </w: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(9,000)</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received from senior credit facility term loans</w:t>
            </w:r>
          </w:p>
        </w:tc>
        <w:tc>
          <w:tcPr>
            <w:tcW w:w="9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598,500</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Payments on senior credit facility term loans</w:t>
            </w:r>
          </w:p>
        </w:tc>
        <w:tc>
          <w:tcPr>
            <w:tcW w:w="9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(978,097)</w:t>
            </w:r>
          </w:p>
        </w:tc>
        <w:tc>
          <w:tcPr>
            <w:tcW w:w="36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Debt issuance costs</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(30,112)</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(4,435)</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Distributions to non-controlling interest</w:t>
            </w:r>
          </w:p>
        </w:tc>
        <w:tc>
          <w:tcPr>
            <w:tcW w:w="9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(882)</w:t>
            </w: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Dividends/distributions</w:t>
            </w:r>
          </w:p>
        </w:tc>
        <w:tc>
          <w:tcPr>
            <w:tcW w:w="9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(151,265)</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(192,136)</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1240"/>
              <w:spacing w:after="0"/>
              <w:rPr>
                <w:sz w:val="20"/>
                <w:szCs w:val="20"/>
                <w:color w:val="auto"/>
              </w:rPr>
            </w:pPr>
            <w:r>
              <w:rPr>
                <w:rFonts w:ascii="Arial" w:cs="Arial" w:eastAsia="Arial" w:hAnsi="Arial"/>
                <w:sz w:val="15"/>
                <w:szCs w:val="15"/>
                <w:color w:val="auto"/>
              </w:rPr>
              <w:t>Net cash used in financing activities</w:t>
            </w: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(1,903)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(104,347)</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260"/>
              <w:spacing w:after="0"/>
              <w:rPr>
                <w:sz w:val="20"/>
                <w:szCs w:val="20"/>
                <w:color w:val="auto"/>
              </w:rPr>
            </w:pPr>
            <w:r>
              <w:rPr>
                <w:rFonts w:ascii="Arial" w:cs="Arial" w:eastAsia="Arial" w:hAnsi="Arial"/>
                <w:sz w:val="15"/>
                <w:szCs w:val="15"/>
                <w:color w:val="auto"/>
              </w:rPr>
              <w:t>Effect of exchange rate changes in cash and cash equivalents</w:t>
            </w: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(192)</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5"/>
                <w:szCs w:val="15"/>
                <w:color w:val="auto"/>
              </w:rPr>
              <w:t>Net increase (decrease) in cash and cash equivalents</w:t>
            </w: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150,905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(4,240)</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 at beginning of period</w:t>
            </w:r>
          </w:p>
        </w:tc>
        <w:tc>
          <w:tcPr>
            <w:tcW w:w="9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26,188</w:t>
            </w:r>
          </w:p>
        </w:tc>
        <w:tc>
          <w:tcPr>
            <w:tcW w:w="2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21,494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ind w:left="260"/>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920" w:type="dxa"/>
            <w:vAlign w:val="bottom"/>
            <w:tcBorders>
              <w:bottom w:val="single" w:sz="8" w:color="auto"/>
            </w:tcBorders>
          </w:tcPr>
          <w:p>
            <w:pPr>
              <w:jc w:val="right"/>
              <w:ind w:right="76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177,093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17,254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Supplemental disclosures of cash flow information:</w:t>
            </w:r>
          </w:p>
        </w:tc>
        <w:tc>
          <w:tcPr>
            <w:tcW w:w="9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Cash paid for interest</w:t>
            </w: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68,784</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66,968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Cash paid for foreign, state and federal income taxes</w:t>
            </w:r>
          </w:p>
        </w:tc>
        <w:tc>
          <w:tcPr>
            <w:tcW w:w="920" w:type="dxa"/>
            <w:vAlign w:val="bottom"/>
            <w:tcBorders>
              <w:bottom w:val="single" w:sz="8" w:color="auto"/>
            </w:tcBorders>
            <w:shd w:val="clear" w:color="auto" w:fill="CFF0FC"/>
          </w:tcPr>
          <w:p>
            <w:pPr>
              <w:jc w:val="right"/>
              <w:ind w:right="765"/>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3,175</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9,260</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2019 Combined Form 10-K. Subsequent events, if any, are evaluated through the date on which the financial statements are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updates to our significant accounting policies from our 2019 Combined Form 10-K.</w:t>
      </w:r>
    </w:p>
    <w:p>
      <w:pPr>
        <w:spacing w:after="0" w:line="33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Goodwill, intangibles and long-lived assets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changes in relevant events and circumstances related to COVID-19, which could have a negative impact on the Company’s goodwill, the Company updated its goodwill qualitative assessment as of June 30, 2020. The update includes assessing macroeconomic conditions, industry and market conditions, cost factors, overall financial performance, reporting unit dispositions and acquisitions, the market capitalization of the Company and other relevant events specific to the Company. After assessing the totality of events and circumstances, the Company determined that it is not “more likely than not” that the fair value of either of the Company’s reporting units is less than its carrying amount. Therefore, management will not perform a quantitative impairment test and concluded its goodwill is not impaired as of June 30, 2020.</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also reviewed the recoverability of our long-lived assets including intangibles, fixed assets and operating lease right of use assets and concluded there is no impairment loss as of June 30, 2020.</w:t>
      </w:r>
    </w:p>
    <w:p>
      <w:pPr>
        <w:spacing w:after="0" w:line="27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5"/>
          <w:szCs w:val="15"/>
          <w:i w:val="1"/>
          <w:iCs w:val="1"/>
          <w:color w:val="auto"/>
        </w:rPr>
        <w:t>Use of estimates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 during the reporting period. These estimates take into account historical and forward-looking factors that the Company believes are reasonable, including but not limited to the potential impacts arising from the COVID-19 pandemic, based on available information to date.</w:t>
      </w:r>
    </w:p>
    <w:p>
      <w:pPr>
        <w:spacing w:after="0" w:line="29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Advertising revenues</w:t>
      </w:r>
      <w:r>
        <w:rPr>
          <w:rFonts w:ascii="Arial" w:cs="Arial" w:eastAsia="Arial" w:hAnsi="Arial"/>
          <w:sz w:val="16"/>
          <w:szCs w:val="16"/>
          <w:color w:val="auto"/>
        </w:rPr>
        <w:t>: The majority of our revenues are derived from contracts for advertising space on billboard, logo and transit displays. Our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commencing prior to January 1, 2019 are accounted for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majority of our contracts amended or commencing on or after January 1, 2019 are accounted for under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The contract revenues,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ASC 606, </w:t>
      </w:r>
      <w:r>
        <w:rPr>
          <w:rFonts w:ascii="Arial" w:cs="Arial" w:eastAsia="Arial" w:hAnsi="Arial"/>
          <w:sz w:val="16"/>
          <w:szCs w:val="16"/>
          <w:i w:val="1"/>
          <w:iCs w:val="1"/>
          <w:color w:val="auto"/>
        </w:rPr>
        <w:t>Revenue</w:t>
      </w:r>
      <w:r>
        <w:rPr>
          <w:rFonts w:ascii="Arial" w:cs="Arial" w:eastAsia="Arial" w:hAnsi="Arial"/>
          <w:sz w:val="16"/>
          <w:szCs w:val="16"/>
          <w:color w:val="auto"/>
        </w:rPr>
        <w:t>,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The Company is utilizing the following practical expedients and exemptions from ASC 606. We generally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by source including both revenues accounted for under ASC 840 and ASC 606 for the three and six months ended June 30, 2020 and 2019.</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30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Billboard Advertising</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312,095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393,798</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729,993</w:t>
            </w:r>
          </w:p>
        </w:tc>
        <w:tc>
          <w:tcPr>
            <w:tcW w:w="80" w:type="dxa"/>
            <w:vAlign w:val="bottom"/>
            <w:shd w:val="clear" w:color="auto" w:fill="CFF0FC"/>
          </w:tcPr>
          <w:p>
            <w:pPr>
              <w:spacing w:after="0"/>
              <w:rPr>
                <w:sz w:val="19"/>
                <w:szCs w:val="19"/>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Logo Advertising</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21,053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42,445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41,723</w:t>
            </w:r>
          </w:p>
        </w:tc>
        <w:tc>
          <w:tcPr>
            <w:tcW w:w="80" w:type="dxa"/>
            <w:vAlign w:val="bottom"/>
          </w:tcPr>
          <w:p>
            <w:pPr>
              <w:spacing w:after="0"/>
              <w:rPr>
                <w:sz w:val="21"/>
                <w:szCs w:val="21"/>
                <w:color w:val="auto"/>
              </w:rPr>
            </w:pPr>
          </w:p>
        </w:tc>
      </w:tr>
      <w:tr>
        <w:trPr>
          <w:trHeight w:val="243"/>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Transit Advertising</w:t>
            </w:r>
          </w:p>
        </w:tc>
        <w:tc>
          <w:tcPr>
            <w:tcW w:w="7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14,504</w:t>
            </w:r>
          </w:p>
        </w:tc>
        <w:tc>
          <w:tcPr>
            <w:tcW w:w="1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44,376</w:t>
            </w:r>
          </w:p>
        </w:tc>
        <w:tc>
          <w:tcPr>
            <w:tcW w:w="2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61,483</w:t>
            </w:r>
          </w:p>
        </w:tc>
        <w:tc>
          <w:tcPr>
            <w:tcW w:w="80" w:type="dxa"/>
            <w:vAlign w:val="bottom"/>
            <w:shd w:val="clear" w:color="auto" w:fill="CFF0FC"/>
          </w:tcPr>
          <w:p>
            <w:pPr>
              <w:spacing w:after="0"/>
              <w:rPr>
                <w:sz w:val="21"/>
                <w:szCs w:val="21"/>
                <w:color w:val="auto"/>
              </w:rPr>
            </w:pPr>
          </w:p>
        </w:tc>
      </w:tr>
      <w:tr>
        <w:trPr>
          <w:trHeight w:val="236"/>
        </w:trPr>
        <w:tc>
          <w:tcPr>
            <w:tcW w:w="2300" w:type="dxa"/>
            <w:vAlign w:val="bottom"/>
          </w:tcPr>
          <w:p>
            <w:pPr>
              <w:spacing w:after="0"/>
              <w:rPr>
                <w:sz w:val="20"/>
                <w:szCs w:val="20"/>
                <w:color w:val="auto"/>
              </w:rPr>
            </w:pPr>
            <w:r>
              <w:rPr>
                <w:rFonts w:ascii="Arial" w:cs="Arial" w:eastAsia="Arial" w:hAnsi="Arial"/>
                <w:sz w:val="18"/>
                <w:szCs w:val="18"/>
                <w:color w:val="auto"/>
              </w:rPr>
              <w:t>Net Revenues</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347,652</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448,742</w:t>
            </w:r>
          </w:p>
        </w:tc>
        <w:tc>
          <w:tcPr>
            <w:tcW w:w="8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754,221</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833,199</w:t>
            </w:r>
          </w:p>
        </w:tc>
        <w:tc>
          <w:tcPr>
            <w:tcW w:w="80" w:type="dxa"/>
            <w:vAlign w:val="bottom"/>
          </w:tcPr>
          <w:p>
            <w:pPr>
              <w:spacing w:after="0"/>
              <w:rPr>
                <w:sz w:val="20"/>
                <w:szCs w:val="20"/>
                <w:color w:val="auto"/>
              </w:rPr>
            </w:pPr>
          </w:p>
        </w:tc>
      </w:tr>
      <w:tr>
        <w:trPr>
          <w:trHeight w:val="20"/>
        </w:trPr>
        <w:tc>
          <w:tcPr>
            <w:tcW w:w="2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June 30, 2020 and 2019, we had operating lease costs of $78,331 and $77,816, respectively, and variable lease costs of $10,300 and $18,933, respectively. During the six months ended June 30, 2020 and 2019, we had operating lease costs of $158,734 and $155,166, respectively, and variable lease costs of $27,744 and $36,017, respectively. These operating lease costs are recorded in direct advertising expenses (exclusive of depreciation and amortization). Also, for the three months ended June 30, 2020 and 2019, we recorded a loss of $266 and $193, respectively, in (gain) loss of disposition of assets related to the amendment and termination of lease agreements. For the six months ended June 30, 2020 and 2019, we recorded a loss of $317 and a gain of $3,911, respectively, in (gain) loss of disposition of assets related to the amendment and termination of lease agreements. Cash payments of $161,460 and $180,487 were made reducing our operating lease liabilities for the six months ended June 30, 2020 and 2019, respectively, and are included in cash flows provided by operating activities in the Condensed Consolidated Statements of Cash Flows.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$1,249 and $1,097 in direct advertising expenses (exclusive of depreciation and amortization) for these agreements during the three months ended June 30, 2020 and 2019, respectively. We recorded $2,507 and $2,226 in direct advertising expenses (exclusive of depreciation and amortization) for these agreements during the six months ended June 30, 2020 and 2019, respectively.</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leases have a weighted-average remaining lease term of 12.1 years. The weighted-average discount rate of our operating leases is 4.6%. Also, during the periods ended June 30, 2020 and 2019, we obtained $9,991 and $8,671, respectively, of leased assets in exchange for new operating lease liabilities, which includes liabilities obtained through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maturities of our operating lease liabilities as of June 30,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114,518</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2021</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206,414</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181,916</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2023</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158,968</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141,902</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854,924</w:t>
            </w:r>
          </w:p>
        </w:tc>
        <w:tc>
          <w:tcPr>
            <w:tcW w:w="80" w:type="dxa"/>
            <w:vAlign w:val="bottom"/>
            <w:tcBorders>
              <w:bottom w:val="single" w:sz="8" w:color="CFF0FC"/>
            </w:tcBorders>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w w:val="89"/>
              </w:rPr>
              <w:t>Total undiscounted operating lease payments</w:t>
            </w:r>
          </w:p>
        </w:tc>
        <w:tc>
          <w:tcPr>
            <w:tcW w:w="2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1,658,642</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(430,667)</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3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1,227,975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40" w:type="dxa"/>
            <w:vAlign w:val="bottom"/>
            <w:vMerge w:val="restart"/>
          </w:tcPr>
          <w:p>
            <w:pPr>
              <w:jc w:val="right"/>
              <w:ind w:right="1950"/>
              <w:spacing w:after="0"/>
              <w:rPr>
                <w:sz w:val="20"/>
                <w:szCs w:val="20"/>
                <w:color w:val="auto"/>
              </w:rPr>
            </w:pPr>
            <w:r>
              <w:rPr>
                <w:rFonts w:ascii="Arial" w:cs="Arial" w:eastAsia="Arial" w:hAnsi="Arial"/>
                <w:sz w:val="18"/>
                <w:szCs w:val="18"/>
                <w:color w:val="auto"/>
                <w:w w:val="89"/>
              </w:rPr>
              <w:t>11</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8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Equity Incentive Plan. </w:t>
      </w:r>
      <w:r>
        <w:rPr>
          <w:rFonts w:ascii="Arial" w:cs="Arial" w:eastAsia="Arial" w:hAnsi="Arial"/>
          <w:sz w:val="17"/>
          <w:szCs w:val="17"/>
          <w:color w:val="auto"/>
        </w:rPr>
        <w:t>Lamar Advertising’s 1996 Equity Incentive Plan, as amended, (the “Incentive Plan”) has reserved 17.5 million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32,000 shares of its Class A common stock during the six months ended June 30, 2020. At June 30, 2020 a total of 2,470,063 shares were available for future grant.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Stock Purchase Plan. </w:t>
      </w:r>
      <w:r>
        <w:rPr>
          <w:rFonts w:ascii="Arial" w:cs="Arial" w:eastAsia="Arial" w:hAnsi="Arial"/>
          <w:sz w:val="16"/>
          <w:szCs w:val="16"/>
          <w:color w:val="auto"/>
        </w:rPr>
        <w:t>Lamar Advertising’s 2009 Employee Stock Purchase Plan (the “2009 ESPP”), approved by our shareholders on May 28, 2009,</w:t>
      </w:r>
      <w:r>
        <w:rPr>
          <w:rFonts w:ascii="Arial" w:cs="Arial" w:eastAsia="Arial" w:hAnsi="Arial"/>
          <w:sz w:val="16"/>
          <w:szCs w:val="16"/>
          <w:i w:val="1"/>
          <w:iCs w:val="1"/>
          <w:color w:val="auto"/>
        </w:rPr>
        <w:t xml:space="preserve"> </w:t>
      </w:r>
      <w:r>
        <w:rPr>
          <w:rFonts w:ascii="Arial" w:cs="Arial" w:eastAsia="Arial" w:hAnsi="Arial"/>
          <w:sz w:val="16"/>
          <w:szCs w:val="16"/>
          <w:color w:val="auto"/>
        </w:rPr>
        <w:t>expired by its terms on June 30, 2019. On May 30, 2019, our shareholders approved Lamar Advertising’s 2019 Employee Stock Purchase Plan (the “2019 ESPP”). The 2019 ESPP became effective upon the expiration of the 2009 ESPP. The number of shares of Class A common stock available under the 2019 ESPP was automatically increased by 86,093 shares on January 1, 2020 pursuant to the automatic increase provisions of the 2019 ESPP.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2019 ESPP share activity for the six months ended June 30, 2020:</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purchases, January 1, 2020</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438,434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Additional shares reserved under 2019 ESPP</w:t>
            </w:r>
          </w:p>
        </w:tc>
        <w:tc>
          <w:tcPr>
            <w:tcW w:w="1120" w:type="dxa"/>
            <w:vAlign w:val="bottom"/>
          </w:tcPr>
          <w:p>
            <w:pPr>
              <w:jc w:val="right"/>
              <w:spacing w:after="0"/>
              <w:rPr>
                <w:sz w:val="20"/>
                <w:szCs w:val="20"/>
                <w:color w:val="auto"/>
              </w:rPr>
            </w:pPr>
            <w:r>
              <w:rPr>
                <w:rFonts w:ascii="Arial" w:cs="Arial" w:eastAsia="Arial" w:hAnsi="Arial"/>
                <w:sz w:val="18"/>
                <w:szCs w:val="18"/>
                <w:color w:val="auto"/>
              </w:rPr>
              <w:t>86,093</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(89,848)</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Available for future purchases, June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434,679</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Performance-based compensation. </w:t>
      </w:r>
      <w:r>
        <w:rPr>
          <w:rFonts w:ascii="Arial" w:cs="Arial" w:eastAsia="Arial" w:hAnsi="Arial"/>
          <w:sz w:val="18"/>
          <w:szCs w:val="18"/>
          <w:color w:val="auto"/>
        </w:rPr>
        <w:t>Unrestricted shares of our Class A common stock may be awarded to key officers, employees and directors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The number of shares to be issued, if any, will be dependent on the level of achievement of performance measures for key officers and employees, as determined by the Company’s Compensation Committee based on our 2020 results. Any shares issued based on the achievement of performance goals will be issued in the first quarter of 2021. The shares subject to these awards can range from a minimum of 0% to a maximum of 100% of the target number of shares depending on the level at which the goals are attained. For the six months ended June 30, 2020, the Company has recorded $3,494 as stock-based compensation expense related to performance-based awards. In addition, each non-employee director automatically receives a restricted stock award of our Class A common stock upon election or re-election. The awards vest 50% on grant date and 50% on the last day of the directors’ one year term. The Company recorded $492 in stock-based compensation expense related to these awards for the six months ended June 30, 2020.</w:t>
      </w:r>
    </w:p>
    <w:p>
      <w:pPr>
        <w:spacing w:after="0" w:line="34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Direct advertising expenses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60,142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58,200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118,839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116,315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1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63,998</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61,693</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126,311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123,199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at June 30, 2020 and December 31,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2800" w:type="dxa"/>
            <w:vAlign w:val="bottom"/>
            <w:gridSpan w:val="5"/>
          </w:tcPr>
          <w:p>
            <w:pPr>
              <w:ind w:left="80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2680" w:type="dxa"/>
            <w:vAlign w:val="bottom"/>
            <w:gridSpan w:val="5"/>
          </w:tcPr>
          <w:p>
            <w:pPr>
              <w:ind w:left="640"/>
              <w:spacing w:after="0"/>
              <w:rPr>
                <w:sz w:val="20"/>
                <w:szCs w:val="20"/>
                <w:color w:val="auto"/>
              </w:rPr>
            </w:pPr>
            <w:r>
              <w:rPr>
                <w:rFonts w:ascii="Arial" w:cs="Arial" w:eastAsia="Arial" w:hAnsi="Arial"/>
                <w:sz w:val="14"/>
                <w:szCs w:val="14"/>
                <w:b w:val="1"/>
                <w:bCs w:val="1"/>
                <w:color w:val="auto"/>
              </w:rPr>
              <w:t>December 31, 2019</w:t>
            </w:r>
          </w:p>
        </w:tc>
      </w:tr>
      <w:tr>
        <w:trPr>
          <w:trHeight w:val="133"/>
        </w:trPr>
        <w:tc>
          <w:tcPr>
            <w:tcW w:w="3360" w:type="dxa"/>
            <w:vAlign w:val="bottom"/>
          </w:tcPr>
          <w:p>
            <w:pPr>
              <w:spacing w:after="0"/>
              <w:rPr>
                <w:sz w:val="11"/>
                <w:szCs w:val="11"/>
                <w:color w:val="auto"/>
              </w:rPr>
            </w:pPr>
          </w:p>
        </w:tc>
        <w:tc>
          <w:tcPr>
            <w:tcW w:w="10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95"/>
              <w:spacing w:after="0" w:line="133" w:lineRule="exact"/>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15"/>
              <w:spacing w:after="0" w:line="133"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r>
      <w:tr>
        <w:trPr>
          <w:trHeight w:val="171"/>
        </w:trPr>
        <w:tc>
          <w:tcPr>
            <w:tcW w:w="33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1120" w:type="dxa"/>
            <w:vAlign w:val="bottom"/>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Amortization</w:t>
            </w: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Amortizable intangible assets:</w:t>
            </w: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Customer lists and contracts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644,330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551,309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641,714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539,405</w:t>
            </w:r>
          </w:p>
        </w:tc>
        <w:tc>
          <w:tcPr>
            <w:tcW w:w="120" w:type="dxa"/>
            <w:vAlign w:val="bottom"/>
          </w:tcPr>
          <w:p>
            <w:pPr>
              <w:spacing w:after="0"/>
              <w:rPr>
                <w:sz w:val="19"/>
                <w:szCs w:val="19"/>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Non-competition agreements</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64,379</w:t>
            </w:r>
          </w:p>
        </w:tc>
        <w:tc>
          <w:tcPr>
            <w:tcW w:w="120" w:type="dxa"/>
            <w:vAlign w:val="bottom"/>
            <w:shd w:val="clear" w:color="auto" w:fill="CFF0FC"/>
          </w:tcPr>
          <w:p>
            <w:pPr>
              <w:spacing w:after="0"/>
              <w:rPr>
                <w:sz w:val="19"/>
                <w:szCs w:val="19"/>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Site locations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2,399,355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1,550,917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2,384,520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1,509,335</w:t>
            </w:r>
          </w:p>
        </w:tc>
        <w:tc>
          <w:tcPr>
            <w:tcW w:w="120" w:type="dxa"/>
            <w:vAlign w:val="bottom"/>
          </w:tcPr>
          <w:p>
            <w:pPr>
              <w:spacing w:after="0"/>
              <w:rPr>
                <w:sz w:val="19"/>
                <w:szCs w:val="19"/>
                <w:color w:val="auto"/>
              </w:rPr>
            </w:pPr>
          </w:p>
        </w:tc>
      </w:tr>
      <w:tr>
        <w:trPr>
          <w:trHeight w:val="229"/>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37,826</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36,749</w:t>
            </w:r>
          </w:p>
        </w:tc>
        <w:tc>
          <w:tcPr>
            <w:tcW w:w="120" w:type="dxa"/>
            <w:vAlign w:val="bottom"/>
            <w:shd w:val="clear" w:color="auto" w:fill="CFF0FC"/>
          </w:tcPr>
          <w:p>
            <w:pPr>
              <w:spacing w:after="0"/>
              <w:rPr>
                <w:sz w:val="19"/>
                <w:szCs w:val="19"/>
                <w:color w:val="auto"/>
              </w:rPr>
            </w:pPr>
          </w:p>
        </w:tc>
      </w:tr>
      <w:tr>
        <w:trPr>
          <w:trHeight w:val="223"/>
        </w:trPr>
        <w:tc>
          <w:tcPr>
            <w:tcW w:w="3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3,159,760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2,204,564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3,142,112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2,149,868</w:t>
            </w:r>
          </w:p>
        </w:tc>
        <w:tc>
          <w:tcPr>
            <w:tcW w:w="120" w:type="dxa"/>
            <w:vAlign w:val="bottom"/>
          </w:tcPr>
          <w:p>
            <w:pPr>
              <w:spacing w:after="0"/>
              <w:rPr>
                <w:sz w:val="19"/>
                <w:szCs w:val="19"/>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Unamortizable intangible assets:</w:t>
            </w: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2,165,697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253,536</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2,165,810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253,536</w:t>
            </w:r>
          </w:p>
        </w:tc>
        <w:tc>
          <w:tcPr>
            <w:tcW w:w="120" w:type="dxa"/>
            <w:vAlign w:val="bottom"/>
          </w:tcPr>
          <w:p>
            <w:pPr>
              <w:spacing w:after="0"/>
              <w:rPr>
                <w:sz w:val="20"/>
                <w:szCs w:val="20"/>
                <w:color w:val="auto"/>
              </w:rPr>
            </w:pPr>
          </w:p>
        </w:tc>
      </w:tr>
    </w:tbl>
    <w:p>
      <w:pPr>
        <w:spacing w:after="0" w:line="39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Asset Retirement Obligations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38"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6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226,137</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Additions to asset retirement obligations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Accretion expense</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Liabilities settled</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(3,742)</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Distribution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June 30, 2020 and December 31, 2019, Lamar Media was permitted under the terms of its outstanding senior subordinated and senior notes to make transfers to Lamar Advertising in the form of cash dividends, loans or advances in amounts up to $3,429,654 and $3,389,763,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2020, Lamar Media’s senior credit facility allows it to make transfers to Lamar Advertising in any taxable year up to the amount of Lamar Advertising’s taxable income (without any deduction for dividends paid). In addition, as of June 30, 2020,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June 30, 2020, the total debt ratio was less than 7.0 to 1 and Lamar Media’s secured debt ratio was less than 4.5 to 1, and the available cumulative credit was $2,180,134.</w:t>
      </w:r>
    </w:p>
    <w:p>
      <w:pPr>
        <w:spacing w:after="0" w:line="38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and six months ended June 30, 2020 or 2019.</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8"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at June 30, 2020 and December 31, 2019:</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3"/>
              </w:rPr>
              <w:t>Debt, net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financing costs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598,339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585,642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5 3/4% Senior Notes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653,988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4 7/8% Senior Notes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4% Senior Notes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3 3/4% Senior Notes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3,199,014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3,155,899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(9,120)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(9,120)</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3,189,894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3,146,779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3"/>
              </w:rPr>
              <w:t>Debt, net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financing costs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1,127,069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1,117,992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5 3/8% Senior Notes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5 3/4% Senior Notes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654,345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3,004,532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2,980,118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(232,595)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(6,081)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(226,514)</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2,771,937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new senior credit facility, as established by the Fourth Amended and Restated Credit Agreement (the “senior credit facility”), consists of (i) a new $750,000 senior secured revolving credit facility which will mature on February 6, 2025 (the “revolving credit facility”), (ii) a new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As a result of refinancing our credit facility the Company incurred a loss on debt extinguishment of $5,608 for the six months ended June 30, 2020.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B loans bear interest at a rate per annum equal to the Adjusted LIBO Rate plus 1.50%. Base Rate Term B loans bear interest at a rate per annum equal to the Adjusted Base Rate plus 0.50%.</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there were no borrowings outstanding under the revolving credit facility. Availability under the revolving credit facility is reduced by the amount of any letters of credit outstanding. Lamar Media had $12,784 in letters of credit outstanding as of June 30, 2020 resulting in $737,216 of availability under its revolving credit facility. Revolving credit loans may be requested under the revolving credit facility at any time prior to its maturity on February 6,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terms of Lamar Media’s senior credit facility and the indentures relating to Lamar Media’s outstanding notes restrict, among other things, the ability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and Lamar Media to:</w:t>
      </w:r>
    </w:p>
    <w:p>
      <w:pPr>
        <w:spacing w:after="0" w:line="103"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2018, Lamar Media entered into a $175,000 Receivable Financing Agreement (the “Accounts Receivable Securitization Program”) with its wholly-owned special purpose entities, Lamar QRS Receivables, LLC and Lamar TRS Receivables, LLC (the “Special Purpose Subsidiaries”) maturing on December 17, 2021. The Accounts Receivable Securitization Program is limited to the availability of eligible accounts receivable collateralizing the borrowings under the agreements governing the Accounts Receivable Securitization Program.</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Lamar Media and the Special Purpose Subsidiaries entered into the Third Amendment (the “Amendment”) to the Receivables Financing Agreement dated December 18, 2018. The Amendment increases the maximum three month average Delinquency Ratio, Dilution Ratio and Days’ Sales Outstanding to 11.00% (from 8.00%), 7.00% (from 4.00%) and 75 days (from 65 days), respectively, for each of the months of June, July and August 2020. The Amendment does not modify any other financial covenant. Additionally, the Amendment establishes a new Minimum Funding Threshold, which requires the Special Purpose Subsidiaries to maintain minimum borrowings under the Accounts Receivable Securitization Program on any day equal to the lesser of (i) 50.00% of the aggregate Commitment of all Lenders or (ii) the Borrowing Base, though the Special Purpose Subsidiaries have the right to borrow less than the Minimum Funding Threshold during certain periods prior to December 21, 2020 at their election.</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June 30, 2020 there was no outstanding aggregate borrowings under the Accounts Receivable Securitization Program. Lamar Media had $171,810 available for borrowing under the Accounts Receivable Securitization Program as of June 30, 2020. The commitment fees based on the amount of unused commitments under the Accounts Receivable Securitization Program were immaterial during the six months ended June 30, 2020.</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Senior Subordinated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30, 2012, Lamar Media completed an institutional private placement of $535,000 aggregate principal amount of 5% Senior Subordinated Notes due 2023 (the “5% Notes”). The institutional private placement resulted in net proceeds to Lamar Media of approximately $527,100.</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 may redeem the 5% Notes, in whole or in part, in cash at redemption prices specified in the 5% Notes. In addition, if the Company or Lamar Media undergoes a change of control, Lamar Media may be required to make an offer to purchase each holder’s 5% Notes at a price equal to 101% of the principal amount of the 5% Notes, plus accrued and unpaid interest, up to but not including the repurchase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3/8% Senior Notes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10, 2014, Lamar Media completed an institutional private placement of $510,000 aggregate principal amount of 5 3/8% Senior Notes due 2024 (the “5 3/8% Notes”). The institutional private placement resulted in net proceeds to Lamar Media of approximately $502,300. The Company used the proceeds from the 4% Senior Notes and 3 3/4% Senior Notes to redeem in full all of the 5 3/8% Notes on February 20, 2020 at a redemption price of 101% of the aggregate principal amounts of the outstanding 5 3/8% Notes, plus accrued and unpaid interest up to but not including the redemption date. In conjunction with the redemption, the Company recorded a loss on debt extinguishment of $12,576, of which $9,139 was cash, for the period ended June 30,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28, 2016, Lamar Media completed an institutional private placement of $400,000 aggregate principal amount of 5 3/4% Senior Notes due 2026 (the “5 3/4% Notes”). The institutional private placement on January 28, 2016 resulted in net proceeds to Lamar Media of approximately $394,500.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2019, Lamar Media completed an institutional private placement of an additional $250,000 aggregate principal amount under its 5 3/4% Notes (the “New Notes”). Other than with respect to the date of issuance, issue price and CUSIP number, the New Notes have the same terms as the 5 3/4% Notes. The net proceeds after underwriting fees and expenses, was approximately $251,500 and were used to repay a portion of the borrowings outstanding under the revolving credit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any time prior to February 1, 2021, Lamar Media may redeem some or all of the 5 3/4% Notes at a price equal to 100% of the aggregate principal amount, plus accrued and unpaid interest thereon plus a make-whole premium. On or after February 1, 2021, Lamar Media may redeem the 5 3/4% Notes, in whole or in part, in cash at redemption prices specified in the 5 3/4% Notes. In addition, if the Company or Lamar Media undergoes a change of control, Lamar Media may be required to make an offer to purchase each holder’s 5 3/4% Notes at a price equal to 101% of the principal amount of the 5 3/4% Notes, plus accrued and unpaid interest, up to but not including the repurchase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6, 2020, Lamar Media completed an institutional private placement of $400,000 aggregate principal amount of 4% Senior Notes due 2030 (the “4% Notes”). The institutional private placement on February 6, 2020 resulted in net proceeds to Lamar Media of approximately $395,000.</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7/8%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16, 2020, the Company’s Board of Directors authorized Lamar Media to repurchase up to $250,000 outstanding senior or senior subordinated notes and other indebtedness outstanding from time to time under its Fourth Amended and Restated Credit Agreement. The repurchase program will expire on September 30, 2021 unless extended by the Board of Directors. There were no repurchases under the program as of June 30, 2020.</w:t>
      </w:r>
    </w:p>
    <w:p>
      <w:pPr>
        <w:spacing w:after="0" w:line="338"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June 30, 2020 and December 31, 2019,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Fair values for investments held at cost are not readily available, but are estimated to approximate fair value. The estimated fair value of the Company’s long-term debt (including current maturities) was $3,159,255 which does not exceed the carrying amount of $3,199,014 as of June 30, 2020. The majority of the fair value is determined using observed prices of publicly traded debt (level 1 in the fair value hierarchy) and the remaining is valued based on quoted prices for similar debt (level 2 in the fair value hierarchy).</w:t>
      </w:r>
    </w:p>
    <w:p>
      <w:pPr>
        <w:spacing w:after="0" w:line="366"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established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by issuing Accounting Standards Update (ASU) No. 2016-02, which requires lessees to recognize leases on-balance sheet and disclose key information about leasing arrangements. Topic 842 was subsequently amended by ASU No. 2018-01, </w:t>
      </w:r>
      <w:r>
        <w:rPr>
          <w:rFonts w:ascii="Arial" w:cs="Arial" w:eastAsia="Arial" w:hAnsi="Arial"/>
          <w:sz w:val="17"/>
          <w:szCs w:val="17"/>
          <w:i w:val="1"/>
          <w:iCs w:val="1"/>
          <w:color w:val="auto"/>
        </w:rPr>
        <w:t>Land Easement Practical Expedient for Transition to Topic 842</w:t>
      </w:r>
      <w:r>
        <w:rPr>
          <w:rFonts w:ascii="Arial" w:cs="Arial" w:eastAsia="Arial" w:hAnsi="Arial"/>
          <w:sz w:val="17"/>
          <w:szCs w:val="17"/>
          <w:color w:val="auto"/>
        </w:rPr>
        <w:t>; ASU No. 2018-10 and ASU No. 2019-01,</w:t>
      </w:r>
      <w:r>
        <w:rPr>
          <w:rFonts w:ascii="Arial" w:cs="Arial" w:eastAsia="Arial" w:hAnsi="Arial"/>
          <w:sz w:val="17"/>
          <w:szCs w:val="17"/>
          <w:i w:val="1"/>
          <w:iCs w:val="1"/>
          <w:color w:val="auto"/>
        </w:rPr>
        <w:t xml:space="preserve"> Codification Improvements to Topic 842</w:t>
      </w:r>
      <w:r>
        <w:rPr>
          <w:rFonts w:ascii="Arial" w:cs="Arial" w:eastAsia="Arial" w:hAnsi="Arial"/>
          <w:sz w:val="17"/>
          <w:szCs w:val="17"/>
          <w:color w:val="auto"/>
        </w:rPr>
        <w:t>,</w:t>
      </w:r>
      <w:r>
        <w:rPr>
          <w:rFonts w:ascii="Arial" w:cs="Arial" w:eastAsia="Arial" w:hAnsi="Arial"/>
          <w:sz w:val="17"/>
          <w:szCs w:val="17"/>
          <w:i w:val="1"/>
          <w:iCs w:val="1"/>
          <w:color w:val="auto"/>
        </w:rPr>
        <w:t xml:space="preserve"> Leases</w:t>
      </w:r>
      <w:r>
        <w:rPr>
          <w:rFonts w:ascii="Arial" w:cs="Arial" w:eastAsia="Arial" w:hAnsi="Arial"/>
          <w:sz w:val="17"/>
          <w:szCs w:val="17"/>
          <w:color w:val="auto"/>
        </w:rPr>
        <w:t>; and ASU No. 2018-11,</w:t>
      </w:r>
      <w:r>
        <w:rPr>
          <w:rFonts w:ascii="Arial" w:cs="Arial" w:eastAsia="Arial" w:hAnsi="Arial"/>
          <w:sz w:val="17"/>
          <w:szCs w:val="17"/>
          <w:i w:val="1"/>
          <w:iCs w:val="1"/>
          <w:color w:val="auto"/>
        </w:rPr>
        <w:t xml:space="preserve"> Targeted Improvements</w:t>
      </w:r>
      <w:r>
        <w:rPr>
          <w:rFonts w:ascii="Arial" w:cs="Arial" w:eastAsia="Arial" w:hAnsi="Arial"/>
          <w:sz w:val="17"/>
          <w:szCs w:val="17"/>
          <w:color w:val="auto"/>
        </w:rPr>
        <w:t>. The new standard establishes a right of use model (ROU) that requires a lessee to recognize a ROU</w:t>
      </w:r>
      <w:r>
        <w:rPr>
          <w:rFonts w:ascii="Arial" w:cs="Arial" w:eastAsia="Arial" w:hAnsi="Arial"/>
          <w:sz w:val="17"/>
          <w:szCs w:val="17"/>
          <w:i w:val="1"/>
          <w:iCs w:val="1"/>
          <w:color w:val="auto"/>
        </w:rPr>
        <w:t xml:space="preserve"> </w:t>
      </w:r>
      <w:r>
        <w:rPr>
          <w:rFonts w:ascii="Arial" w:cs="Arial" w:eastAsia="Arial" w:hAnsi="Arial"/>
          <w:sz w:val="17"/>
          <w:szCs w:val="17"/>
          <w:color w:val="auto"/>
        </w:rPr>
        <w:t>asset and lease liability on the balance sheet for all leases with a term longer than twelve months. Leases are classified as finance or operating, with classification affecting the pattern and classification of expense recognition in the income statement.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adopted the new standard effective January 1, 2019 using a modified retrospective transition approach, applying the new standard to all leases existing at the date of initial application. An entity was permitted to use either (1) its effective date or (2) the beginning of the earliest comparative period presented in the financial statements as its date of initial application. If an entity chooses the second option, the transition requirements for existing leases also apply to leases entered into between the date of initial application and the effective date. The entity must also recast its comparative period financial statements and provide the disclosures required by the new standard for the comparative periods. Consequently, financial information was not updated and the disclosures required under the new standard will not be provided for dates and periods before January 1, 2019.</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standard provided a number of optional practical expedients in transition. We elected the ‘package of practical expedients’, which permitted us not to reassess under the new standard our prior conclusions about lease identification, lease classification and initial direct costs. We elected the practical expedient pertaining to land easements. We also elected the short-term lease recognition exemption for certain of our vehicle agreements. This means, for those leases that qualify, we will not recognize ROU assets or lease liabilities.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adoption, we recognized additional operating liabilities of $1.2 billion, with corresponding ROU assets of the same amount based on the present value of the remaining minimum rental payments under current leasing standards for our existing operating leases. In addition to the increase to the operating lease liabilities and right of use assets, Topic 842 also resulted in reclassifying the presentation of prepaid and deferred rent to operating lease right of use assets. The Company did not have any changes to its opening balance of retained earnings for the adoption of this update.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recently released pronouncements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 Measurement of Credit Losses on Financial Instruments, and additional changes modifications, clarifications, or interpretations related to this guidance thereafter, which require a reporting entity to estimate credit losses on certain types of financial instruments, and present assets held at amortized cost and available-for-sale debt securities at the amount expected to be collected. The new guidance is effective for annual and interim periods beginning after December 15, 2019. The Company adopted this guidance on January 1, 2020 and the impact of the adoption was not material to the Company’s consolidated financial statements. As of June 30, 2020, our allowance for credit losses considered the current and future impacts caused by the COVID-19 pandemic, based on available information to date. The Company will continue to actively monitor the impact of COVID-19 on expected credit losses.</w:t>
      </w:r>
    </w:p>
    <w:p>
      <w:pPr>
        <w:spacing w:after="0" w:line="326"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Dividends/Distributions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three months ended June 30, 2020 and 2019, the Company declared and paid cash distributions in an aggregate amount of $50,396 or $0.50 per share and $96,039 or $0.96 per share, respectively. During the six months ended June 30, 2020 and 2019, the Company declared and paid cash distributions in an aggregate amount of $151,083 or $1.50 per share and $191,954 or $1.92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 During the three and six months ended June 30, 2020 and 2019, the Company paid cash dividend distributions to holders of its Series AA Preferred Stock in an aggregate amount of $91 or $15.95 per share and $182 or $31.90 per share for each period, respectively.</w:t>
      </w:r>
    </w:p>
    <w:p>
      <w:pPr>
        <w:spacing w:after="0" w:line="276"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Information about Geographic Areas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from external customers attributable to foreign countries totaled $11,022 and $17,057 for the six months ended June 30, 2020 and 2019, respectively. Net carrying value of long-lived assets located in foreign countries totaled $5,406 and $4,549 as of June 30, 2020 and December 31, 2019, respectively. All other revenues from external customers and long lived assets relate to domestic operations.</w:t>
      </w:r>
    </w:p>
    <w:p>
      <w:pPr>
        <w:spacing w:after="0" w:line="292"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1, 2018, the Company entered into an equity distribution agreement (the “Sales Agreement”) with J.P. Morgan Securities LLC, Wells Fargo Securities LLC, and SunTrust Robinson Humphrey, Inc. as its sales agents (each a “Sales Agent”, and collectively, the “Sales Agents”). Under the terms of the Sales Agreement, the Company may, from time to time, issue and sell shares of its Class A common stock, having an aggregate offering price of up to $400,000, through the Sales Agents as either agents or principals. As of June 30, 2020, 842,412 shares of our Class A common stock have been sold under the Sales Agreement and accordingly $336,668 remained available to be sold under the Sales Agreement as of June 30,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6, 2018, the Company filed an automatically effective shelf registration statement that registered the offer and sale of an indeterminate amount of additional shares of our Class A common stock. During the year ended December 31, 2018, the Company issued 163,137 shares of its Class A common stock in connection with acquisitions occurring during the period. The Company filed a prospectus supplement to the shelf registration statement relating to the offer and resale of such shares of Class A common stock. There were no additional shares issued under this shelf registration during the year ended December 31, 2019 and the six months ended June 30, 2020.</w:t>
      </w:r>
    </w:p>
    <w:p>
      <w:pPr>
        <w:spacing w:after="0" w:line="22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16, 2020, the Company’s Board of Directors authorized the repurchase of up to $250,000 of the Company’s Class A common stock. The repurchase program will expire on September 30, 2021 unless extended by the Board of Directors. There were no repurchases under the program as of June 30, 2020.</w:t>
      </w:r>
    </w:p>
    <w:p>
      <w:pPr>
        <w:spacing w:after="0" w:line="332"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Subsequent Event</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30, 2020, the Company announced that its wholly owned subsidiary, Lamar Media, intends to redeem $267,500 in aggregate principal amount of its outstanding 5% Notes on August 31, 2020. Following the redemption, $267,500 of the original $535,000 in aggregate principal amount of 5% Notes will remain outstanding under the indenture. The redemption will be made in accordance with the terms of the indenture governing the 5% Notes.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Receivables, net of allowance for doubtful accounts of $17,661 and $13,185 in 2020 and</w:t>
            </w:r>
          </w:p>
        </w:tc>
        <w:tc>
          <w:tcPr>
            <w:tcW w:w="2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232,176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254,930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420"/>
              <w:spacing w:after="0"/>
              <w:rPr>
                <w:sz w:val="20"/>
                <w:szCs w:val="20"/>
                <w:color w:val="auto"/>
              </w:rPr>
            </w:pPr>
            <w:r>
              <w:rPr>
                <w:rFonts w:ascii="Arial" w:cs="Arial" w:eastAsia="Arial" w:hAnsi="Arial"/>
                <w:sz w:val="17"/>
                <w:szCs w:val="17"/>
                <w:color w:val="auto"/>
              </w:rPr>
              <w:t>2019, respectively</w:t>
            </w: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443,737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3,666,749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(2,346,274)</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(2,311,196)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property, plant and equipment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1,320,475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1,349,115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1,292,917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1,320,779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1,902,009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954,729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991,776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5,964,847</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5,924,421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Current maturities of long-term debt, net of deferred financing costs of $0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$6,081 in 2020 and 2019, respectively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9,120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226,514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operating lease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66,701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125,908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387,492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deferred financing costs of $43,115 and $18,333 in 2020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 respectively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3,146,779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2,753,604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1,054,140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224,945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4,851,840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4,754,890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par value $.01, 3,000 shares authorized, 100 shares issued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outstanding at 2020 and 2019</w:t>
            </w:r>
          </w:p>
        </w:tc>
        <w:tc>
          <w:tcPr>
            <w:tcW w:w="2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3,026,120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comprehensive income</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(1,912,940)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(1,823,883)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1,113,007</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1,169,531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5,964,847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5,924,421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347,652</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448,742</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754,221</w:t>
            </w:r>
          </w:p>
        </w:tc>
        <w:tc>
          <w:tcPr>
            <w:tcW w:w="16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833,199</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134,059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146,390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283,553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286,860</w:t>
            </w:r>
          </w:p>
        </w:tc>
        <w:tc>
          <w:tcPr>
            <w:tcW w:w="100" w:type="dxa"/>
            <w:vAlign w:val="bottom"/>
          </w:tcPr>
          <w:p>
            <w:pPr>
              <w:spacing w:after="0"/>
              <w:rPr>
                <w:sz w:val="20"/>
                <w:szCs w:val="20"/>
                <w:color w:val="auto"/>
              </w:rPr>
            </w:pPr>
          </w:p>
        </w:tc>
      </w:tr>
      <w:tr>
        <w:trPr>
          <w:trHeight w:val="215"/>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78,416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149,612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157,709</w:t>
            </w:r>
          </w:p>
        </w:tc>
        <w:tc>
          <w:tcPr>
            <w:tcW w:w="100" w:type="dxa"/>
            <w:vAlign w:val="bottom"/>
            <w:shd w:val="clear" w:color="auto" w:fill="CFF0FC"/>
          </w:tcPr>
          <w:p>
            <w:pPr>
              <w:spacing w:after="0"/>
              <w:rPr>
                <w:sz w:val="20"/>
                <w:szCs w:val="20"/>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16,645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18,585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35,505</w:t>
            </w:r>
          </w:p>
        </w:tc>
        <w:tc>
          <w:tcPr>
            <w:tcW w:w="100" w:type="dxa"/>
            <w:vAlign w:val="bottom"/>
          </w:tcPr>
          <w:p>
            <w:pPr>
              <w:spacing w:after="0"/>
              <w:rPr>
                <w:sz w:val="20"/>
                <w:szCs w:val="20"/>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61,693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123,199</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r>
      <w:tr>
        <w:trPr>
          <w:trHeight w:val="223"/>
        </w:trPr>
        <w:tc>
          <w:tcPr>
            <w:tcW w:w="5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281,095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304,547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590,969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598,112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66,557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144,195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163,252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235,087</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w:t>
            </w: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75,917</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75,532</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73,447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159,555</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(12,380)</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(10,292)</w:t>
            </w: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31,534</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118,485</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72,151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169,847</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31,534</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118,485</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72,151</w:t>
            </w:r>
          </w:p>
        </w:tc>
        <w:tc>
          <w:tcPr>
            <w:tcW w:w="16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169,847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restart"/>
          </w:tcPr>
          <w:p>
            <w:pPr>
              <w:jc w:val="center"/>
              <w:ind w:left="187"/>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center"/>
              <w:ind w:left="187"/>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5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(1,823,883)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29,429</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(1,598)</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40,617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(110,755)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(110,755)</w:t>
            </w:r>
          </w:p>
        </w:tc>
        <w:tc>
          <w:tcPr>
            <w:tcW w:w="0" w:type="dxa"/>
            <w:vAlign w:val="bottom"/>
          </w:tcPr>
          <w:p>
            <w:pPr>
              <w:spacing w:after="0"/>
              <w:rPr>
                <w:sz w:val="1"/>
                <w:szCs w:val="1"/>
                <w:color w:val="auto"/>
              </w:rPr>
            </w:pPr>
          </w:p>
        </w:tc>
      </w:tr>
      <w:tr>
        <w:trPr>
          <w:trHeight w:val="263"/>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March 31, 2020</w:t>
            </w:r>
          </w:p>
        </w:tc>
        <w:tc>
          <w:tcPr>
            <w:tcW w:w="52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3,022,158</w:t>
            </w:r>
          </w:p>
        </w:tc>
        <w:tc>
          <w:tcPr>
            <w:tcW w:w="260" w:type="dxa"/>
            <w:vAlign w:val="bottom"/>
            <w:tcBorders>
              <w:bottom w:val="single" w:sz="8" w:color="CFF0FC"/>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Borders>
              <w:bottom w:val="single" w:sz="8" w:color="CFF0FC"/>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(1,894,021)</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1,127,224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c>
          <w:tcPr>
            <w:tcW w:w="2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(50,453)</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(50,453)</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2020</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3,026,120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(1,912,940)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1,113,007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center"/>
              <w:ind w:left="187"/>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center"/>
              <w:ind w:left="187"/>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5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2,922,907</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(1,802,723)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1,120,196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30,970</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51,362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(104,597)</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(104,597)</w:t>
            </w:r>
          </w:p>
        </w:tc>
        <w:tc>
          <w:tcPr>
            <w:tcW w:w="0" w:type="dxa"/>
            <w:vAlign w:val="bottom"/>
          </w:tcPr>
          <w:p>
            <w:pPr>
              <w:spacing w:after="0"/>
              <w:rPr>
                <w:sz w:val="1"/>
                <w:szCs w:val="1"/>
                <w:color w:val="auto"/>
              </w:rPr>
            </w:pPr>
          </w:p>
        </w:tc>
      </w:tr>
      <w:tr>
        <w:trPr>
          <w:trHeight w:val="263"/>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March 31, 2019</w:t>
            </w:r>
          </w:p>
        </w:tc>
        <w:tc>
          <w:tcPr>
            <w:tcW w:w="52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2,953,877</w:t>
            </w:r>
          </w:p>
        </w:tc>
        <w:tc>
          <w:tcPr>
            <w:tcW w:w="260" w:type="dxa"/>
            <w:vAlign w:val="bottom"/>
            <w:tcBorders>
              <w:bottom w:val="single" w:sz="8" w:color="CFF0FC"/>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Borders>
              <w:bottom w:val="single" w:sz="8" w:color="CFF0FC"/>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(1,855,958)</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1,098,190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 from parent</w:t>
            </w: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Foreign currency translations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Dividend to parent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(96,039)</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(96,039)</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2019</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2,961,042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(1,833,512)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1,128,088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72,151</w:t>
            </w:r>
          </w:p>
        </w:tc>
        <w:tc>
          <w:tcPr>
            <w:tcW w:w="28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169,847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126,311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Amortization included in 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disposition of assets and investments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(3,519)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18,184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benefit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(1,313)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(15,121)</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8,331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Decrease (increase)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(19,103)</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Prepaid lease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(7,179)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(11,108)</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(Decrease) increase in: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Trade accounts payable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(12,012)</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(13,528)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(8,735)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(45,836)</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(32,876)</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(5,371)</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182,753</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214,344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(26,153)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(78,141)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(36,274)</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(60,560)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disposition of assets and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Increase of notes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(57,677)</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(137,145)</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on long term debt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(14,421)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Borrowings on long term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8,750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on revolving credit facility</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(805,000)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(375,000)</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received from revolving credit facility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655,000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Redemption of senior subordinated notes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(519,139)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received from note offering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1,400,000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accounts receivable securitization program</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Payments on accounts receivable securitization program</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(175,000)</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received from senior credit facility term loans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598,500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Payments on senior credit facility term loans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(978,097)</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issuance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(30,112)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(4,435)</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Distributions to non-controlling interest</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(882)</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Contributions from parent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Dividend to parent</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(161,208)</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(200,636)</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100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(81,642)</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6"/>
                <w:szCs w:val="16"/>
                <w:color w:val="auto"/>
              </w:rPr>
              <w:t>Effect of exchange rate changes in cash and cash equivalents</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(192)</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150,905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176,593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16,754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68,784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66,968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6"/>
                <w:szCs w:val="16"/>
                <w:color w:val="auto"/>
              </w:rPr>
              <w:t>Cash paid for foreign, state and federal income taxes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3,175</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38"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2019 Combined Form 10-K.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notes are not provided for the accompanying condensed consolidated financial statements as the information in notes 1, 2, 3, 4, 5, 6, 7, 8, 10, 11, 12, 14, and 15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376"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are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June 30, 2020</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8"/>
              </w:rPr>
              <w:t>Lamar Media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Corp.</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94"/>
              </w:rPr>
              <w:t>(unaudited)</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96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164,644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44,905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234,188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1,311,329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1,271,821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1,292,917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Intangibles and goodwill, net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2,838,868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4,157,051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225,091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(4,341,555)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4,321,695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5,692,014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(4,341,555</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5,964,847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6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168,390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33,062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158,005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335,515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3,144,240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3,146,779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1,037,680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229,469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252,027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(249,453)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3,208,688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1,605,203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287,402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4,851,840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1,113,007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4,086,811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(4,092,102)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1,113,007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4,321,695</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5,692,014</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292,693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(4,341,555</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5,964,847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December 31,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8"/>
              </w:rPr>
              <w:t>Lamar Media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Corp.</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196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53,756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242,054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309,669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1,340,675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1,293,674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1,320,779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Intangibles and goodwill, net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2,875,644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4,193,629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229,905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184,805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(4,557,380)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4,207,488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5,793,654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(4,557,380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5,924,421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51,480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189,071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196,689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78,440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385,794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202,615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666,849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2,753,570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2,753,604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1,049,220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205,947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231,416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250,859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(421,966)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3,037,957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1,666,464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472,435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(421,966)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4,754,890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1,169,531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4,127,190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(4,135,414)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1,169,531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4,207,488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5,793,654</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480,659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(4,557,380</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5,924,421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Condensed Consolidating Statements of Income and Comprehensive Income for the Three Months Ended June 30, 2020</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Eliminations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55"/>
        </w:trPr>
        <w:tc>
          <w:tcPr>
            <w:tcW w:w="448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341,664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(249)</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128,485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63,545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disposition of assets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272,703</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68,961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(66,370)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 expense</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68,985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(66,370)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FF0FC"/>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31,534</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68,403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(66,370)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net of tax</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68,403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(66,370)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Condensed Consolidating Statements of Income and Comprehensive Income for the Three Months Ended June 30,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Eliminations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000" w:type="dxa"/>
            <w:vAlign w:val="bottom"/>
          </w:tcPr>
          <w:p>
            <w:pPr>
              <w:jc w:val="center"/>
              <w:ind w:right="72"/>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437,074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(830)</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140,108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76,475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disposition of assets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295,338</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10,039</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304,547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141,736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(155,336)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155,336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141,818</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(155,336)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(13,231)</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6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118,485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155,049</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(155,336)</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118,485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118,485</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155,049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(155,336)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net of tax</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155,049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(155,336)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ind w:right="1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Condensed Consolidating Statements of Income and Comprehensive Income for the Six Months Ended June 30,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Eliminations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738,295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16,689</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(763)</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271,537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145,750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125,450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disposition of assets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(3,574)</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573,771</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590,969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164,524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(160,584)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160,584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 expense</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72,151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164,583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(160,584)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72,151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FF0FC"/>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72,151</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162,659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(160,584)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loss, net of tax</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162,659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(160,584)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jc w:val="center"/>
        <w:ind w:right="1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Condensed Consolidating Statements of Income and Comprehensive Income for the Six Months Ended June 30,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48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Corp.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811,655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274,858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154,132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121,864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disposition of assets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(4,151)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584,741</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226,914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(242,710)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242,710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227,001</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(242,710)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(12,612)</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239,613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Statement of Comprehensive Income</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169,847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(242,710)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other comprehensive income, net of tax</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(242,710)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 for the Six Months Ended June 30, 2020</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1000"/>
              <w:spacing w:after="0"/>
              <w:rPr>
                <w:sz w:val="20"/>
                <w:szCs w:val="20"/>
                <w:color w:val="auto"/>
              </w:rPr>
            </w:pPr>
            <w:r>
              <w:rPr>
                <w:rFonts w:ascii="Arial" w:cs="Arial" w:eastAsia="Arial" w:hAnsi="Arial"/>
                <w:sz w:val="18"/>
                <w:szCs w:val="18"/>
                <w:color w:val="auto"/>
              </w:rPr>
              <w:t>Net cash provided by (used in) operating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000"/>
              <w:spacing w:after="0"/>
              <w:rPr>
                <w:sz w:val="20"/>
                <w:szCs w:val="20"/>
                <w:color w:val="auto"/>
              </w:rPr>
            </w:pPr>
            <w:r>
              <w:rPr>
                <w:rFonts w:ascii="Arial" w:cs="Arial" w:eastAsia="Arial" w:hAnsi="Arial"/>
                <w:sz w:val="18"/>
                <w:szCs w:val="18"/>
                <w:color w:val="auto"/>
              </w:rPr>
              <w:t>activities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165,269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238,800</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5,429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(226,745)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182,753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(26,730)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(26,153)</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(34,770)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w w:val="98"/>
              </w:rPr>
              <w:t>Proceeds from disposition of assets and investments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 subsidiaries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(26,730)</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w w:val="97"/>
              </w:rPr>
              <w:t>(Increase) decrease in intercompany notes receivable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(181,089)</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181,089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provided by investing</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(207,242)</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(56,750)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207,819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(57,677)</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revolving credit facility</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Payment on revolving credit facility</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(805,000)</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(805,000)</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long term debt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Borrowings on long term debt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note offering</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w w:val="94"/>
              </w:rPr>
              <w:t>Payment on accounts receivable securitization program</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(175,000)</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Redemption on senior subordinated notes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(519,139)</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(519,139)</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w w:val="95"/>
              </w:rPr>
              <w:t>Proceeds received from senior credit facility term loans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598,500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senior credit facility term loans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(978,097)</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(978,097)</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(30,112)</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(30,112)</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Intercompany loan proceeds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(181,089)</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Distributions to non-controlling interest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(to) from parent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(161,208)</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(226,745)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226,745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(161,208)</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Contributions from (to) parent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(26,730)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(used in) financing</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193,335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(187,639)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60"/>
              <w:spacing w:after="0"/>
              <w:rPr>
                <w:sz w:val="20"/>
                <w:szCs w:val="20"/>
                <w:color w:val="auto"/>
              </w:rPr>
            </w:pPr>
            <w:r>
              <w:rPr>
                <w:rFonts w:ascii="Arial" w:cs="Arial" w:eastAsia="Arial" w:hAnsi="Arial"/>
                <w:sz w:val="18"/>
                <w:szCs w:val="18"/>
                <w:color w:val="auto"/>
              </w:rPr>
              <w:t>Effect of exchange rate changes in cash and cash</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97"/>
              </w:rPr>
              <w:t>Net increase (decrease) in cash and cash equivalents</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151,362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13,185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center"/>
        <w:ind w:right="1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Statement of Cash Flows for the Six Months Ended June 30, 2019</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Lamar Media</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Corp.</w:t>
            </w: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1000"/>
              <w:spacing w:after="0"/>
              <w:rPr>
                <w:sz w:val="20"/>
                <w:szCs w:val="20"/>
                <w:color w:val="auto"/>
              </w:rPr>
            </w:pPr>
            <w:r>
              <w:rPr>
                <w:rFonts w:ascii="Arial" w:cs="Arial" w:eastAsia="Arial" w:hAnsi="Arial"/>
                <w:sz w:val="18"/>
                <w:szCs w:val="18"/>
                <w:color w:val="auto"/>
              </w:rPr>
              <w:t>Net cash provided by (used in) operating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000"/>
              <w:spacing w:after="0"/>
              <w:rPr>
                <w:sz w:val="20"/>
                <w:szCs w:val="20"/>
                <w:color w:val="auto"/>
              </w:rPr>
            </w:pPr>
            <w:r>
              <w:rPr>
                <w:rFonts w:ascii="Arial" w:cs="Arial" w:eastAsia="Arial" w:hAnsi="Arial"/>
                <w:sz w:val="18"/>
                <w:szCs w:val="18"/>
                <w:color w:val="auto"/>
              </w:rPr>
              <w:t>activities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158,778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287,842</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(230,068)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214,344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(78,141)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(78,141)</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(59,193)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(60,560)</w:t>
            </w: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Proceeds from disposition of assets and investments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insurance claims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(78,141)</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intercompany notes receivable</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9"/>
        </w:trPr>
        <w:tc>
          <w:tcPr>
            <w:tcW w:w="4540" w:type="dxa"/>
            <w:vAlign w:val="bottom"/>
          </w:tcPr>
          <w:p>
            <w:pPr>
              <w:ind w:left="1000"/>
              <w:spacing w:after="0"/>
              <w:rPr>
                <w:sz w:val="20"/>
                <w:szCs w:val="20"/>
                <w:color w:val="auto"/>
              </w:rPr>
            </w:pPr>
            <w:r>
              <w:rPr>
                <w:rFonts w:ascii="Arial" w:cs="Arial" w:eastAsia="Arial" w:hAnsi="Arial"/>
                <w:sz w:val="18"/>
                <w:szCs w:val="18"/>
                <w:color w:val="auto"/>
              </w:rPr>
              <w:t>Net cash (used in) provided by investing</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00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(73,107)</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(135,651)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(1,367)</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72,980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(137,145)</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Proceeds received from revolving credit facility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on revolving credit facility</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(375,000)</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(14,421)</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(14,421)</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received from note offering</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w w:val="96"/>
              </w:rPr>
              <w:t>Payment on accounts receivable securitization program</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5"/>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Proceeds received from accounts receivable securitization</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program</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Intercompany loan proceeds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(to) from parent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(200,636)</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(230,068)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(200,636)</w:t>
            </w: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Contributions from (to) parent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(78,141)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provided by financing</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(81,357)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(160,388)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157,088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(81,642)</w:t>
            </w:r>
          </w:p>
        </w:tc>
        <w:tc>
          <w:tcPr>
            <w:tcW w:w="0" w:type="dxa"/>
            <w:vAlign w:val="bottom"/>
          </w:tcPr>
          <w:p>
            <w:pPr>
              <w:spacing w:after="0"/>
              <w:rPr>
                <w:sz w:val="1"/>
                <w:szCs w:val="1"/>
                <w:color w:val="auto"/>
              </w:rPr>
            </w:pPr>
          </w:p>
        </w:tc>
      </w:tr>
      <w:tr>
        <w:trPr>
          <w:trHeight w:val="209"/>
        </w:trPr>
        <w:tc>
          <w:tcPr>
            <w:tcW w:w="4540" w:type="dxa"/>
            <w:vAlign w:val="bottom"/>
          </w:tcPr>
          <w:p>
            <w:pPr>
              <w:ind w:left="260"/>
              <w:spacing w:after="0"/>
              <w:rPr>
                <w:sz w:val="20"/>
                <w:szCs w:val="20"/>
                <w:color w:val="auto"/>
              </w:rPr>
            </w:pPr>
            <w:r>
              <w:rPr>
                <w:rFonts w:ascii="Arial" w:cs="Arial" w:eastAsia="Arial" w:hAnsi="Arial"/>
                <w:sz w:val="18"/>
                <w:szCs w:val="18"/>
                <w:color w:val="auto"/>
              </w:rPr>
              <w:t>Effect of exchange rate changes in cash and cash</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99"/>
              </w:rPr>
              <w:t>Net increase (decrease) in cash and 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3" w:name="page34"/>
    <w:bookmarkEnd w:id="3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2019 Combined Form 10-K filed on February 20, 2020, as updated and supplemented in Part II, Item 1A of this Quarterly Report on Form 10-Q, and as such risk factors may be further updated or supplemented, from time to time, in our future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the Company for the six and three months ended June 30, 2020 and 2019. This discussion should be read in conjunction with the consolidated financial statements of the Company and the related notes thereto.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unprecedented and rapid spread of COVID-19 and the related government-imposed restrictions and social distancing measures implemented throughout the world have reduced demand for out-of-home advertising. Beginning in late March, large public events were cancelled, and governments began imposing restrictions on non-essential activities, which in turn lead to advertisers suspending, delaying or cancelling their advertising campaigns. The government-imposed restrictions have had an adverse impact on the volume of vehicles on roadways (particularly in larger markets), pedestrians in airports and riders on public transit and numerous advertising customer segments including, but not limited to, entertainment, retail, restaurant and automotive advertisers.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demand for billboard, transit and airport advertising declined, which has had an adverse impact on our revenues and financial position. The decrease in outdoor advertising demand during the three months ended June 30, 2020 resulted in a 22.5% decrease in our consolidated net revenues as compared to the same period in 2019. As revenues declined, the Company responded through a variety of cost saving and liquidity measures as discussed below. While we cannot predict the length and severity of the reduction in demand due to the pandemic, we observed an improvement in customer activity in June and July as the government-imposed restrictions on travel were eased. However, the exact timing and pace of the recovery remain uncertain given the continued impact of the pandemic on the overall U.S. and global economy, and new or renewed government-imposed restrictions on travel may be enacted in the future. Our liquidity measures and expense management initiatives may be modified as we monitor the timing of economic recovery.</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response to the ongoing pandemic, we have implemented measures to mitigate the impact on our financial position and operations. These measures include, but are not limited to, the following:</w:t>
      </w:r>
    </w:p>
    <w:p>
      <w:pPr>
        <w:spacing w:after="0" w:line="36" w:lineRule="exact"/>
        <w:rPr>
          <w:sz w:val="20"/>
          <w:szCs w:val="20"/>
          <w:color w:val="auto"/>
        </w:rPr>
      </w:pPr>
    </w:p>
    <w:p>
      <w:pPr>
        <w:jc w:val="both"/>
        <w:ind w:left="1000" w:hanging="493"/>
        <w:spacing w:after="0" w:line="286"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issuing $400.0 million in 4 7/8% Senior Notes on May 13, 2020 which, along with cash on hand, were used to pay-down all outstanding balances under our revolving credit facility. Additionally, during the quarter ended June 30, 2020 we repaid all amounts outstanding under its Accounts Receivable Securitization Program. The Company’s total liquidity was approximately $1.1 billion as of June 30, 2020;</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reducing our consolidated operating costs (exclusive of depreciation and amortization and gain on disposition of assets) by $25.3 million or</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10.4% for the three months ended June 30, 2020 over the same period in 2019 which included:</w:t>
      </w:r>
    </w:p>
    <w:p>
      <w:pPr>
        <w:spacing w:after="0" w:line="103" w:lineRule="exact"/>
        <w:rPr>
          <w:sz w:val="20"/>
          <w:szCs w:val="20"/>
          <w:color w:val="auto"/>
        </w:rPr>
      </w:pPr>
    </w:p>
    <w:p>
      <w:pPr>
        <w:ind w:left="1620" w:hanging="492"/>
        <w:spacing w:after="0"/>
        <w:tabs>
          <w:tab w:leader="none" w:pos="1620" w:val="left"/>
        </w:tabs>
        <w:numPr>
          <w:ilvl w:val="0"/>
          <w:numId w:val="29"/>
        </w:numPr>
        <w:rPr>
          <w:rFonts w:ascii="Courier New" w:cs="Courier New" w:eastAsia="Courier New" w:hAnsi="Courier New"/>
          <w:sz w:val="18"/>
          <w:szCs w:val="18"/>
          <w:color w:val="auto"/>
        </w:rPr>
      </w:pPr>
      <w:r>
        <w:rPr>
          <w:rFonts w:ascii="Arial" w:cs="Arial" w:eastAsia="Arial" w:hAnsi="Arial"/>
          <w:sz w:val="18"/>
          <w:szCs w:val="18"/>
          <w:color w:val="auto"/>
        </w:rPr>
        <w:t>reductions in our transit and airport franchise costs and billboard lease costs; and</w:t>
      </w:r>
    </w:p>
    <w:p>
      <w:pPr>
        <w:spacing w:after="0" w:line="101" w:lineRule="exact"/>
        <w:rPr>
          <w:rFonts w:ascii="Courier New" w:cs="Courier New" w:eastAsia="Courier New" w:hAnsi="Courier New"/>
          <w:sz w:val="18"/>
          <w:szCs w:val="18"/>
          <w:color w:val="auto"/>
        </w:rPr>
      </w:pPr>
    </w:p>
    <w:p>
      <w:pPr>
        <w:ind w:left="1620" w:hanging="492"/>
        <w:spacing w:after="0"/>
        <w:tabs>
          <w:tab w:leader="none" w:pos="1620" w:val="left"/>
        </w:tabs>
        <w:numPr>
          <w:ilvl w:val="0"/>
          <w:numId w:val="29"/>
        </w:numPr>
        <w:rPr>
          <w:rFonts w:ascii="Courier New" w:cs="Courier New" w:eastAsia="Courier New" w:hAnsi="Courier New"/>
          <w:sz w:val="18"/>
          <w:szCs w:val="18"/>
          <w:color w:val="auto"/>
        </w:rPr>
      </w:pPr>
      <w:r>
        <w:rPr>
          <w:rFonts w:ascii="Arial" w:cs="Arial" w:eastAsia="Arial" w:hAnsi="Arial"/>
          <w:sz w:val="18"/>
          <w:szCs w:val="18"/>
          <w:color w:val="auto"/>
        </w:rPr>
        <w:t>reducing our workforce by approximately 5% through attrition and selected layoffs;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sharply curtailing spending on capital projects, including new digital displays;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acquisition activity;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utilizing portions of the CARES Act for deferral of employer portions of social security taxes through the end of 2020, with 50% of the deferral due December 31, 2021 and the remaining 50% due December 31, 2022.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evaluate the impact of the COVID-19 pandemic on our business and we may access the debt and/or equity capital markets for additional liquidity, if necessary.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and Board of Directors are continuing to evaluate our quarterly dividend plans for the remainder of 2020. This evaluation includes ensuring the Company remains in compliance with its REIT dividend requirements for the year.</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2020 we did not incur any impairment charges related to goodwill or long-lived assets (including operating lease right of use assets). We also did not incur any significant credit losses for the three and six months ended June 30, 2020.</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some of our corporate, front office and sales workforce continues to work from home, a large majority have returned to their offices while adhering to the Center of Disease Control and Prevention and state and local governmental guidelines and recommendations. Due to the nature of their duties, our billboard operations employees, for the most part, continue to complete their tasks, while still adhering to social distancing measures. The impacts of working from home have been minimal on productivity. Also, while working from home has minimally impacted our processes, there have been no material impacts to our internal control environment.</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actively monitor the situation and may take further actions that alter our business operations as may be required by federal, state or local authorities, or that we determine are in the best interests of our employees, customers, partners and stockholders.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w:t>
      </w:r>
      <w:r>
        <w:rPr>
          <w:rFonts w:ascii="Arial" w:cs="Arial" w:eastAsia="Arial" w:hAnsi="Arial"/>
          <w:sz w:val="18"/>
          <w:szCs w:val="18"/>
          <w:i w:val="1"/>
          <w:iCs w:val="1"/>
          <w:color w:val="auto"/>
        </w:rPr>
        <w:t>Sources of Cash</w:t>
      </w:r>
      <w:r>
        <w:rPr>
          <w:rFonts w:ascii="Arial" w:cs="Arial" w:eastAsia="Arial" w:hAnsi="Arial"/>
          <w:sz w:val="18"/>
          <w:szCs w:val="18"/>
          <w:color w:val="auto"/>
        </w:rPr>
        <w:t xml:space="preserve">” for more information. During the six months ended June 30, 2020, the Company completed several acquisitions for a total cash purchase price of approximately $26.2 million. See </w:t>
      </w:r>
      <w:r>
        <w:rPr>
          <w:rFonts w:ascii="Arial" w:cs="Arial" w:eastAsia="Arial" w:hAnsi="Arial"/>
          <w:sz w:val="18"/>
          <w:szCs w:val="18"/>
          <w:i w:val="1"/>
          <w:iCs w:val="1"/>
          <w:color w:val="auto"/>
        </w:rPr>
        <w:t>Uses of Cash – Acquisitions</w:t>
      </w:r>
      <w:r>
        <w:rPr>
          <w:rFonts w:ascii="Arial" w:cs="Arial" w:eastAsia="Arial" w:hAnsi="Arial"/>
          <w:sz w:val="18"/>
          <w:szCs w:val="18"/>
          <w:color w:val="auto"/>
        </w:rPr>
        <w:t xml:space="preserve"> for more information.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six months ended June 30, 2020 and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left="357"/>
              <w:spacing w:after="0" w:line="149" w:lineRule="exact"/>
              <w:rPr>
                <w:sz w:val="20"/>
                <w:szCs w:val="20"/>
                <w:color w:val="auto"/>
              </w:rPr>
            </w:pPr>
            <w:r>
              <w:rPr>
                <w:rFonts w:ascii="Arial" w:cs="Arial" w:eastAsia="Arial" w:hAnsi="Arial"/>
                <w:sz w:val="14"/>
                <w:szCs w:val="14"/>
                <w:b w:val="1"/>
                <w:bCs w:val="1"/>
                <w:color w:val="auto"/>
                <w:w w:val="92"/>
              </w:rPr>
              <w:t>June 30,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center"/>
              <w:ind w:left="377"/>
              <w:spacing w:after="0" w:line="149" w:lineRule="exact"/>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89"/>
              </w:rPr>
              <w:t>(in thousands)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Total capital expenditures:</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Billboard — traditional</w:t>
            </w:r>
          </w:p>
        </w:tc>
        <w:tc>
          <w:tcPr>
            <w:tcW w:w="1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1,503</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13,431</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Billboard — digital</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Logos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Transit</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Land and buildings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Operating equipment</w:t>
            </w:r>
          </w:p>
        </w:tc>
        <w:tc>
          <w:tcPr>
            <w:tcW w:w="1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Total capital expenditures</w:t>
            </w:r>
          </w:p>
        </w:tc>
        <w:tc>
          <w:tcPr>
            <w:tcW w:w="17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10,565</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36,274</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loss (gain) on extinguishment of debt and investments, stock-based compensation, depreciation and amortization, gain or loss on disposition of assets and investments, capitalized contract fulfillment costs, net and the impact of ASC 842 adoption.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define AFFO as FFO before (i) straight-line revenue and expense; (ii) impact of ASC 842 adoption; (iii) capitalized contract fulfillment costs, net</w:t>
      </w:r>
    </w:p>
    <w:p>
      <w:pPr>
        <w:spacing w:after="0" w:line="35" w:lineRule="exact"/>
        <w:rPr>
          <w:sz w:val="20"/>
          <w:szCs w:val="20"/>
          <w:color w:val="auto"/>
        </w:rPr>
      </w:pPr>
    </w:p>
    <w:p>
      <w:pPr>
        <w:jc w:val="both"/>
        <w:ind w:firstLine="8"/>
        <w:spacing w:after="0" w:line="255" w:lineRule="auto"/>
        <w:tabs>
          <w:tab w:leader="none" w:pos="3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stock-based compensation expense; (v) non-cash portion of tax provision; (vi) non-real estate related depreciation and amortization; (vii) amortization of deferred financing costs; (viii) loss on extinguishment of debt; (ix) non-recurring infrequent or unusual losses (gains); (x) less maintenance capital expenditures; and (xi) an adjustment for unconsolidated affiliates and non-controlling interest.</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 over period results on a more consistent basis without the effects of acquisitions and divestures, which reflects our core performance and organic growth (if any) during the period in which the assets were owned and managed by us; (4) adjusted EBITDA, FFO and AFFO each provides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revenues decreased $79.0 million or 9.5% to $754.2 million for the six months ended June 30, 2020 from $833.2 million for the same period in 2019. This decrease was primarily attributable to a decrease in billboard and transit net revenues of $62.6 million and $17.1 million, respectively, over the same period in 2019, which related to the ongoing pandemic. The decrease was offset slightly by an increase of $0.7 million in logo revenue.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2020, there was an $89.2 million decrease in net revenues as compared to acquisition-adjusted net revenue for the six months ended June 30, 2019, which represents a decrease of 10.6%. See “Reconciliations” below. The $89.2 million decrease in revenue is primarily due to a $73.3 million and $16.6 million decrease in billboard and transit net revenues, respectively, which are due to the effects of the ongoing pandemic. The decrease in outdoor and transit revenues were slightly off set by an increase of $0.7 million in logo revenue.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decreased $11.9 million, or 2.5% to $468.4 million for the six months ended June 30, 2020 from $480.3 million in the same period in 2019. The $11.9 million decrease over the prior year is comprised of a $10.5 million decrease in total direct, general and administrative and corporate expenses (excluding stock-based compensation) primarily related to the operations of our outdoor advertising assets, as well as a $1.3 million decrease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$3.1 million to $126.3 million for the six months ended June 30, 2020 as compared to $123.2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2020, the Company recognized a gain on disposition of assets of $3.5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$71.9 million to $163.0 million for the six months ended June 30, 2020 as compared to $234.9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a loss on debt extinguishment of $18.2 million during the six months ended June 30, 2020, which relates to the early repayment of our 5 3/8% Senior Notes and refinancing of our senior credit facility.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$3.9 million for the six months ended June 30, 2020 to $72.0 million as compared to $75.9 million for the six months ended June 30,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operating income, offset by the decrease in interest expense, resulted in an $86.1 million decrease in net income before income taxes. The effective tax rate for the six months ended June 30, 2020 was 1.8%,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six months ended June 30, 2020 of $71.9 million, as compared to net income of $169.6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six months ended June 30, 2019 by adding to or subtracting from it the net revenue generated by the acquired or divested assets prior to our acquisition or divestiture of these assets for the same time frame that those assets were owned in the six months ended June 30,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2019 reported net revenue to 2019 acquisition-adjusted net revenue for the six months ended June 30, as well as a comparison of 2019 acquisition-adjusted net revenue to 2020 reported net revenue for the six months ended June 30, are provided below: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Six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3"/>
          </w:tcPr>
          <w:p>
            <w:pPr>
              <w:jc w:val="right"/>
              <w:ind w:right="474"/>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754,221</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833,199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754,221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843,408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Increase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89"/>
              </w:rPr>
              <w:t>(Decrease)</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8"/>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169,649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(97,727)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(10,292)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18,184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75,532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(3,519)</w:t>
            </w:r>
          </w:p>
        </w:tc>
        <w:tc>
          <w:tcPr>
            <w:tcW w:w="2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126,311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123,199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3,112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(8,304)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9,340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293,013</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354,059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(61,046)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six months ended June 30, 2020 decreased 17.2% to $293.0 million. The decrease in adjusted EBITDA was primarily attributable to a decrease in our gross margin (net revenue less direct advertising expense, exclusive of depreciation and amortization, the impact of ASC 842 adoption and capitalized contract fulfillment costs, net) of $68.3 million, and was offset by a decrease in total general and administrative and corporate expenses of $7.2 million, excluding the impact of stock-based compensation expense.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6"/>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(57.6)%</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120,453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116,178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 net of tax</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(3,098)</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(4,884)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(17,031)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3"/>
        </w:trPr>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189,666</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264,266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(74,600)</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(28.2)%</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Straight line income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(1,930)</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(8,304)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(1,344)</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(1,313)</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(3,223)</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(1,163)</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18,184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18,184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(14,492)</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(23,396)</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for the six months ended June 30, 2020 decreased from $264.3 million in 2019 to $189.7 million for the same period in 2020, a decrease of 28.2%. AFFO for the six months ended June 30, 2020 decreased 17.3% to $209.3 million as compared to $253.0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the total of general and administrative and corporate expenses (excluding the effect of stock-based compensation expense).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decreased $101.1 million or 22.5% to $347.7 million for the three months ended June 30, 2020 from $448.7 million for the same period in 2019. This decrease was primarily attributable to a decrease in billboard and transit net revenues of $81.7 million and $18.6 million, respectively, over the same period in 2019, which related to the ongoing pandemic.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2020, there was a $106.2 million decrease in net revenues as compared to acquisition-adjusted net revenue for the three months ended June 30, 2019, which represents a decrease of 23.4%. See “Reconciliations” below. The $106.2 million decrease in revenue is primarily due to an $87.0 million and $18.4 million decrease in billboard and transit net revenues, respectively, and are a result of the effects due to the ongoing pandemic.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decreased $25.3 million, or 10.4% to $218.2 million for the three months ended June 30, 2020 from $243.5 million in the same period in 2019. The $25.3 million decrease over the prior year is comprised of a $22.7 million decrease in total direct, general and administrative and corporate expenses (excluding stock-based compensation) primarily related to the operations of our outdoor advertising assets, as well as a $2.5 million decrease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$2.3 million to $64.0 million for the three months ended June 30, 2020 as compared to $61.7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2020, the Company recognized a gain on disposition of assets of $1.0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$77.7 million to $66.5 million for the three months ended June 30, 2020 as compared to $144.1 million for the same period in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Interest expense decreased $2.9 million for the three months ended June 30, 2020 to $35.4 million as compared to $38.3 million for the three months ended June 30,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operating income, offset by the decrease in interest expense resulted in a $74.8 million decrease in net income before income taxes. The effective tax rate for the three months ended June 30, 2020 was (0.8)%,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three months ended June 30, 2020 of $31.4 million, as compared to net income of $118.4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three months ended June 30, 2019 by adding to or subtracting from it the net revenue generated by the acquired or divested assets prior to our acquisition or divestiture of these assets for the same time frame that those assets were owned in the three months ended June 30,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2019 reported net revenue to 2019 acquisition-adjusted net revenue for the three months ended June 30, as well as a comparison of 2019 acquisition-adjusted net revenue to 2020 reported net revenue for the three months ended June 30, are provided below:</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3"/>
          </w:tcPr>
          <w:p>
            <w:pPr>
              <w:jc w:val="right"/>
              <w:ind w:right="475"/>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6"/>
          </w:tcPr>
          <w:p>
            <w:pPr>
              <w:ind w:left="28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347,652</w:t>
            </w:r>
          </w:p>
        </w:tc>
        <w:tc>
          <w:tcPr>
            <w:tcW w:w="16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347,652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453,817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8"/>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118,396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(86,967)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(12,380)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12,140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38,090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(1,015)</w:t>
            </w:r>
          </w:p>
        </w:tc>
        <w:tc>
          <w:tcPr>
            <w:tcW w:w="2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63,998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61,693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2,305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(3,609)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4,645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133,196</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207,935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(74,739)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EBITDA for the three months ended June 30, 2020 decreased 35.9% to $133.2 million. The decrease in adjusted EBITDA was primarily attributable to a decrease in our gross margin (net revenue less direct advertising expense, exclusive of depreciation and amortization, the impact of ASC 842 adoption and amortization of capitalized contract fulfillment costs, net) of $85.1 million, and was offset by a decrease in total general and administrative and corporate expenses of $10.4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5"/>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118,396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(86,967)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(73.5)%</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61,089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 net of tax</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(555)</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(145)</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(17,031)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3"/>
        </w:trPr>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92,103</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159,289</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(67,186)</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(42.2)%</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Straight line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(3,609)</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(2,548)</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(2,012)</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(3,863)</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(13,689)</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(37.7)%</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for the three months ended June 30, 2020 decreased from $159.3 million in 2019 to $92.1 million for the same period in 2020, a decrease of 42.2%. AFFO for the three months ended June 30, 2020 decreased 37.7% to $96.1 million as compared to $154.1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the total of general and administrative and corporate expenses (excluding the effect of stock-based compensation expense).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Total Liquidity. </w:t>
      </w:r>
      <w:r>
        <w:rPr>
          <w:rFonts w:ascii="Arial" w:cs="Arial" w:eastAsia="Arial" w:hAnsi="Arial"/>
          <w:sz w:val="17"/>
          <w:szCs w:val="17"/>
          <w:color w:val="auto"/>
        </w:rPr>
        <w:t>As of June 30, 2020 we had approximately $1.086 billion of total liquidity, which is comprised of approximately $177.1 million in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cash equivalents and approximately $737.2 million of availability under the revolving portion of Lamar Media’s senior credit facility and $171.8 million of availability under our Accounts Receivable Securitization Program. We expect the liquidity measures taken (as discussed above) and the remaining availability under the revolving credit facility and Accounts Receivable Securitization Program to be adequate in order for the Company to meet its operational requirements for the next twelve months as we continue to contend with the impacts of the COVID-19 pandemic.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and December 31, 2019, the Company had a working capital surplus (deficit) of $50.4 million and $(362.6) million, respectively. The increase in the working capital of $413.0 million is primarily due to our repayment of all outstanding balances under our Accounts Receivable Securitization Program and increase in cash on hand as of June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1" w:name="page42"/>
    <w:bookmarkEnd w:id="41"/>
    <w:p>
      <w:pPr>
        <w:jc w:val="both"/>
        <w:spacing w:after="0" w:line="273" w:lineRule="auto"/>
        <w:rPr>
          <w:sz w:val="20"/>
          <w:szCs w:val="20"/>
          <w:color w:val="auto"/>
        </w:rPr>
      </w:pPr>
      <w:r>
        <w:rPr>
          <w:rFonts w:ascii="Arial" w:cs="Arial" w:eastAsia="Arial" w:hAnsi="Arial"/>
          <w:sz w:val="17"/>
          <w:szCs w:val="17"/>
          <w:i w:val="1"/>
          <w:iCs w:val="1"/>
          <w:color w:val="auto"/>
        </w:rPr>
        <w:t>Cash Generated by Operations</w:t>
      </w:r>
      <w:r>
        <w:rPr>
          <w:rFonts w:ascii="Arial" w:cs="Arial" w:eastAsia="Arial" w:hAnsi="Arial"/>
          <w:sz w:val="17"/>
          <w:szCs w:val="17"/>
          <w:color w:val="auto"/>
        </w:rPr>
        <w:t>. For the six months ended June 30, 2020 and 2019 our cash provided by operating activities was $210.7 million and $237.0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The decrease in cash provided by operating activities for the six months ended June 30, 2020 over the same period in 2019 relates to a decrease in revenues offset by a decrease in operating expenses (excluding depreciation and amortization). Due to the adverse economic impact of the COVID-19 pandemic, we may not generate cash flows from operations during 2020 in excess of our cash needs for operations, capital expenditures and dividends, as described herein. However, we do expect to have sufficient cash on hand and availability under our revolving credit facility and accounts receivable securitization program to meet our operating cash needs for the next twelve months.</w:t>
      </w:r>
    </w:p>
    <w:p>
      <w:pPr>
        <w:spacing w:after="0" w:line="21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Accounts Receivable Securitization Program. </w:t>
      </w:r>
      <w:r>
        <w:rPr>
          <w:rFonts w:ascii="Arial" w:cs="Arial" w:eastAsia="Arial" w:hAnsi="Arial"/>
          <w:sz w:val="16"/>
          <w:szCs w:val="16"/>
          <w:color w:val="auto"/>
        </w:rPr>
        <w:t>On December 18, 2018, we entered into the Accounts Receivable Securitization Program. The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Securitization Program provides up to $175.0 million in borrowing capacity, plus an accordion feature that would permit the borrowing capacity to be increased by up to $125.0 million. 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30, 2020 Lamar Media and the Special Purpose Subsidiaries entered into the Third Amendment of the Accounts Receivable Securitization Program which increased the maximum three month average Delinquency Ratio, Dilution Ratio, and Days’ Sales Outstanding to 11.00% (from 8.00%), 7.00% (from 4.00%) and 75 days (from 65 days), respectively. Additionally, the Amendment establishes a new Minimum Funding Threshold, which requires the Special Purpose Subsidiaries to maintain borrowings under the Accounts Receivable Securitization Program on any day equal to the lesser of</w:t>
      </w:r>
    </w:p>
    <w:p>
      <w:pPr>
        <w:spacing w:after="0" w:line="1" w:lineRule="exact"/>
        <w:rPr>
          <w:sz w:val="20"/>
          <w:szCs w:val="20"/>
          <w:color w:val="auto"/>
        </w:rPr>
      </w:pPr>
    </w:p>
    <w:p>
      <w:pPr>
        <w:ind w:firstLine="8"/>
        <w:spacing w:after="0" w:line="260" w:lineRule="auto"/>
        <w:tabs>
          <w:tab w:leader="none" w:pos="2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50.00% of the aggregate Commitment of all Lenders or (ii) the Borrowing Base, though the Special Purpose Subsidiaries have the right to borrow less than the Minimum Funding Threshold during certain periods prior to December 21, 2020, at their election.</w:t>
      </w:r>
    </w:p>
    <w:p>
      <w:pPr>
        <w:spacing w:after="0" w:line="2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2020 there were no outstanding aggregate borrowings under the Accounts Receivable Securitization Program. Lamar Media had approximately $171.8 million of availability under the Accounts Receivable Securitization Program as of June 30, 2020.</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“At-the-Market” Offering Program. </w:t>
      </w:r>
      <w:r>
        <w:rPr>
          <w:rFonts w:ascii="Arial" w:cs="Arial" w:eastAsia="Arial" w:hAnsi="Arial"/>
          <w:sz w:val="16"/>
          <w:szCs w:val="16"/>
          <w:color w:val="auto"/>
        </w:rPr>
        <w:t>On May 1, 2018, the Company entered into an equity distribution agreement (the “Sales Agreement”) with J.P.</w:t>
      </w:r>
      <w:r>
        <w:rPr>
          <w:rFonts w:ascii="Arial" w:cs="Arial" w:eastAsia="Arial" w:hAnsi="Arial"/>
          <w:sz w:val="16"/>
          <w:szCs w:val="16"/>
          <w:i w:val="1"/>
          <w:iCs w:val="1"/>
          <w:color w:val="auto"/>
        </w:rPr>
        <w:t xml:space="preserve"> </w:t>
      </w:r>
      <w:r>
        <w:rPr>
          <w:rFonts w:ascii="Arial" w:cs="Arial" w:eastAsia="Arial" w:hAnsi="Arial"/>
          <w:sz w:val="16"/>
          <w:szCs w:val="16"/>
          <w:color w:val="auto"/>
        </w:rPr>
        <w:t>Morgan Securities LLC, Wells Fargo Securities LLC and SunTrust Robinson Humphrey, Inc. as our sales agents (each a “Sales Agent”, and collectively, the “Sales Agents”). Under the terms of the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Sales Agreement and may at any time suspend solicitations and offers under the Sales Agreement. The Company intends to use the net proceeds, if any, from the sale of the Class A common stock pursuant to the Sales Agreement for general corporate purposes, which may include the repayment, refinancing, redemption or repurchase of existing indebtedness, working capital, capital expenditures, acquisition of outdoor advertising assets and businesses and other related investments. During the six months ended June 30, 2020, the Company did not issue any shares under this program.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8"/>
          <w:szCs w:val="18"/>
          <w:i w:val="1"/>
          <w:iCs w:val="1"/>
          <w:color w:val="auto"/>
        </w:rPr>
        <w:t>Shelf Registration Statement</w:t>
      </w:r>
      <w:r>
        <w:rPr>
          <w:rFonts w:ascii="Arial" w:cs="Arial" w:eastAsia="Arial" w:hAnsi="Arial"/>
          <w:sz w:val="18"/>
          <w:szCs w:val="18"/>
          <w:b w:val="1"/>
          <w:bCs w:val="1"/>
          <w:color w:val="222222"/>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6, 2018, we filed an automatically effective shelf registration statement (No. 333-226614) that registered the offer</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 of an indeterminate amount of additional shares of our Class A common stock. During the six months ended June 30, 2020, the Company did not issue any shares under this shelf registration, however, we may issue additional shares under the shelf registration statement in the future in connection with future acquisitions or for other general corporate purposes.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On February 6, 2020, Lamar Media entered into a Fourth Amended and Restated Credit Agreement (the “Fourth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senior credit facility, as established by the Fourth Amended and Restated Credit Agreement (the “senior credit facility”), consists of (i) a new $750.0 million senior secured revolving credit facility which will mature on February 6, 2025 (the “revolving credit facility”), (ii) a new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7"/>
          <w:szCs w:val="17"/>
          <w:i w:val="1"/>
          <w:iCs w:val="1"/>
          <w:color w:val="auto"/>
        </w:rPr>
        <w:t>“Restrictions under Senior Credit Facility”</w:t>
      </w:r>
      <w:r>
        <w:rPr>
          <w:rFonts w:ascii="Arial" w:cs="Arial" w:eastAsia="Arial" w:hAnsi="Arial"/>
          <w:sz w:val="17"/>
          <w:szCs w:val="17"/>
          <w:color w:val="auto"/>
        </w:rPr>
        <w:t xml:space="preserve"> of 4.50 to 1.00, as well as certain other conditions including lender approval. Lamar Media borrowed all $600.0 million in Term B loans on February 6, 2020. The entire amount of the Term B loans will be payable at maturity. The net proceeds from the Term B loans, together with borrowing under the revolving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See </w:t>
      </w:r>
      <w:r>
        <w:rPr>
          <w:rFonts w:ascii="Arial" w:cs="Arial" w:eastAsia="Arial" w:hAnsi="Arial"/>
          <w:sz w:val="17"/>
          <w:szCs w:val="17"/>
          <w:i w:val="1"/>
          <w:iCs w:val="1"/>
          <w:color w:val="auto"/>
        </w:rPr>
        <w:t>Uses of Cash</w:t>
      </w:r>
      <w:r>
        <w:rPr>
          <w:rFonts w:ascii="Arial" w:cs="Arial" w:eastAsia="Arial" w:hAnsi="Arial"/>
          <w:sz w:val="17"/>
          <w:szCs w:val="17"/>
          <w:color w:val="auto"/>
        </w:rPr>
        <w:t xml:space="preserve"> for more information.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the aggregate balance outstanding under the senior credit facility was $600.0 million, consisting of $600.0 million in Term B loans aggregate principal balance and no balance outstanding under our revolving credit facility loans. Lamar Media had approximately $737.2 million of unused capacity under the revolving credit facility. The Company recorded a loss on debt extinguishment of approximately $5.6 million related to the refinancing of its senior credit facility.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Note Offerings. </w:t>
      </w:r>
      <w:r>
        <w:rPr>
          <w:rFonts w:ascii="Arial" w:cs="Arial" w:eastAsia="Arial" w:hAnsi="Arial"/>
          <w:sz w:val="17"/>
          <w:szCs w:val="17"/>
          <w:color w:val="auto"/>
        </w:rPr>
        <w:t>On February 6, 2020, Lamar Media issued, through an institutional private placement, $1.0 billion in aggregate principal amount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senior notes consisting of $600.0 million in aggregate principal amount of 3 3/4% Senior Notes due 2028 (the “3 3/4% Senior Notes”) and $400.0 million in aggregate principal amount of 4% Senior Notes due 2030 (the “4% Senior Notes”). Lamar Media used the proceeds of this offering to repay its existing Term A loans, redeem in full all $510.0 million in aggregate principal amount of its outstanding 5 3/8% Senior Notes due 2024 and partially repay borrowings under its revolving credit facility. The Company recorded a loss on debt extinguishment of approximately $12.6 million, of which $9.1 million was cash related to its redemption of the 5 3/8% Senior Notes. See </w:t>
      </w:r>
      <w:r>
        <w:rPr>
          <w:rFonts w:ascii="Arial" w:cs="Arial" w:eastAsia="Arial" w:hAnsi="Arial"/>
          <w:sz w:val="17"/>
          <w:szCs w:val="17"/>
          <w:i w:val="1"/>
          <w:iCs w:val="1"/>
          <w:color w:val="auto"/>
        </w:rPr>
        <w:t>Uses of Cash-Note Redemption</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13, 2020, Lamar Media issued, through an institutional private placement, $400.0 million in aggregate principal amount of 4 7/8% Senior Notes due 2029 (the “4 7/8% Senior Notes”). The issuance of the 4 7/8% Senior Notes resulted in net proceeds to Lamar Media of approximately $395.0 million. Lamar Media used the proceeds of this offering to repay outstanding borrowings under its revolving credit facility and for general corporate purposes.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internally generated cash flow are general economic conditions, specific economic conditions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where the Company conducts its business and overall spending on advertising by advertisers. As a result of COVID-19, we incurred an adverse effect on our internally generated cash flows for the quarter ended June 30, 2020, and while we are uncertain of the severity and duration of the decline, we are anticipating an economic rebound in the second half of 2020 and into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its outstanding debt securities and its Accounts Receivable Securitization Program.</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The Company and Lamar Media must comply with certain covenants and restrictions related to its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Currently, Lamar Media has outstanding the $535.0 million 5% Senior Subordinated Notes issued in October 2012 (the “5% Senior Subordinated Notes”), the $650.0 million 5 3/4% Senior Notes issued in January 2016 and February 2019 (the “5 3/4% Senior Notes”), the $600.0 million 3 3/4% Senior Notes issued February 2020, the $400.0 million 4% Senior Notes issued February 2020 and the $400.0 million 4 7/8% Senior Notes issued in May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debt incurred under the provisions described in the preceding paragraph, the indentures relating to Lamar Media’s outstanding notes permit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Media to incur indebtedness pursuant to the following baskets:</w:t>
      </w:r>
    </w:p>
    <w:p>
      <w:pPr>
        <w:spacing w:after="0" w:line="103" w:lineRule="exact"/>
        <w:rPr>
          <w:sz w:val="20"/>
          <w:szCs w:val="20"/>
          <w:color w:val="auto"/>
        </w:rPr>
      </w:pPr>
    </w:p>
    <w:p>
      <w:pPr>
        <w:ind w:left="10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 to $1.5 billion (or up to $2.0 billion in the case of the indentures governing the 3 3/4% Senior Notes, the 4% Senior Notes and the 4 7/8% Senior Notes) of indebtedness under the senior credit facility;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 to $500.0 million of permitted securitization financings, in the case of the indentures governing the 3 3/4% Senior Notes, the 4% Senior Notes and the 4 7/8% Senior Notes.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June 30, 2020 and currently, we are in compliance with all such tests under the senior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8"/>
          <w:szCs w:val="18"/>
          <w:i w:val="1"/>
          <w:iCs w:val="1"/>
          <w:color w:val="auto"/>
        </w:rPr>
        <w:t>Sources</w:t>
      </w:r>
      <w:r>
        <w:rPr>
          <w:rFonts w:ascii="Arial" w:cs="Arial" w:eastAsia="Arial" w:hAnsi="Arial"/>
          <w:sz w:val="18"/>
          <w:szCs w:val="18"/>
          <w:color w:val="auto"/>
        </w:rPr>
        <w:t xml:space="preserve"> </w:t>
      </w:r>
      <w:r>
        <w:rPr>
          <w:rFonts w:ascii="Arial" w:cs="Arial" w:eastAsia="Arial" w:hAnsi="Arial"/>
          <w:sz w:val="18"/>
          <w:szCs w:val="18"/>
          <w:i w:val="1"/>
          <w:iCs w:val="1"/>
          <w:color w:val="auto"/>
        </w:rPr>
        <w:t>of Cash – Accounts Receivable Securitization Program</w:t>
      </w:r>
      <w:r>
        <w:rPr>
          <w:rFonts w:ascii="Arial" w:cs="Arial" w:eastAsia="Arial" w:hAnsi="Arial"/>
          <w:sz w:val="18"/>
          <w:szCs w:val="18"/>
          <w:color w:val="auto"/>
        </w:rPr>
        <w:t>)) to EBITDA, as defined below, for the period of four consecutive fiscal quarters then ended,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or equal to 4.5 to 1.0.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Lamar Media is also restricted from incurring additional unsecured senior indebtedness under certain circumstances unless, after giving effect to the incurrence of such indebtedness, it is in compliance with the secured debt ratio covenant and if,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spacing w:after="0" w:line="291" w:lineRule="auto"/>
        <w:rPr>
          <w:sz w:val="20"/>
          <w:szCs w:val="20"/>
          <w:color w:val="auto"/>
        </w:rPr>
      </w:pPr>
      <w:r>
        <w:rPr>
          <w:rFonts w:ascii="Arial" w:cs="Arial" w:eastAsia="Arial" w:hAnsi="Arial"/>
          <w:sz w:val="16"/>
          <w:szCs w:val="16"/>
          <w:color w:val="auto"/>
        </w:rPr>
        <w:t>Under the senior credit facility, “EBITDA” means, for any period, operating income for Lamar Advertising, Lamar Media and its restricted subsidiaries (determined on a consolidated basis without duplication in accordance with GAAP) for such period (calculated (A) before (i) taxes, (ii) interest expense,</w:t>
      </w:r>
    </w:p>
    <w:p>
      <w:pPr>
        <w:jc w:val="both"/>
        <w:ind w:firstLine="8"/>
        <w:spacing w:after="0" w:line="284" w:lineRule="auto"/>
        <w:tabs>
          <w:tab w:leader="none" w:pos="3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and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and (B) after giving effect to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w:t>
      </w:r>
      <w:r>
        <w:rPr>
          <w:rFonts w:ascii="Arial" w:cs="Arial" w:eastAsia="Arial" w:hAnsi="Arial"/>
          <w:sz w:val="16"/>
          <w:szCs w:val="16"/>
          <w:u w:val="single" w:color="auto"/>
          <w:color w:val="auto"/>
        </w:rPr>
        <w:t>provided</w:t>
      </w:r>
      <w:r>
        <w:rPr>
          <w:rFonts w:ascii="Arial" w:cs="Arial" w:eastAsia="Arial" w:hAnsi="Arial"/>
          <w:sz w:val="16"/>
          <w:szCs w:val="16"/>
          <w:color w:val="auto"/>
          <w:highlight w:val="white"/>
        </w:rPr>
        <w:t>, (a) the aggregate amount for all</w:t>
      </w:r>
      <w:r>
        <w:rPr>
          <w:rFonts w:ascii="Arial" w:cs="Arial" w:eastAsia="Arial" w:hAnsi="Arial"/>
          <w:sz w:val="16"/>
          <w:szCs w:val="16"/>
          <w:color w:val="auto"/>
        </w:rPr>
        <w:t xml:space="preserve"> such cost savings, operating expense reductions and other operating improvements or synergies will not exceed an amount equal to 15% of EBITDA for the applicable four quarter period and (b) any such adjustment to EBITDA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and excluding (except to the extent received or paid in cash by Lamar Advertising, Lamar Media or any of its restricted subsidiaries (other than the special purpose subsidiaries) income or loss attributable to equity in affiliates for such period), excluding any extraordinary and unusual gains or losses during such period, and excluding the proceeds of any casualty events and dispositions. For purposes hereof,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3.5 to 1.0 required under Lamar Media’s senior credit facility.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Capital expenditures, excluding acquisitions were approximately $36.3 million for the six months ended June 30, 2020.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impacts of COVID-19 we have updated our anticipated 2020 total capital expenditures to be approximately $58.0 million.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six months ended June 30, 2020, the Company completed acquisitions for an aggregate purchase price of approximately $26.2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were financed using available cash on hand or borrowings under its revolving credit facility. Due to the economic impacts of COVID-19 we are limiting our acquisition activity.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Note Redemption. </w:t>
      </w:r>
      <w:r>
        <w:rPr>
          <w:rFonts w:ascii="Arial" w:cs="Arial" w:eastAsia="Arial" w:hAnsi="Arial"/>
          <w:sz w:val="18"/>
          <w:szCs w:val="18"/>
          <w:color w:val="auto"/>
        </w:rPr>
        <w:t>On July 30, 2020, the Company announced its intent to redeem $267.5 million in aggregate principal amount of its outstanding 5%</w:t>
      </w:r>
      <w:r>
        <w:rPr>
          <w:rFonts w:ascii="Arial" w:cs="Arial" w:eastAsia="Arial" w:hAnsi="Arial"/>
          <w:sz w:val="18"/>
          <w:szCs w:val="18"/>
          <w:i w:val="1"/>
          <w:iCs w:val="1"/>
          <w:color w:val="auto"/>
        </w:rPr>
        <w:t xml:space="preserve"> </w:t>
      </w:r>
      <w:r>
        <w:rPr>
          <w:rFonts w:ascii="Arial" w:cs="Arial" w:eastAsia="Arial" w:hAnsi="Arial"/>
          <w:sz w:val="18"/>
          <w:szCs w:val="18"/>
          <w:color w:val="auto"/>
        </w:rPr>
        <w:t>Senior Subordinated Notes due 2023 (the “5% Notes”) on August 31, 2020. Following the redemption, $267.5 million of the original $535.0 million in aggregate principal amount of the 5% Notes will remain outstanding. The redemption will be funded with a combination of cash on hand and availability under our Accounts Receivable Securitization Program.</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February 20, 2020, the Company used a portion of the proceeds from the 3 3/4% Senior Notes and 4% Senior Notes to redeem in full all $510.0 million in aggregate principal amount of Lamar Media’s 5 3/8% Senior Notes. The notes were redeemed at a redemption price equal to 101.792% of the aggregate principal amount of the outstanding notes, plus accrued and unpaid interest up to the redemption date. The Company recorded a loss on debt extinguishment of approximately $12.6 million related to the note redemption. See </w:t>
      </w:r>
      <w:r>
        <w:rPr>
          <w:rFonts w:ascii="Arial" w:cs="Arial" w:eastAsia="Arial" w:hAnsi="Arial"/>
          <w:sz w:val="17"/>
          <w:szCs w:val="17"/>
          <w:i w:val="1"/>
          <w:iCs w:val="1"/>
          <w:color w:val="auto"/>
        </w:rPr>
        <w:t>Sources of Cash-Note Offerings</w:t>
      </w:r>
      <w:r>
        <w:rPr>
          <w:rFonts w:ascii="Arial" w:cs="Arial" w:eastAsia="Arial" w:hAnsi="Arial"/>
          <w:sz w:val="17"/>
          <w:szCs w:val="17"/>
          <w:color w:val="auto"/>
        </w:rPr>
        <w:t xml:space="preserve"> for more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jc w:val="both"/>
        <w:spacing w:after="0" w:line="270" w:lineRule="auto"/>
        <w:rPr>
          <w:sz w:val="20"/>
          <w:szCs w:val="20"/>
          <w:color w:val="auto"/>
        </w:rPr>
      </w:pPr>
      <w:r>
        <w:rPr>
          <w:rFonts w:ascii="Arial" w:cs="Arial" w:eastAsia="Arial" w:hAnsi="Arial"/>
          <w:sz w:val="17"/>
          <w:szCs w:val="17"/>
          <w:i w:val="1"/>
          <w:iCs w:val="1"/>
          <w:color w:val="auto"/>
        </w:rPr>
        <w:t xml:space="preserve">Senior Credit facility. </w:t>
      </w:r>
      <w:r>
        <w:rPr>
          <w:rFonts w:ascii="Arial" w:cs="Arial" w:eastAsia="Arial" w:hAnsi="Arial"/>
          <w:sz w:val="17"/>
          <w:szCs w:val="17"/>
          <w:color w:val="auto"/>
        </w:rPr>
        <w:t>The Term B loans mature on February 6, 2027 and there are no required amortization payments related to the Term B loans.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 B loans bear interest at rates based on the Adjusted LIBO Rate (“Eurodollar term loans”) or the Adjusted Base Rate (“Base Rate term loans”), at Lamar Media’s option. Eurodollar Term B loans bear interest at a rate per annum equal to the Adjusted LIBO Rate plus 1.50%. Base Rate Term B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27, 2020, Lamar Advertising’s Board of Directors declared a quarterly cash dividend of $1.00 per share, paid on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to its stockholders of record of its Class A common stock and Class B common stock on March 16, 2020. On May 28, 2020, Lamar Advertising’s Board of Directors declared a quarterly cash dividend of $0.50 per share, paid on June 30, 2020 to its stockholders of record of its Class A common stock and Class B common stock on June 22, 2020. The Company’s Board of Directors will evaluate our future dividend plans on a quarterly basis, giving consideration to our liquidity, our leverage and the anticipated operating environment. We intend to distribute at least 90% of our REIT taxable income and remain REIT qualified.</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and other factors that the Board of Directors may deem relevant.</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Stock and Debt Repurchasing Program. </w:t>
      </w:r>
      <w:r>
        <w:rPr>
          <w:rFonts w:ascii="Arial" w:cs="Arial" w:eastAsia="Arial" w:hAnsi="Arial"/>
          <w:sz w:val="16"/>
          <w:szCs w:val="16"/>
          <w:color w:val="auto"/>
        </w:rPr>
        <w:t>On March 16, 2020, the Company’s Board of Directors authorized the repurchase of up to $250.0 million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The repurchase program will expire on September 30, 2021 unless extended by the Board of Directors. There were no repurchases under the program as of June 30, 2020. The Company’s management may opt not to make any repurchases under the program, or may make aggregate purchases less than the total amount authorized.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off-balance sheet commitments consist of guaranteed minimum payments to local transit municipalities and airport authorities for agreements which entitle us to rent advertising space to customers, in airports and on buses, benches or shelters. These agreements no longer meet the criteria of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adopted on January 1, 2019 and are a result of our normal course of business</w:t>
      </w:r>
      <w:r>
        <w:rPr>
          <w:rFonts w:ascii="Arial" w:cs="Arial" w:eastAsia="Arial" w:hAnsi="Arial"/>
          <w:sz w:val="18"/>
          <w:szCs w:val="18"/>
          <w:color w:val="212529"/>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2020, we had outstanding debt of approximately $3.156 billion. In the future, Lamar Media has principal revolver commitment reductions under the senior credit facility. In addition, it has fixed commercial commitments. These commitments are detailed on a contractual basis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Less Than</w:t>
            </w:r>
          </w:p>
        </w:tc>
        <w:tc>
          <w:tcPr>
            <w:tcW w:w="120" w:type="dxa"/>
            <w:vAlign w:val="bottom"/>
          </w:tcPr>
          <w:p>
            <w:pPr>
              <w:spacing w:after="0"/>
              <w:rPr>
                <w:sz w:val="11"/>
                <w:szCs w:val="11"/>
                <w:color w:val="auto"/>
              </w:rPr>
            </w:pPr>
          </w:p>
        </w:tc>
        <w:tc>
          <w:tcPr>
            <w:tcW w:w="9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9"/>
              </w:rPr>
              <w:t>1 - 3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1"/>
                <w:szCs w:val="11"/>
                <w:color w:val="auto"/>
              </w:rPr>
            </w:pPr>
          </w:p>
        </w:tc>
        <w:tc>
          <w:tcPr>
            <w:tcW w:w="8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5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Interest obligations on long term debt</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Billboard site and other operating leases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00" w:type="dxa"/>
            <w:vAlign w:val="bottom"/>
          </w:tcPr>
          <w:p>
            <w:pPr>
              <w:spacing w:after="0"/>
              <w:rPr>
                <w:sz w:val="20"/>
                <w:szCs w:val="20"/>
                <w:color w:val="auto"/>
              </w:rPr>
            </w:pPr>
            <w:r>
              <w:rPr>
                <w:rFonts w:ascii="Arial" w:cs="Arial" w:eastAsia="Arial" w:hAnsi="Arial"/>
                <w:sz w:val="18"/>
                <w:szCs w:val="18"/>
                <w:color w:val="auto"/>
              </w:rPr>
              <w:t>Total payments due</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5,794.8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389.4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681.3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1,064.4</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540" w:right="4380" w:hanging="5532"/>
        <w:spacing w:after="0" w:line="527" w:lineRule="auto"/>
        <w:tabs>
          <w:tab w:leader="none" w:pos="513" w:val="left"/>
        </w:tabs>
        <w:numPr>
          <w:ilvl w:val="0"/>
          <w:numId w:val="35"/>
        </w:numPr>
        <w:rPr>
          <w:rFonts w:ascii="Arial" w:cs="Arial" w:eastAsia="Arial" w:hAnsi="Arial"/>
          <w:sz w:val="15"/>
          <w:szCs w:val="15"/>
          <w:color w:val="auto"/>
        </w:rPr>
      </w:pPr>
      <w:r>
        <w:rPr>
          <w:rFonts w:ascii="Arial" w:cs="Arial" w:eastAsia="Arial" w:hAnsi="Arial"/>
          <w:sz w:val="18"/>
          <w:szCs w:val="18"/>
          <w:color w:val="auto"/>
        </w:rPr>
        <w:t>Interest rates on our variable rate instruments are assuming rates at the June 2020 levels.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9"/>
              </w:rPr>
              <w:t>Total 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w w:val="94"/>
              </w:rPr>
              <w:t>Amount of Expiration Per Period</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Other Commercial Commitments</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w w:val="93"/>
              </w:rPr>
              <w:t>Less Than 1</w:t>
            </w:r>
          </w:p>
        </w:tc>
        <w:tc>
          <w:tcPr>
            <w:tcW w:w="200" w:type="dxa"/>
            <w:vAlign w:val="bottom"/>
          </w:tcPr>
          <w:p>
            <w:pPr>
              <w:spacing w:after="0"/>
              <w:rPr>
                <w:sz w:val="11"/>
                <w:szCs w:val="11"/>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1 - 3 Years</w:t>
            </w:r>
          </w:p>
        </w:tc>
        <w:tc>
          <w:tcPr>
            <w:tcW w:w="260" w:type="dxa"/>
            <w:vAlign w:val="bottom"/>
          </w:tcPr>
          <w:p>
            <w:pPr>
              <w:spacing w:after="0"/>
              <w:rPr>
                <w:sz w:val="11"/>
                <w:szCs w:val="11"/>
                <w:color w:val="auto"/>
              </w:rPr>
            </w:pPr>
          </w:p>
        </w:tc>
        <w:tc>
          <w:tcPr>
            <w:tcW w:w="9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4"/>
              </w:rPr>
              <w:t>3 - 5 Years</w:t>
            </w:r>
          </w:p>
        </w:tc>
        <w:tc>
          <w:tcPr>
            <w:tcW w:w="300" w:type="dxa"/>
            <w:vAlign w:val="bottom"/>
          </w:tcPr>
          <w:p>
            <w:pPr>
              <w:spacing w:after="0"/>
              <w:rPr>
                <w:sz w:val="11"/>
                <w:szCs w:val="11"/>
                <w:color w:val="auto"/>
              </w:rPr>
            </w:pPr>
          </w:p>
        </w:tc>
        <w:tc>
          <w:tcPr>
            <w:tcW w:w="84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Committed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5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15"/>
                <w:szCs w:val="15"/>
                <w:color w:val="auto"/>
              </w:rPr>
              <w:t>(2)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750.0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Standby Letters of Credit</w:t>
            </w:r>
            <w:r>
              <w:rPr>
                <w:rFonts w:ascii="Arial" w:cs="Arial" w:eastAsia="Arial" w:hAnsi="Arial"/>
                <w:sz w:val="15"/>
                <w:szCs w:val="15"/>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5"/>
          <w:szCs w:val="15"/>
          <w:color w:val="auto"/>
        </w:rPr>
      </w:pPr>
      <w:r>
        <w:rPr>
          <w:rFonts w:ascii="Arial" w:cs="Arial" w:eastAsia="Arial" w:hAnsi="Arial"/>
          <w:sz w:val="18"/>
          <w:szCs w:val="18"/>
          <w:color w:val="auto"/>
        </w:rPr>
        <w:t>Lamar Media had no amounts outstanding under the revolving credit facility as of June 30, 2020.</w:t>
      </w:r>
    </w:p>
    <w:p>
      <w:pPr>
        <w:spacing w:after="0" w:line="117" w:lineRule="exact"/>
        <w:rPr>
          <w:rFonts w:ascii="Arial" w:cs="Arial" w:eastAsia="Arial" w:hAnsi="Arial"/>
          <w:sz w:val="15"/>
          <w:szCs w:val="15"/>
          <w:color w:val="auto"/>
        </w:rPr>
      </w:pPr>
    </w:p>
    <w:p>
      <w:pPr>
        <w:ind w:left="500" w:hanging="492"/>
        <w:spacing w:after="0"/>
        <w:tabs>
          <w:tab w:leader="none" w:pos="500" w:val="left"/>
        </w:tabs>
        <w:numPr>
          <w:ilvl w:val="0"/>
          <w:numId w:val="36"/>
        </w:numPr>
        <w:rPr>
          <w:rFonts w:ascii="Arial" w:cs="Arial" w:eastAsia="Arial" w:hAnsi="Arial"/>
          <w:sz w:val="15"/>
          <w:szCs w:val="15"/>
          <w:color w:val="auto"/>
        </w:rPr>
      </w:pPr>
      <w:r>
        <w:rPr>
          <w:rFonts w:ascii="Arial" w:cs="Arial" w:eastAsia="Arial" w:hAnsi="Arial"/>
          <w:sz w:val="18"/>
          <w:szCs w:val="18"/>
          <w:color w:val="auto"/>
        </w:rPr>
        <w:t>The standby letters of credit are issued under the revolving credit facility and reduce the availability of the facility by the same amount.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discussion and analysis of our results of operations and liquidity and capital resources are based on our condensed consolidated financial statements, which have been prepared in accordance with GAAP. The presentation of these financial statements requires us to make estimates and judgements that affect the reported amounts of assets, liabilities, revenues and expenses. There have been no material changes to the critical accounting policies and estimates as previously disclosed in Item 7 of our 2019 Combined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established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by issuing Accounting Standards Update (ASU) No. 2016-02, which requires lessees to recognize leases on-balance sheet and disclose key information about leasing arrangements. Topic 842 was subsequently amended by ASU No. 2018-01, </w:t>
      </w:r>
      <w:r>
        <w:rPr>
          <w:rFonts w:ascii="Arial" w:cs="Arial" w:eastAsia="Arial" w:hAnsi="Arial"/>
          <w:sz w:val="17"/>
          <w:szCs w:val="17"/>
          <w:i w:val="1"/>
          <w:iCs w:val="1"/>
          <w:color w:val="auto"/>
        </w:rPr>
        <w:t>Land Easement Practical Expedient for Transition to Topic 842</w:t>
      </w:r>
      <w:r>
        <w:rPr>
          <w:rFonts w:ascii="Arial" w:cs="Arial" w:eastAsia="Arial" w:hAnsi="Arial"/>
          <w:sz w:val="17"/>
          <w:szCs w:val="17"/>
          <w:color w:val="auto"/>
        </w:rPr>
        <w:t>; ASU No. 2018-10 and ASU No. 2019-01,</w:t>
      </w:r>
      <w:r>
        <w:rPr>
          <w:rFonts w:ascii="Arial" w:cs="Arial" w:eastAsia="Arial" w:hAnsi="Arial"/>
          <w:sz w:val="17"/>
          <w:szCs w:val="17"/>
          <w:i w:val="1"/>
          <w:iCs w:val="1"/>
          <w:color w:val="auto"/>
        </w:rPr>
        <w:t xml:space="preserve"> Codification Improvements to Topic 842</w:t>
      </w:r>
      <w:r>
        <w:rPr>
          <w:rFonts w:ascii="Arial" w:cs="Arial" w:eastAsia="Arial" w:hAnsi="Arial"/>
          <w:sz w:val="17"/>
          <w:szCs w:val="17"/>
          <w:color w:val="auto"/>
        </w:rPr>
        <w:t>,</w:t>
      </w:r>
      <w:r>
        <w:rPr>
          <w:rFonts w:ascii="Arial" w:cs="Arial" w:eastAsia="Arial" w:hAnsi="Arial"/>
          <w:sz w:val="17"/>
          <w:szCs w:val="17"/>
          <w:i w:val="1"/>
          <w:iCs w:val="1"/>
          <w:color w:val="auto"/>
        </w:rPr>
        <w:t xml:space="preserve"> Leases</w:t>
      </w:r>
      <w:r>
        <w:rPr>
          <w:rFonts w:ascii="Arial" w:cs="Arial" w:eastAsia="Arial" w:hAnsi="Arial"/>
          <w:sz w:val="17"/>
          <w:szCs w:val="17"/>
          <w:color w:val="auto"/>
        </w:rPr>
        <w:t>; and ASU No. 2018-11,</w:t>
      </w:r>
      <w:r>
        <w:rPr>
          <w:rFonts w:ascii="Arial" w:cs="Arial" w:eastAsia="Arial" w:hAnsi="Arial"/>
          <w:sz w:val="17"/>
          <w:szCs w:val="17"/>
          <w:i w:val="1"/>
          <w:iCs w:val="1"/>
          <w:color w:val="auto"/>
        </w:rPr>
        <w:t xml:space="preserve"> Targeted Improvements</w:t>
      </w:r>
      <w:r>
        <w:rPr>
          <w:rFonts w:ascii="Arial" w:cs="Arial" w:eastAsia="Arial" w:hAnsi="Arial"/>
          <w:sz w:val="17"/>
          <w:szCs w:val="17"/>
          <w:color w:val="auto"/>
        </w:rPr>
        <w:t>. The new standard establishes a right of use model (ROU) that requires a lessee to recognize an</w:t>
      </w:r>
      <w:r>
        <w:rPr>
          <w:rFonts w:ascii="Arial" w:cs="Arial" w:eastAsia="Arial" w:hAnsi="Arial"/>
          <w:sz w:val="17"/>
          <w:szCs w:val="17"/>
          <w:i w:val="1"/>
          <w:iCs w:val="1"/>
          <w:color w:val="auto"/>
        </w:rPr>
        <w:t xml:space="preserve"> </w:t>
      </w:r>
      <w:r>
        <w:rPr>
          <w:rFonts w:ascii="Arial" w:cs="Arial" w:eastAsia="Arial" w:hAnsi="Arial"/>
          <w:sz w:val="17"/>
          <w:szCs w:val="17"/>
          <w:color w:val="auto"/>
        </w:rPr>
        <w:t>ROU asset and lease liability on the balance sheet for all leases with a term longer than twelve months. Leases are classified as finance or operating, with classification affecting the pattern and classification of expense recognition in the income statement.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adopted the new standard effective January 1, 2019 using a modified retrospective transition approach, applying the new standard to all leases existing at the date of initial application. An entity was permitted to use either (1) its effective date or (2) the beginning of the earliest comparative period presented in the financial statements as its date of initial application. If an entity chooses the second option, the transition requirements for existing leases also apply to leases entered into between the date of initial application and the effective date. The entity must also recast its comparative period financial statements and provide the disclosures required by the new standard for the comparative periods. Consequently, financial information was not updated and the disclosures required under the new standard will not be provided for dates and periods before January 1, 2019.</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standard provided a number of optional practical expedients in transition. We elected the ‘package of practical expedients’, which permitted us not to reassess under the new standard our prior conclusions about lease identification, lease classification and initial direct costs. We elected the practical expedient pertaining to land easements. We also elected the short-term lease recognition exemption for certain of our vehicle agreements. This means, for those leases that qualify, we will not recognize ROU assets or lease liabilities.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adoption, we recognized additional operating liabilities of $1.2 billion, with corresponding ROU assets of the same amount based on the present value of the remaining minimum rental payments under current leasing standards for our existing operating leases. The Company did not have any changes to its opening balance of retained earnings for the adoption of this update.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recently released pronouncements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 Measurement of Credit Losses on Financial Instruments, and additional changes modifications, clarifications, or interpretations related to this guidance thereafter, which require a reporting entity to estimate credit losses on certain types of financial instruments, and present assets held at amortized cost and available-for-sale debt securities at the amount expected to be collected. The new guidance is effective for annual and interim periods beginning after December 15, 2019, and early adoption is permitted. The Company’s adoption of this update did not have a material impact on our Consolidated Financial Statements. As of June 30, 2020, our allowance for credit losses considered the current and future impacts caused by the COVID-19 pandemic, based on available information to date. The Company will continue to actively monitor the impact of COVID-19 on expected credit losses.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Lamar Media for the six and three months ended June 30, 2020 and 2019. This discussion should be read in conjunction with the consolidated financial statements of Lamar Media and the related notes thereto.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revenues decreased $79.0 million or 9.5% to $754.2 million for the six months ended June 30, 2020 from $833.2 million for the same period in 2019. This decrease was primarily attributable to a decrease in billboard and transit net revenues of $62.6 million and $17.1 million, respectively, over the same period in 2019, which related to the ongoing pandemic. The decrease was offset slightly by an increase of $0.7 million in logo revenue.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2020, there was an $89.2 million decrease in net revenues as compared to acquisition-adjusted net revenue for the six months ended June 30, 2019, which represents a decrease of 10.6%. See “Reconciliations” below. The $89.2 million decrease in revenue is primarily due to a $73.3 and $16.6 million decrease in billboard and transit net revenues, respectively, which are due to the effects of the ongoing pandemic. The decreases in outdoor and transit revenues were slightly offset by an increase of $0.7 million in logo revenue.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decreased $11.9 million, or 2.5% to $468.2 million for the six months ended June 30, 2020 from $480.1 million in the same period in 2019. The $11.9 million decrease over the prior year is comprised of a $10.6 million decrease in total direct, general and administrative and corporate expenses (excluding stock-based compensation) primarily related to the operations of our outdoor advertising assets, as well as a $1.3 million decrease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$3.1 million to $126.3 million for the six months ended June 30, 2020 as compared to $123.2 million for the same period in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2020, Lamar Media recognized a gain on disposition of assets of $3.5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$71.8 million to $163.3 million for the six months ended June 30, 2020 as compared to $235.1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recognized a loss on debt extinguishment of $18.2 million during the six months ended June 30, 2020, which relates to the early repayment of our 5 3/8% Senior Notes and refinancing of our senior credit facility.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$3.9 million for the six months ended June 30, 2020 to $72.0 million as compared to $75.9 million for the six months ended June 30,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operating income, offset by the decrease in interest expense resulted in an $86.1 million decrease in net income before income taxes. The effective tax rate for the six months ended June 30, 2020 was 1.8%,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six months ended June 30, 2020 of $72.2 million, as compared to net income of $169.8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six months ended June 30, 2019 by adding to or subtracting from it the net revenue generated by the acquired or divested assets prior to our acquisition or divestiture of these assets for the same time frame that those assets were owned in the six months ended June 30,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2019 reported net revenue to 2019 acquisition-adjusted net revenue for the six months ended June 30, as well as a comparison of 2019 acquisition-adjusted net revenue to 2020 reported net revenue for the six months ended June 30, are provided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Six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3"/>
          </w:tcPr>
          <w:p>
            <w:pPr>
              <w:jc w:val="right"/>
              <w:ind w:right="474"/>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754,221</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833,199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754,221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843,408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Increase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89"/>
              </w:rPr>
              <w:t>(Decrease)</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8"/>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169,847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(97,696)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(10,292)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18,184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75,532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(3,519)</w:t>
            </w:r>
          </w:p>
        </w:tc>
        <w:tc>
          <w:tcPr>
            <w:tcW w:w="2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126,311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123,199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3,112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(8,304)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9,340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293,242</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354,257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(61,015)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six months ended June 30, 2020 decreased 17.2% to $293.2 million. The decrease in adjusted EBITDA was primarily attributable to a decrease in our gross margin (net revenue less direct advertising expense, exclusive of depreciation and amortization, capitalized contract fulfillment costs, net and the impact of ASC 842 adoption) of $68.3 million, and was offset by a decrease in total general and administrative and corporate expenses of $7.2 million, excluding the impact of stock-based compensation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6"/>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(97,696)</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120,453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116,178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 net of tax</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(3,098)</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(4,884)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(17,031)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3"/>
        </w:trPr>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189,895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264,464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(74,569)</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(28.2)%</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Straight line expense (income)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(1,930)</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(8,304)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(1,344)</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(1,313)</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(3,223)</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(1,163)</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18,184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18,184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(14,492)</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(23,396)</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for the six months ended June 30, 2020 decreased from $264.5 million in 2019 to $189.9 million for the same period in 2020, a decrease of 28.2%. AFFO for the six months ended June 30, 2020 decreased 17.2% to $209.6 million as compared to $253.2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the total of general and administrative and corporate expenses (excluding the effect of stock-based compensation expense).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decreased $101.1 million or 22.5% to $347.7 million for the three months ended June 30, 2020 from $448.7 million for the same period in 2019. This decrease was primarily attributable to a decrease in billboard and transit net revenues of $81.7 million and $18.6 million, respectively, over the same period in 2019, which related to the ongoing pandemic.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2020, there was a $106.2 million decrease in net revenues as compared to acquisition-adjusted net revenue for the three months ended June 30, 2019, which represents a decrease of 23.4%. See “Reconciliations” below. The $106.2 million decrease in revenue is primarily due to an $87.0 million and $18.4 million decrease in billboard and transit net revenues, respectively, and are a result of the effects due to the ongoing pandemic.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loss (gain) on disposition of assets, decreased $25.3 million, or 10.4% to $218.1 million for the three months ended June 30, 2020 from $243.4 million in the same period in 2019. The $25.3 million decrease over the prior year is comprised of a $22.7 million decrease in total direct, general and administrative and corporate expenses (excluding stock-based compensation) primarily related to the operations of our outdoor advertising assets, as well as a $2.5 million decrease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$2.3 million to $64.0 million for the three months ended June 30, 2020 as compared to $61.7 million for the same period in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June 30, 2020, Lamar Media recognized a gain on disposition of assets of $1.0 million primarily resulting from transactions related to billboard locations.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Due to the above factors, operating income decreased by $77.6 million to $66.6 million for the three months ended June 30, 2020 as compared to $144.2 million for the same period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$2.9 million for the three months ended June 30, 2020 to $35.4 million as compared to $38.3 million for the three months ended June 30,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operating income, offset by the decrease in interest expense resulted in a $74.8 million decrease in net income before income taxes. The effective tax rate for the three months ended June 30, 2020 was (0.8)%,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three months ended June 30, 2020 of $31.5 million, as compared to net income of $118.5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2018 (the “acquired assets”) have contributed to our net revenue results for the periods presented, we provide 2019 acquisition-adjusted net revenue, which adjusts our 2019 net revenue for the three months ended June 30, 2019 by adding to or subtracting from it the net revenue generated by the acquired or divested assets prior to our acquisition or divestiture of these assets for the same time frame that those assets were owned in the three months ended June 30,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2019 reported net revenue to 2019 acquisition-adjusted net revenue for the three months ended June 30, as well as a comparison of 2019 acquisition-adjusted net revenue to 2020 reported net revenue for the three months ended June 30, are provided below:</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30"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3"/>
          </w:tcPr>
          <w:p>
            <w:pPr>
              <w:jc w:val="right"/>
              <w:ind w:right="475"/>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6"/>
          </w:tcPr>
          <w:p>
            <w:pPr>
              <w:ind w:left="28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347,652</w:t>
            </w:r>
          </w:p>
        </w:tc>
        <w:tc>
          <w:tcPr>
            <w:tcW w:w="16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448,742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Acquisition net revenue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347,652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453,817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1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Increase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2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9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8"/>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gridSpan w:val="2"/>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118,485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(86,951)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benefit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(12,380)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12,140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38,090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(1,015)</w:t>
            </w:r>
          </w:p>
        </w:tc>
        <w:tc>
          <w:tcPr>
            <w:tcW w:w="2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63,998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61,693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2,305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9"/>
              </w:rPr>
              <w:t>Impact of ASC 842 adoption (lease accounting standard)</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Capitalized contract fulfillment costs,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(3,609)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4,645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133,301</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208,024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(74,723)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(35.9)%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51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Adjusted EBITDA for the three months ended June 30, 2020 decreased 35.9% to $133.3 million. The decrease in adjusted EBITDA was primarily attributable to a decrease in our gross margin (net revenue less direct advertising expense, exclusive of depreciation and amortization, capitalized contract fulfillment costs, net and the impact of ASC 842 adoption) of $85.1 million, and was offset by an decrease in total general and administrative and corporate expenses of $10.4 million, excluding the impact of stock-based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r>
      <w:tr>
        <w:trPr>
          <w:trHeight w:val="156"/>
        </w:trPr>
        <w:tc>
          <w:tcPr>
            <w:tcW w:w="5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118,485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(86,951)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(73.4)%</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61,089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from sale or disposal of real estate, net of tax</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(555)</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(145)</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Non-cash tax benefit for REIT converted assets</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(17,031)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23"/>
        </w:trPr>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92,208</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159,378</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(67,170)</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(42.1)%</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Straight line expense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Impact of ASC 842 adoption (lease accounting standard)</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Capitalized contract fulfillment costs, net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(3,609)</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(2,548)</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(2,012)</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 maintenance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(3,863)</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(13,689)</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AFFO</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(37.6)%</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for the three months ended June 30, 2020 decreased from $159.4 million in 2019 to $92.2 million for the same period in 2020, a decrease of 42.1%. AFFO for the three months ended June 30, 2020 decreased 37.6% to $96.2 million as compared to $154.2 million for the same period in 2019. The decrease in AFFO was primarily attributable to the decrease in our gross margin (net revenue less direct advertising expense, exclusive of depreciation and amortization, capitalized contract fulfillment costs, net and the impact of ASC 842 adoption) offset by decreases in the total of general and administrative and corporate expenses (excluding the effect of stock-based compensation expense).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Lamar Advertising Company and Lamar Media Corp.</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June 30, 2020, and should be read in conjunction with Note 10 of the Notes to the Company’s Condensed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2020 there was approximately $598.3 million of indebtedness outstanding under the senior credit facility and its Accounts Receivable Securitization Program, or approximately 18.7% of the Company’s outstanding long-term debt on that date, bearing interest at variable rates. The aggregate interest expense for 2020 with respect to borrowings under the senior credit facility and the Accounts Receivable Securitization Program was $13.9 million, and the weighted average interest rate applicable to these borrowings during 2020 was 2.6%. Assuming that the weighted average interest rate was 200 basis points higher (that is 4.6% rather than 2.6%), then the Company’s 2020 interest expense would have increased by approximately $10.4 million for the six months ended June 30, 2020.</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attempted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72"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combined Annual Report on Form 10-K for the year ended December 31, 2019, which could adversely affect our business, financial condition, results of operations, cash flows, and the trading price of our Class A common stock. Except as stated below, there have been no material changes to our risk factors since our combined Annual Report on Form 10-K for the year ended December 31, 2019.</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Pandemics or disease outbreaks, such as COVID-19, have and are expected to continue to materially affect our business, results of operations and financial condition.</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outbreaks of contagious diseases and other adverse public health developments could have a significant adverse effect on our business, results of operations and financial condition. The recent outbreak of COVID-19 has resulted in the implementation of significant governmental measures to control the spread of the virus, including quarantines, travel restrictions, business shutdowns and restrictions on non-essential activities in the United States and abroad. Such restrictions have had an adverse impact on the volume of vehicles on roadways (particularly in larger markets), pedestrians in airports and riders on public transit, which has temporarily reduced the size of the audience for our advertising in certain jurisdictions. The restrictions have also negatively affected the financial condition of numerous advertising customer segments including, but not limited to, entertainment, retail, restaurant and automotive advertisers, which have temporarily closed or limited their operations, and caused certain of our advertisers to decrease or eliminate the amount they spend on advertising with us on a temporary basis.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business has been affected adversely due to decreased demand for its advertising in jurisdictions that have imposed such restrictions. In the United States, state and local governments have begun to lift certain of these restrictions in many locations, however, the extension of existing measures or implementation of new similar measures may further adversely affect the Company’s business in the future. Even if such measures are further relaxed, the perceived risk of infection may continue to alter the behavior of the audience for our advertising, which may continue to negatively affect the Company’s business. Such risks are also expected to continue to affect the financial condition of certain of our advertising customers, which may have a negative effect on the Company’s business if advertising customers continue to reduce advertising expenditures generally or for outdoor advertising specifically.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above, the general market volatility resulting from the COVID-19 pandemic has caused a decline in the Company’s stock price.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and other potential impacts of COVID-19 (or other epidemics, pandemics or other health crises) have and are expected to continue to adversely affect the Company’s business, financial condition and results of operations. The ultimate extent of the impact of COVID-19 or any epidemic, pandemic or other health crisis on our business, financial condition and results of operations will depend on future developments, which are highly uncertain and cannot be predicted, including new information that may emerge concerning the severity of COVID-19 and the actions taken to contain COVID-19 and address its impact, among others.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Prospective investors should consult with their tax advisors regarding the effects of the Tax Cuts and Jobs Act and the CARES Act.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22, 2017, President Trump signed into law H.R. 1, informally titled the Tax Cuts and Jobs Act (the “TCJA”). The TCJA made major changes to the Code, including a number of provisions of the Code that affect the taxation of REITs and their stockholders. Among the changes made by the TCJA are permanently reducing the generally applicable corporate tax rate, generally reducing the tax rate applicable to individuals and other non-corporate taxpayers for tax years beginning after December 31, 2017 and before January 1, 2026, eliminating or modifying certain previously allowed deductions (including substantially limiting interest deductibility and, for individuals, the deduction for non-business state and local taxes). On March 27, 2020, legislation intended to support the economy during the COVID-19 pandemic, the Coronavirus Aid, Relief, and Economic Security Act (the “CARES Act”), was signed into law. The CARES Act made technical corrections, or temporary modifications, to certain of the provisions of the TJCA, including, without limitation, the provisions of the TCJA concerning net operating losses (“NOLs”) and interest expense deductions. Certain CARES Act related interest expense deduction changes are discussed in the following subsection. With respect to NOLs, effective for taxable years beginning on or after January 1, 2018, the TCJA limited the deduction for NOL carryforwards to 80% of taxable income (before the deduction) and eliminated NOL carrybacks for individuals and non-REIT corporations (NOL carrybacks did not apply to REITs under prior law), but allows for indefinite NOL carryforwards. The CARES Act repealed such 80% limitation for carryforwards to taxable years beginning before January 1, 2021. The CARES Act also allows a five-year carryback for NOLs arising in 2018, 2019, or 2020. The TCJA’s NOL limitations (even as modified by the CARES Act) may result in Lamar Advertising having to make additional distributions in order to comply with REIT distribution requirements or avoid taxes on retained income and gains.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The individual and collective impact of the changes made by the TCJA and the CARES Act on REITs and their security holders are uncertain and may not become evident for some period of time. The effect of any technical corrections with respect to the TCJA and CARES Act could have an adverse effect on us, Lamar Advertising, its subsidiaries, and holders of our notes. It is also possible additional legislation could be enacted in the future as a result of the COVID-19 pandemic which may affect the holders of our securities. Investors should consult their tax advisors regarding the implications of the TCJA and the CARES Act on their investment in the notes being offered hereby.</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Lamar Advertising may potentially be unable to deduct the full amount of its interest expense pursuant to the TCJA and the CARES Act.</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taxable years beginning after December 31, 2017, interest deductions for businesses with average annual gross receipts of over $25 million are capped at 30% of the business’ “adjusted taxable income” plus business interest income pursuant to the TCJA. For these purposes, for taxable years beginning after December 31, 2017 and before January 1, 2022, “adjusted taxable income” is computed without regard to deductions allowable for depreciation, amortization, or depletion. The CARES Act increased the aforementioned 30% limitation to 50% for taxable years beginning in 2019 or 2020 and permitted an entity to elect to use its 2019 adjusted taxable income to calculate the applicable limitation for its 2020 taxable year. For taxable years beginning after December 31, 2021, “adjusted taxable income” is calculated by taking deductions allowable for depreciation, amortization, or depletion into account. This limitation, however, does not apply to an “electing real property trade or business.” As a REIT, Lamar Advertising would generally constitute a real property trade or businesses, and thus would retain the ability to fully deduct interest expenses if it makes such an election. However, an entity making such an election must use a longer depreciation cost recovery period for its property. Lamar Advertising has not made such election to date and has not yet determined whether it will make such election at a later date.</w:t>
      </w:r>
    </w:p>
    <w:p>
      <w:pPr>
        <w:spacing w:after="0" w:line="2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1020" w:type="dxa"/>
            <w:vAlign w:val="bottom"/>
          </w:tcPr>
          <w:p>
            <w:pPr>
              <w:jc w:val="center"/>
              <w:ind w:left="76"/>
              <w:spacing w:after="0"/>
              <w:rPr>
                <w:sz w:val="20"/>
                <w:szCs w:val="20"/>
                <w:color w:val="auto"/>
              </w:rPr>
            </w:pPr>
            <w:r>
              <w:rPr>
                <w:rFonts w:ascii="Arial" w:cs="Arial" w:eastAsia="Arial" w:hAnsi="Arial"/>
                <w:sz w:val="16"/>
                <w:szCs w:val="16"/>
                <w:b w:val="1"/>
                <w:bCs w:val="1"/>
                <w:color w:val="auto"/>
                <w:w w:val="93"/>
              </w:rPr>
              <w:t>Exhibit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213"/>
        </w:trPr>
        <w:tc>
          <w:tcPr>
            <w:tcW w:w="1020" w:type="dxa"/>
            <w:vAlign w:val="bottom"/>
            <w:tcBorders>
              <w:bottom w:val="single" w:sz="8" w:color="auto"/>
            </w:tcBorders>
          </w:tcPr>
          <w:p>
            <w:pPr>
              <w:jc w:val="center"/>
              <w:ind w:left="76"/>
              <w:spacing w:after="0"/>
              <w:rPr>
                <w:sz w:val="20"/>
                <w:szCs w:val="20"/>
                <w:color w:val="auto"/>
              </w:rPr>
            </w:pPr>
            <w:r>
              <w:rPr>
                <w:rFonts w:ascii="Arial" w:cs="Arial" w:eastAsia="Arial" w:hAnsi="Arial"/>
                <w:sz w:val="16"/>
                <w:szCs w:val="16"/>
                <w:b w:val="1"/>
                <w:bCs w:val="1"/>
                <w:color w:val="auto"/>
                <w:w w:val="95"/>
              </w:rPr>
              <w:t>Number</w:t>
            </w:r>
          </w:p>
        </w:tc>
        <w:tc>
          <w:tcPr>
            <w:tcW w:w="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920" w:type="dxa"/>
            <w:vAlign w:val="bottom"/>
            <w:tcBorders>
              <w:bottom w:val="single" w:sz="8" w:color="auto"/>
            </w:tcBorders>
          </w:tcPr>
          <w:p>
            <w:pPr>
              <w:ind w:left="4560"/>
              <w:spacing w:after="0"/>
              <w:rPr>
                <w:sz w:val="20"/>
                <w:szCs w:val="20"/>
                <w:color w:val="auto"/>
              </w:rPr>
            </w:pPr>
            <w:r>
              <w:rPr>
                <w:rFonts w:ascii="Arial" w:cs="Arial" w:eastAsia="Arial" w:hAnsi="Arial"/>
                <w:sz w:val="16"/>
                <w:szCs w:val="16"/>
                <w:b w:val="1"/>
                <w:bCs w:val="1"/>
                <w:color w:val="auto"/>
              </w:rPr>
              <w:t>Description</w:t>
            </w:r>
          </w:p>
        </w:tc>
      </w:tr>
    </w:tbl>
    <w:p>
      <w:pPr>
        <w:spacing w:after="0" w:line="107" w:lineRule="exact"/>
        <w:rPr>
          <w:sz w:val="20"/>
          <w:szCs w:val="20"/>
          <w:color w:val="auto"/>
        </w:rPr>
      </w:pPr>
    </w:p>
    <w:p>
      <w:pPr>
        <w:jc w:val="both"/>
        <w:ind w:left="1320" w:hanging="795"/>
        <w:spacing w:after="0" w:line="263" w:lineRule="auto"/>
        <w:tabs>
          <w:tab w:leader="none" w:pos="1300" w:val="left"/>
        </w:tabs>
        <w:rPr>
          <w:rFonts w:ascii="Arial" w:cs="Arial" w:eastAsia="Arial" w:hAnsi="Arial"/>
          <w:sz w:val="18"/>
          <w:szCs w:val="18"/>
          <w:color w:val="0000EE"/>
        </w:rPr>
      </w:pPr>
      <w:r>
        <w:rPr>
          <w:rFonts w:ascii="Arial" w:cs="Arial" w:eastAsia="Arial" w:hAnsi="Arial"/>
          <w:sz w:val="18"/>
          <w:szCs w:val="18"/>
          <w:color w:val="auto"/>
        </w:rPr>
        <w:t>3.1</w:t>
      </w:r>
      <w:r>
        <w:rPr>
          <w:sz w:val="20"/>
          <w:szCs w:val="20"/>
          <w:color w:val="auto"/>
        </w:rPr>
        <w:tab/>
      </w:r>
      <w:hyperlink r:id="rId84">
        <w:r>
          <w:rPr>
            <w:rFonts w:ascii="Arial" w:cs="Arial" w:eastAsia="Arial" w:hAnsi="Arial"/>
            <w:sz w:val="18"/>
            <w:szCs w:val="18"/>
            <w:u w:val="single" w:color="auto"/>
            <w:color w:val="0000EE"/>
          </w:rPr>
          <w:t>Amended and Restated Certificate of Incorporation of Lamar Advertising Company (the “Company”), as filed with the Secretary of the</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State of Delaware effective as of November 18, 2014. Previously filed as Exhibit 3.1 to the Company’s Current Report on Form 8-K</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(File No. 1-36756) filed on November 19, 2014 and incorporated herein by reference</w:t>
        </w:r>
        <w:r>
          <w:rPr>
            <w:rFonts w:ascii="Arial" w:cs="Arial" w:eastAsia="Arial" w:hAnsi="Arial"/>
            <w:sz w:val="18"/>
            <w:szCs w:val="18"/>
            <w:color w:val="000000"/>
          </w:rPr>
          <w:t>.</w:t>
        </w:r>
      </w:hyperlink>
    </w:p>
    <w:p>
      <w:pPr>
        <w:spacing w:after="0" w:line="89" w:lineRule="exact"/>
        <w:rPr>
          <w:rFonts w:ascii="Arial" w:cs="Arial" w:eastAsia="Arial" w:hAnsi="Arial"/>
          <w:sz w:val="18"/>
          <w:szCs w:val="18"/>
          <w:u w:val="single" w:color="auto"/>
          <w:color w:val="0000EE"/>
        </w:rPr>
      </w:pPr>
    </w:p>
    <w:p>
      <w:pPr>
        <w:jc w:val="both"/>
        <w:ind w:left="1320" w:hanging="795"/>
        <w:spacing w:after="0" w:line="277" w:lineRule="auto"/>
        <w:tabs>
          <w:tab w:leader="none" w:pos="1300" w:val="left"/>
        </w:tabs>
        <w:rPr>
          <w:rFonts w:ascii="Arial" w:cs="Arial" w:eastAsia="Arial" w:hAnsi="Arial"/>
          <w:sz w:val="18"/>
          <w:szCs w:val="18"/>
          <w:color w:val="0000EE"/>
        </w:rPr>
      </w:pPr>
      <w:r>
        <w:rPr>
          <w:rFonts w:ascii="Arial" w:cs="Arial" w:eastAsia="Arial" w:hAnsi="Arial"/>
          <w:sz w:val="18"/>
          <w:szCs w:val="18"/>
          <w:color w:val="auto"/>
        </w:rPr>
        <w:t>3.2</w:t>
      </w:r>
      <w:r>
        <w:rPr>
          <w:sz w:val="20"/>
          <w:szCs w:val="20"/>
          <w:color w:val="auto"/>
        </w:rPr>
        <w:tab/>
      </w:r>
      <w:hyperlink r:id="rId85">
        <w:r>
          <w:rPr>
            <w:rFonts w:ascii="Arial" w:cs="Arial" w:eastAsia="Arial" w:hAnsi="Arial"/>
            <w:sz w:val="18"/>
            <w:szCs w:val="18"/>
            <w:u w:val="single" w:color="auto"/>
            <w:color w:val="0000EE"/>
          </w:rPr>
          <w:t>Certificate of Merger, effective as of November 18, 2014. Previously filed as Exhibit 3.2 to the Company’s Current Report on Form 8-K</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(File No. 1-36756) filed on November 19, 2014 and incorporated herein by reference</w:t>
        </w:r>
        <w:r>
          <w:rPr>
            <w:rFonts w:ascii="Arial" w:cs="Arial" w:eastAsia="Arial" w:hAnsi="Arial"/>
            <w:sz w:val="18"/>
            <w:szCs w:val="18"/>
            <w:color w:val="000000"/>
          </w:rPr>
          <w:t>.</w:t>
        </w:r>
      </w:hyperlink>
    </w:p>
    <w:p>
      <w:pPr>
        <w:spacing w:after="0" w:line="76" w:lineRule="exact"/>
        <w:rPr>
          <w:sz w:val="20"/>
          <w:szCs w:val="20"/>
          <w:color w:val="auto"/>
        </w:rPr>
      </w:pPr>
    </w:p>
    <w:p>
      <w:pPr>
        <w:jc w:val="both"/>
        <w:ind w:left="1320" w:hanging="795"/>
        <w:spacing w:after="0" w:line="263" w:lineRule="auto"/>
        <w:tabs>
          <w:tab w:leader="none" w:pos="1300" w:val="left"/>
        </w:tabs>
        <w:rPr>
          <w:rFonts w:ascii="Arial" w:cs="Arial" w:eastAsia="Arial" w:hAnsi="Arial"/>
          <w:sz w:val="18"/>
          <w:szCs w:val="18"/>
          <w:color w:val="0000EE"/>
        </w:rPr>
      </w:pPr>
      <w:r>
        <w:rPr>
          <w:rFonts w:ascii="Arial" w:cs="Arial" w:eastAsia="Arial" w:hAnsi="Arial"/>
          <w:sz w:val="18"/>
          <w:szCs w:val="18"/>
          <w:color w:val="auto"/>
        </w:rPr>
        <w:t>3.3</w:t>
      </w:r>
      <w:r>
        <w:rPr>
          <w:sz w:val="20"/>
          <w:szCs w:val="20"/>
          <w:color w:val="auto"/>
        </w:rPr>
        <w:tab/>
      </w:r>
      <w:hyperlink r:id="rId86">
        <w:r>
          <w:rPr>
            <w:rFonts w:ascii="Arial" w:cs="Arial" w:eastAsia="Arial" w:hAnsi="Arial"/>
            <w:sz w:val="18"/>
            <w:szCs w:val="18"/>
            <w:u w:val="single" w:color="auto"/>
            <w:color w:val="0000EE"/>
          </w:rPr>
          <w:t>Amended and Restated Certificate of Incorporation of Lamar Media Corp. (“Lamar Media”) Previously filed as Exhibit 3.2 to the</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Company’s Quarterly Report on Form 10-Q for the period ended March 31, 2007 (File No. 0-30242) filed on May 10, 2007 and</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incorporated herein by reference</w:t>
        </w:r>
        <w:r>
          <w:rPr>
            <w:rFonts w:ascii="Arial" w:cs="Arial" w:eastAsia="Arial" w:hAnsi="Arial"/>
            <w:sz w:val="18"/>
            <w:szCs w:val="18"/>
            <w:color w:val="000000"/>
          </w:rPr>
          <w:t>.</w:t>
        </w:r>
      </w:hyperlink>
    </w:p>
    <w:p>
      <w:pPr>
        <w:spacing w:after="0" w:line="89" w:lineRule="exact"/>
        <w:rPr>
          <w:rFonts w:ascii="Arial" w:cs="Arial" w:eastAsia="Arial" w:hAnsi="Arial"/>
          <w:sz w:val="18"/>
          <w:szCs w:val="18"/>
          <w:u w:val="single" w:color="auto"/>
          <w:color w:val="0000EE"/>
        </w:rPr>
      </w:pPr>
    </w:p>
    <w:p>
      <w:pPr>
        <w:jc w:val="both"/>
        <w:ind w:left="1320" w:hanging="795"/>
        <w:spacing w:after="0" w:line="308"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3.4</w:t>
      </w:r>
      <w:r>
        <w:rPr>
          <w:sz w:val="20"/>
          <w:szCs w:val="20"/>
          <w:color w:val="auto"/>
        </w:rPr>
        <w:tab/>
      </w:r>
      <w:hyperlink r:id="rId87">
        <w:r>
          <w:rPr>
            <w:rFonts w:ascii="Arial" w:cs="Arial" w:eastAsia="Arial" w:hAnsi="Arial"/>
            <w:sz w:val="17"/>
            <w:szCs w:val="17"/>
            <w:u w:val="single" w:color="auto"/>
            <w:color w:val="0000EE"/>
          </w:rPr>
          <w:t>Amended and Restated Bylaws of the Company, adopted as of November 18, 2014. Previously filed as Exhibit 3.3 to the Company’s</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Current Report on Form 8-K (File No. 1-36756) filed on November 19, 2014 and incorporated herein by reference</w:t>
        </w:r>
        <w:r>
          <w:rPr>
            <w:rFonts w:ascii="Arial" w:cs="Arial" w:eastAsia="Arial" w:hAnsi="Arial"/>
            <w:sz w:val="17"/>
            <w:szCs w:val="17"/>
            <w:u w:val="single" w:color="auto"/>
            <w:color w:val="000000"/>
          </w:rPr>
          <w:t>.</w:t>
        </w:r>
      </w:hyperlink>
    </w:p>
    <w:p>
      <w:pPr>
        <w:spacing w:after="0" w:line="52" w:lineRule="exact"/>
        <w:rPr>
          <w:sz w:val="20"/>
          <w:szCs w:val="20"/>
          <w:color w:val="auto"/>
        </w:rPr>
      </w:pPr>
    </w:p>
    <w:p>
      <w:pPr>
        <w:jc w:val="both"/>
        <w:ind w:left="1320" w:hanging="795"/>
        <w:spacing w:after="0" w:line="308"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3.5</w:t>
      </w:r>
      <w:r>
        <w:rPr>
          <w:sz w:val="20"/>
          <w:szCs w:val="20"/>
          <w:color w:val="auto"/>
        </w:rPr>
        <w:tab/>
      </w:r>
      <w:hyperlink r:id="rId88">
        <w:r>
          <w:rPr>
            <w:rFonts w:ascii="Arial" w:cs="Arial" w:eastAsia="Arial" w:hAnsi="Arial"/>
            <w:sz w:val="17"/>
            <w:szCs w:val="17"/>
            <w:u w:val="single" w:color="auto"/>
            <w:color w:val="0000EE"/>
          </w:rPr>
          <w:t>Amended and Restated Bylaws of Lamar Media. Previously filed as Exhibit 3.1 to Lamar Media’s Quarterly Report on Form 10-Q for</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the period ended September 30, 1999 (File No. 1-12407) filed on November 12, 1999 and incorporated herein by reference</w:t>
        </w:r>
        <w:r>
          <w:rPr>
            <w:rFonts w:ascii="Arial" w:cs="Arial" w:eastAsia="Arial" w:hAnsi="Arial"/>
            <w:sz w:val="17"/>
            <w:szCs w:val="17"/>
            <w:u w:val="single" w:color="auto"/>
            <w:color w:val="000000"/>
          </w:rPr>
          <w:t>.</w:t>
        </w:r>
      </w:hyperlink>
    </w:p>
    <w:p>
      <w:pPr>
        <w:spacing w:after="0" w:line="52" w:lineRule="exact"/>
        <w:rPr>
          <w:sz w:val="20"/>
          <w:szCs w:val="20"/>
          <w:color w:val="auto"/>
        </w:rPr>
      </w:pPr>
    </w:p>
    <w:p>
      <w:pPr>
        <w:jc w:val="both"/>
        <w:ind w:left="1320" w:hanging="795"/>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89">
        <w:r>
          <w:rPr>
            <w:rFonts w:ascii="Arial" w:cs="Arial" w:eastAsia="Arial" w:hAnsi="Arial"/>
            <w:sz w:val="17"/>
            <w:szCs w:val="17"/>
            <w:u w:val="single" w:color="auto"/>
            <w:color w:val="0000EE"/>
          </w:rPr>
          <w:t>Indenture, dated as of May 13, 2020, among Lamar Media, the Guarantors named therein and The Bank of New York Mellon Trust</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Company, N.A., as Trustee (including the Form of Note and Guarantee as Exhibit A thereto). Previously filed as Exhibit 4.1 to the</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Company’s Current Report on Form 8-K (File No. 1-36756) filed on May 19, 2020 and incorporated herein by reference.</w:t>
        </w:r>
      </w:hyperlink>
    </w:p>
    <w:p>
      <w:pPr>
        <w:spacing w:after="0" w:line="71" w:lineRule="exact"/>
        <w:rPr>
          <w:rFonts w:ascii="Arial" w:cs="Arial" w:eastAsia="Arial" w:hAnsi="Arial"/>
          <w:sz w:val="17"/>
          <w:szCs w:val="17"/>
          <w:u w:val="single" w:color="auto"/>
          <w:color w:val="0000EE"/>
        </w:rPr>
      </w:pPr>
    </w:p>
    <w:p>
      <w:pPr>
        <w:ind w:left="1320" w:right="320" w:hanging="885"/>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90">
        <w:r>
          <w:rPr>
            <w:rFonts w:ascii="Arial" w:cs="Arial" w:eastAsia="Arial" w:hAnsi="Arial"/>
            <w:sz w:val="17"/>
            <w:szCs w:val="17"/>
            <w:u w:val="single" w:color="auto"/>
            <w:color w:val="0000EE"/>
          </w:rPr>
          <w:t>Registration Rights Agreement, dated as of May 13, 2020, among Lamar Media, the Guarantors named therein and Wells Fargo</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Securities, LLC, as representative for the Initial Purchasers named therein. Previously filed as Exhibit 10.1 to the Company’s Current</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Report on Form 8-K (File No. 1-36756) filed on May 19, 2020 and incorporated herein by reference.</w:t>
        </w:r>
      </w:hyperlink>
    </w:p>
    <w:p>
      <w:pPr>
        <w:spacing w:after="0" w:line="71" w:lineRule="exact"/>
        <w:rPr>
          <w:rFonts w:ascii="Arial" w:cs="Arial" w:eastAsia="Arial" w:hAnsi="Arial"/>
          <w:sz w:val="17"/>
          <w:szCs w:val="17"/>
          <w:u w:val="single" w:color="auto"/>
          <w:color w:val="0000EE"/>
        </w:rPr>
      </w:pPr>
    </w:p>
    <w:p>
      <w:pPr>
        <w:jc w:val="both"/>
        <w:ind w:left="1320" w:hanging="885"/>
        <w:spacing w:after="0" w:line="263" w:lineRule="auto"/>
        <w:tabs>
          <w:tab w:leader="none" w:pos="1300" w:val="left"/>
        </w:tabs>
        <w:rPr>
          <w:rFonts w:ascii="Arial" w:cs="Arial" w:eastAsia="Arial" w:hAnsi="Arial"/>
          <w:sz w:val="18"/>
          <w:szCs w:val="18"/>
          <w:color w:val="0000EE"/>
        </w:rPr>
      </w:pPr>
      <w:r>
        <w:rPr>
          <w:rFonts w:ascii="Arial" w:cs="Arial" w:eastAsia="Arial" w:hAnsi="Arial"/>
          <w:sz w:val="18"/>
          <w:szCs w:val="18"/>
          <w:color w:val="auto"/>
        </w:rPr>
        <w:t>10.2</w:t>
      </w:r>
      <w:r>
        <w:rPr>
          <w:sz w:val="20"/>
          <w:szCs w:val="20"/>
          <w:color w:val="auto"/>
        </w:rPr>
        <w:tab/>
      </w:r>
      <w:hyperlink w:anchor="page60">
        <w:r>
          <w:rPr>
            <w:rFonts w:ascii="Arial" w:cs="Arial" w:eastAsia="Arial" w:hAnsi="Arial"/>
            <w:sz w:val="18"/>
            <w:szCs w:val="18"/>
            <w:u w:val="single" w:color="auto"/>
            <w:color w:val="0000EE"/>
          </w:rPr>
          <w:t>Second Amendment to the Receivables Financing Agreement, dated as of May 6, 2020, by and among Lamar Media Corp. as Servicer,</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Lamar TRS Receivables, LLC and Lamar QRS Receivables, LLC as borrowers and PNC Bank, National Association as Administrative</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Agent and Lender. Filed herewith</w:t>
        </w:r>
        <w:r>
          <w:rPr>
            <w:rFonts w:ascii="Arial" w:cs="Arial" w:eastAsia="Arial" w:hAnsi="Arial"/>
            <w:sz w:val="18"/>
            <w:szCs w:val="18"/>
            <w:color w:val="000000"/>
          </w:rPr>
          <w:t>.</w:t>
        </w:r>
      </w:hyperlink>
    </w:p>
    <w:p>
      <w:pPr>
        <w:spacing w:after="0" w:line="89" w:lineRule="exact"/>
        <w:rPr>
          <w:rFonts w:ascii="Arial" w:cs="Arial" w:eastAsia="Arial" w:hAnsi="Arial"/>
          <w:sz w:val="18"/>
          <w:szCs w:val="18"/>
          <w:u w:val="single" w:color="auto"/>
          <w:color w:val="0000EE"/>
        </w:rPr>
      </w:pPr>
    </w:p>
    <w:p>
      <w:pPr>
        <w:jc w:val="both"/>
        <w:ind w:left="1320" w:hanging="885"/>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82">
        <w:r>
          <w:rPr>
            <w:rFonts w:ascii="Arial" w:cs="Arial" w:eastAsia="Arial" w:hAnsi="Arial"/>
            <w:sz w:val="18"/>
            <w:szCs w:val="18"/>
            <w:u w:val="single" w:color="auto"/>
            <w:color w:val="0000EE"/>
          </w:rPr>
          <w:t>Second Amendment to the Purchase and Sale Agreement, dated as of May 6, 2020, by and among certain subsidiaries of Lamar Media</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color w:val="0000EE"/>
          </w:rPr>
          <w:t>Corp. as originators, Lamar Media Corp. as Servicer, and Lamar QRS Receivables, LLC as Buyer, and consented to by PNC Bank,</w:t>
        </w:r>
      </w:hyperlink>
      <w:r>
        <w:rPr>
          <w:rFonts w:ascii="Arial" w:cs="Arial" w:eastAsia="Arial" w:hAnsi="Arial"/>
          <w:sz w:val="18"/>
          <w:szCs w:val="18"/>
          <w:color w:val="0000EE"/>
        </w:rPr>
        <w:t xml:space="preserve"> </w:t>
      </w:r>
      <w:hyperlink w:anchor="page82">
        <w:r>
          <w:rPr>
            <w:rFonts w:ascii="Arial" w:cs="Arial" w:eastAsia="Arial" w:hAnsi="Arial"/>
            <w:sz w:val="18"/>
            <w:szCs w:val="18"/>
            <w:u w:val="single" w:color="auto"/>
            <w:color w:val="0000EE"/>
          </w:rPr>
          <w:t>National Association, as Administrative Agent. Filed herewith.</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836295</wp:posOffset>
            </wp:positionH>
            <wp:positionV relativeFrom="paragraph">
              <wp:posOffset>-173990</wp:posOffset>
            </wp:positionV>
            <wp:extent cx="6299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6299835" cy="8890"/>
                    </a:xfrm>
                    <a:prstGeom prst="rect">
                      <a:avLst/>
                    </a:prstGeom>
                    <a:noFill/>
                  </pic:spPr>
                </pic:pic>
              </a:graphicData>
            </a:graphic>
          </wp:anchor>
        </w:drawing>
      </w:r>
    </w:p>
    <w:p>
      <w:pPr>
        <w:spacing w:after="0" w:line="69" w:lineRule="exact"/>
        <w:rPr>
          <w:rFonts w:ascii="Arial" w:cs="Arial" w:eastAsia="Arial" w:hAnsi="Arial"/>
          <w:sz w:val="18"/>
          <w:szCs w:val="18"/>
          <w:u w:val="single" w:color="auto"/>
          <w:color w:val="0000EE"/>
        </w:rPr>
      </w:pPr>
    </w:p>
    <w:p>
      <w:pPr>
        <w:jc w:val="both"/>
        <w:ind w:left="1320" w:hanging="885"/>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r:id="rId92">
        <w:r>
          <w:rPr>
            <w:rFonts w:ascii="Arial" w:cs="Arial" w:eastAsia="Arial" w:hAnsi="Arial"/>
            <w:sz w:val="17"/>
            <w:szCs w:val="17"/>
            <w:u w:val="single" w:color="auto"/>
            <w:color w:val="0000EE"/>
          </w:rPr>
          <w:t>Third Amendment to the Receivables Financing Agreement, dated as of June 30, 2020, among Lamar Media, as Initial Servicer, the</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SPEs, as Borrowers, and PNC Bank, National Association, as Administrative Agent and a Lender. Previously filed as Exhibit 10.1 to the</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Company’s Current Report on Form 8-K (File No. 1-36756) filed on July 6, 2020 and incorporated herein by reference.</w:t>
        </w:r>
      </w:hyperlink>
    </w:p>
    <w:p>
      <w:pPr>
        <w:spacing w:after="0" w:line="71" w:lineRule="exact"/>
        <w:rPr>
          <w:rFonts w:ascii="Arial" w:cs="Arial" w:eastAsia="Arial" w:hAnsi="Arial"/>
          <w:sz w:val="17"/>
          <w:szCs w:val="17"/>
          <w:u w:val="single" w:color="auto"/>
          <w:color w:val="0000EE"/>
        </w:rPr>
      </w:pPr>
    </w:p>
    <w:p>
      <w:pPr>
        <w:jc w:val="both"/>
        <w:ind w:left="1320" w:hanging="885"/>
        <w:spacing w:after="0" w:line="259"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93">
        <w:r>
          <w:rPr>
            <w:rFonts w:ascii="Arial" w:cs="Arial" w:eastAsia="Arial" w:hAnsi="Arial"/>
            <w:sz w:val="18"/>
            <w:szCs w:val="18"/>
            <w:u w:val="single" w:color="auto"/>
            <w:color w:val="0000EE"/>
          </w:rPr>
          <w:t>First Amendment to the Receivables Financing Agreement, dated as of February 6, 2020, by and among Lamar Media Corp. as initial</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Servicer, Lamar TRS Receivables, LLC and Lamar QRS Receivables, LLC as borrowers and PNC Bank, National Association as</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Administrative Agent and Lender. Previously filed as Exhibit 10.5 to the Company’s Current Report on Form 8-K (File No. 1-36756)</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filed on February 12, 2020 and incorporated herein by reference.</w:t>
        </w:r>
      </w:hyperlink>
    </w:p>
    <w:p>
      <w:pPr>
        <w:spacing w:after="0" w:line="92" w:lineRule="exact"/>
        <w:rPr>
          <w:rFonts w:ascii="Arial" w:cs="Arial" w:eastAsia="Arial" w:hAnsi="Arial"/>
          <w:sz w:val="18"/>
          <w:szCs w:val="18"/>
          <w:u w:val="single" w:color="auto"/>
          <w:color w:val="0000EE"/>
        </w:rPr>
      </w:pPr>
    </w:p>
    <w:p>
      <w:pPr>
        <w:jc w:val="both"/>
        <w:ind w:left="1320" w:hanging="885"/>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r:id="rId94">
        <w:r>
          <w:rPr>
            <w:rFonts w:ascii="Arial" w:cs="Arial" w:eastAsia="Arial" w:hAnsi="Arial"/>
            <w:sz w:val="17"/>
            <w:szCs w:val="17"/>
            <w:u w:val="single" w:color="auto"/>
            <w:color w:val="0000EE"/>
          </w:rPr>
          <w:t>First Amendment to the Purchase and Sale Agreement, dated as of February 6, 2020, by and among certain subsidiaries of Lamar Media</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Corp., Lamar Media Corp. as initial Servicer, and Lamar QRS Receivables, LLC as Buyer. Previously filed as Exhibit 10.6 to the</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Company’s Current Report on Form 8-K (File No. 1-36756) filed on February 12, 2020 and incorporated herein by reference.</w:t>
        </w:r>
      </w:hyperlink>
    </w:p>
    <w:p>
      <w:pPr>
        <w:spacing w:after="0" w:line="71" w:lineRule="exact"/>
        <w:rPr>
          <w:rFonts w:ascii="Arial" w:cs="Arial" w:eastAsia="Arial" w:hAnsi="Arial"/>
          <w:sz w:val="17"/>
          <w:szCs w:val="17"/>
          <w:u w:val="single" w:color="auto"/>
          <w:color w:val="0000EE"/>
        </w:rPr>
      </w:pPr>
    </w:p>
    <w:p>
      <w:pPr>
        <w:ind w:left="44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95">
        <w:r>
          <w:rPr>
            <w:rFonts w:ascii="Arial" w:cs="Arial" w:eastAsia="Arial" w:hAnsi="Arial"/>
            <w:sz w:val="16"/>
            <w:szCs w:val="16"/>
            <w:u w:val="single" w:color="auto"/>
            <w:color w:val="0000EE"/>
          </w:rPr>
          <w:t>Certification of the Chief Executive Officer of the Company and Lamar Media pursuant to Securities Exchange Act Rules 13a-14(a) and</w:t>
        </w:r>
      </w:hyperlink>
    </w:p>
    <w:p>
      <w:pPr>
        <w:spacing w:after="0" w:line="23" w:lineRule="exact"/>
        <w:rPr>
          <w:rFonts w:ascii="Arial" w:cs="Arial" w:eastAsia="Arial" w:hAnsi="Arial"/>
          <w:sz w:val="17"/>
          <w:szCs w:val="17"/>
          <w:u w:val="single" w:color="auto"/>
          <w:color w:val="0000EE"/>
        </w:rPr>
      </w:pPr>
    </w:p>
    <w:p>
      <w:pPr>
        <w:ind w:left="132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15d-14(a) as adopted pursuant to Section 302 of the Sarbanes-Oxley Act of 2002. Filed herewith.</w:t>
        </w:r>
      </w:hyperlink>
    </w:p>
    <w:p>
      <w:pPr>
        <w:spacing w:after="0" w:line="211"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3"/>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6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13"/>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tcPr>
          <w:p>
            <w:pPr>
              <w:spacing w:after="0"/>
              <w:rPr>
                <w:sz w:val="18"/>
                <w:szCs w:val="18"/>
                <w:color w:val="auto"/>
              </w:rPr>
            </w:pPr>
          </w:p>
        </w:tc>
        <w:tc>
          <w:tcPr>
            <w:tcW w:w="9920" w:type="dxa"/>
            <w:vAlign w:val="bottom"/>
            <w:tcBorders>
              <w:bottom w:val="single" w:sz="8" w:color="auto"/>
            </w:tcBorders>
            <w:gridSpan w:val="2"/>
          </w:tcPr>
          <w:p>
            <w:pPr>
              <w:ind w:left="4560"/>
              <w:spacing w:after="0"/>
              <w:rPr>
                <w:sz w:val="20"/>
                <w:szCs w:val="20"/>
                <w:color w:val="auto"/>
              </w:rPr>
            </w:pPr>
            <w:r>
              <w:rPr>
                <w:rFonts w:ascii="Arial" w:cs="Arial" w:eastAsia="Arial" w:hAnsi="Arial"/>
                <w:sz w:val="16"/>
                <w:szCs w:val="16"/>
                <w:b w:val="1"/>
                <w:bCs w:val="1"/>
                <w:color w:val="auto"/>
              </w:rPr>
              <w:t>Description</w:t>
            </w:r>
          </w:p>
        </w:tc>
      </w:tr>
      <w:tr>
        <w:trPr>
          <w:trHeight w:val="293"/>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99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Certification of the Chief Financial Officer of the Company and Lamar Media pursuant to Securities Exchange Act Rules 13a-14(a) and</w:t>
              </w:r>
            </w:hyperlink>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15d-14(a) as adopted pursuant to Section 302 of the Sarbanes-Oxley Act of 2002. Filed herewith.</w:t>
              </w:r>
            </w:hyperlink>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9920" w:type="dxa"/>
            <w:vAlign w:val="bottom"/>
            <w:gridSpan w:val="2"/>
          </w:tcPr>
          <w:p>
            <w:pPr>
              <w:spacing w:after="0"/>
              <w:rPr>
                <w:rFonts w:ascii="Arial" w:cs="Arial" w:eastAsia="Arial" w:hAnsi="Arial"/>
                <w:sz w:val="18"/>
                <w:szCs w:val="18"/>
                <w:u w:val="single" w:color="auto"/>
                <w:color w:val="0000EE"/>
                <w:w w:val="91"/>
              </w:rPr>
            </w:pPr>
            <w:hyperlink w:anchor="page97">
              <w:r>
                <w:rPr>
                  <w:rFonts w:ascii="Arial" w:cs="Arial" w:eastAsia="Arial" w:hAnsi="Arial"/>
                  <w:sz w:val="18"/>
                  <w:szCs w:val="18"/>
                  <w:u w:val="single" w:color="auto"/>
                  <w:color w:val="0000EE"/>
                  <w:w w:val="91"/>
                </w:rPr>
                <w:t>Certification pursuant to 18 U.S.C. Section 1350 as adopted pursuant to Section 906 of the Sarbanes-Oxley Act of 2002. Filed herewith.</w:t>
              </w:r>
            </w:hyperlink>
          </w:p>
        </w:tc>
      </w:tr>
    </w:tbl>
    <w:p>
      <w:pPr>
        <w:spacing w:after="0" w:line="107" w:lineRule="exact"/>
        <w:rPr>
          <w:sz w:val="20"/>
          <w:szCs w:val="20"/>
          <w:color w:val="auto"/>
        </w:rPr>
      </w:pPr>
    </w:p>
    <w:p>
      <w:pPr>
        <w:jc w:val="both"/>
        <w:ind w:left="1320" w:hanging="867"/>
        <w:spacing w:after="0" w:line="279" w:lineRule="auto"/>
        <w:tabs>
          <w:tab w:leader="none" w:pos="1320" w:val="left"/>
        </w:tabs>
        <w:numPr>
          <w:ilvl w:val="0"/>
          <w:numId w:val="39"/>
        </w:numPr>
        <w:rPr>
          <w:rFonts w:ascii="Arial" w:cs="Arial" w:eastAsia="Arial" w:hAnsi="Arial"/>
          <w:sz w:val="17"/>
          <w:szCs w:val="17"/>
          <w:color w:val="auto"/>
        </w:rPr>
      </w:pPr>
      <w:r>
        <w:rPr>
          <w:rFonts w:ascii="Arial" w:cs="Arial" w:eastAsia="Arial" w:hAnsi="Arial"/>
          <w:sz w:val="17"/>
          <w:szCs w:val="17"/>
          <w:color w:val="222222"/>
        </w:rPr>
        <w:t>The following financial statements from the Company’s Quarterly Report on Form 10-Q for the quarter ended June 30, 2020, formatted in Inline XBRL: (i) Condensed Consolidated Statements of Cash Flows, (ii) Condensed Consolidated Statements of Operations, (iii) Condensed Consolidated Statements of Comprehensive Income, (iv) Condensed Consolidated Balance Sheets, and (v) Notes to Condensed Consolidated Financial Statements, tagged as blocks of text and including detailed tags.</w:t>
      </w:r>
    </w:p>
    <w:p>
      <w:pPr>
        <w:spacing w:after="0" w:line="77" w:lineRule="exact"/>
        <w:rPr>
          <w:sz w:val="20"/>
          <w:szCs w:val="20"/>
          <w:color w:val="auto"/>
        </w:rPr>
      </w:pPr>
    </w:p>
    <w:p>
      <w:pPr>
        <w:ind w:left="1320" w:hanging="86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222222"/>
        </w:rPr>
        <w:t>Cover Page Interactive Date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60"/>
              <w:spacing w:after="0"/>
              <w:rPr>
                <w:sz w:val="20"/>
                <w:szCs w:val="20"/>
                <w:color w:val="auto"/>
              </w:rPr>
            </w:pPr>
            <w:r>
              <w:rPr>
                <w:rFonts w:ascii="Arial" w:cs="Arial" w:eastAsia="Arial" w:hAnsi="Arial"/>
                <w:sz w:val="18"/>
                <w:szCs w:val="18"/>
                <w:b w:val="1"/>
                <w:bCs w:val="1"/>
                <w:color w:val="auto"/>
              </w:rPr>
              <w:t>LAMAR ADVERTISING COMPANY</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DATED: August 6, 2020</w:t>
            </w:r>
          </w:p>
        </w:tc>
        <w:tc>
          <w:tcPr>
            <w:tcW w:w="2420" w:type="dxa"/>
            <w:vAlign w:val="bottom"/>
          </w:tcPr>
          <w:p>
            <w:pPr>
              <w:ind w:left="19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224"/>
        </w:trPr>
        <w:tc>
          <w:tcPr>
            <w:tcW w:w="3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445"/>
        </w:trPr>
        <w:tc>
          <w:tcPr>
            <w:tcW w:w="3660" w:type="dxa"/>
            <w:vAlign w:val="bottom"/>
          </w:tcPr>
          <w:p>
            <w:pPr>
              <w:spacing w:after="0"/>
              <w:rPr>
                <w:sz w:val="24"/>
                <w:szCs w:val="24"/>
                <w:color w:val="auto"/>
              </w:rPr>
            </w:pPr>
          </w:p>
        </w:tc>
        <w:tc>
          <w:tcPr>
            <w:tcW w:w="7580" w:type="dxa"/>
            <w:vAlign w:val="bottom"/>
            <w:gridSpan w:val="2"/>
          </w:tcPr>
          <w:p>
            <w:pPr>
              <w:ind w:left="1960"/>
              <w:spacing w:after="0"/>
              <w:rPr>
                <w:sz w:val="20"/>
                <w:szCs w:val="20"/>
                <w:color w:val="auto"/>
              </w:rPr>
            </w:pPr>
            <w:r>
              <w:rPr>
                <w:rFonts w:ascii="Arial" w:cs="Arial" w:eastAsia="Arial" w:hAnsi="Arial"/>
                <w:sz w:val="18"/>
                <w:szCs w:val="18"/>
                <w:b w:val="1"/>
                <w:bCs w:val="1"/>
                <w:color w:val="auto"/>
              </w:rPr>
              <w:t>LAMAR MEDIA CORP.</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DATED: August 6, 2020</w:t>
            </w:r>
          </w:p>
        </w:tc>
        <w:tc>
          <w:tcPr>
            <w:tcW w:w="2420" w:type="dxa"/>
            <w:vAlign w:val="bottom"/>
          </w:tcPr>
          <w:p>
            <w:pPr>
              <w:ind w:left="19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224"/>
        </w:trPr>
        <w:tc>
          <w:tcPr>
            <w:tcW w:w="3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850"/>
        </w:trPr>
        <w:tc>
          <w:tcPr>
            <w:tcW w:w="3660" w:type="dxa"/>
            <w:vAlign w:val="bottom"/>
          </w:tcPr>
          <w:p>
            <w:pPr>
              <w:spacing w:after="0"/>
              <w:rPr>
                <w:sz w:val="24"/>
                <w:szCs w:val="24"/>
                <w:color w:val="auto"/>
              </w:rPr>
            </w:pPr>
          </w:p>
        </w:tc>
        <w:tc>
          <w:tcPr>
            <w:tcW w:w="2420" w:type="dxa"/>
            <w:vAlign w:val="bottom"/>
          </w:tcPr>
          <w:p>
            <w:pPr>
              <w:ind w:left="1880"/>
              <w:spacing w:after="0"/>
              <w:rPr>
                <w:sz w:val="20"/>
                <w:szCs w:val="20"/>
                <w:color w:val="auto"/>
              </w:rPr>
            </w:pPr>
            <w:r>
              <w:rPr>
                <w:rFonts w:ascii="Arial" w:cs="Arial" w:eastAsia="Arial" w:hAnsi="Arial"/>
                <w:sz w:val="18"/>
                <w:szCs w:val="18"/>
                <w:color w:val="auto"/>
              </w:rPr>
              <w:t>59</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FINANCING AGREEMENT</w:t>
      </w:r>
    </w:p>
    <w:p>
      <w:pPr>
        <w:spacing w:after="0" w:line="21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This SECOND AMENDMENT TO THE RECEIVABLES FINANCING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May 6, 2020, is entered into by and among the following parties:</w:t>
      </w:r>
    </w:p>
    <w:p>
      <w:pPr>
        <w:spacing w:after="0" w:line="170" w:lineRule="exact"/>
        <w:rPr>
          <w:sz w:val="20"/>
          <w:szCs w:val="20"/>
          <w:color w:val="auto"/>
        </w:rPr>
      </w:pPr>
    </w:p>
    <w:p>
      <w:pPr>
        <w:ind w:left="1700" w:hanging="842"/>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LAMAR TRS RECEIVABLES, LLC, a Delaware limited liability company, as a Borrower (the “</w:t>
      </w:r>
      <w:r>
        <w:rPr>
          <w:rFonts w:ascii="Arial" w:cs="Arial" w:eastAsia="Arial" w:hAnsi="Arial"/>
          <w:sz w:val="18"/>
          <w:szCs w:val="18"/>
          <w:u w:val="single" w:color="auto"/>
          <w:color w:val="auto"/>
        </w:rPr>
        <w:t>TRS Borrower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842"/>
        <w:spacing w:after="0" w:line="277" w:lineRule="auto"/>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LAMAR QRS RECEIVABLES, LLC, a Delaware limited liability company, as a Borrower (the “</w:t>
      </w:r>
      <w:r>
        <w:rPr>
          <w:rFonts w:ascii="Arial" w:cs="Arial" w:eastAsia="Arial" w:hAnsi="Arial"/>
          <w:sz w:val="18"/>
          <w:szCs w:val="18"/>
          <w:u w:val="single" w:color="auto"/>
          <w:color w:val="auto"/>
        </w:rPr>
        <w:t>QRS Borrower</w:t>
      </w:r>
      <w:r>
        <w:rPr>
          <w:rFonts w:ascii="Arial" w:cs="Arial" w:eastAsia="Arial" w:hAnsi="Arial"/>
          <w:sz w:val="18"/>
          <w:szCs w:val="18"/>
          <w:color w:val="auto"/>
        </w:rPr>
        <w:t>”; together with the TRS Borrower,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700" w:hanging="842"/>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LAMAR MEDIA CORP., a Delaware corporation, as initial Servicer; and</w:t>
      </w:r>
    </w:p>
    <w:p>
      <w:pPr>
        <w:spacing w:after="0" w:line="225" w:lineRule="exact"/>
        <w:rPr>
          <w:rFonts w:ascii="Arial" w:cs="Arial" w:eastAsia="Arial" w:hAnsi="Arial"/>
          <w:sz w:val="18"/>
          <w:szCs w:val="18"/>
          <w:color w:val="auto"/>
        </w:rPr>
      </w:pPr>
    </w:p>
    <w:p>
      <w:pPr>
        <w:ind w:left="1700" w:hanging="842"/>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PNC BANK, NATIONAL ASSOCIATION (“</w:t>
      </w:r>
      <w:r>
        <w:rPr>
          <w:rFonts w:ascii="Arial" w:cs="Arial" w:eastAsia="Arial" w:hAnsi="Arial"/>
          <w:sz w:val="18"/>
          <w:szCs w:val="18"/>
          <w:u w:val="single" w:color="auto"/>
          <w:color w:val="auto"/>
        </w:rPr>
        <w:t>PNC</w:t>
      </w:r>
      <w:r>
        <w:rPr>
          <w:rFonts w:ascii="Arial" w:cs="Arial" w:eastAsia="Arial" w:hAnsi="Arial"/>
          <w:sz w:val="18"/>
          <w:szCs w:val="18"/>
          <w:color w:val="auto"/>
        </w:rPr>
        <w:t>”), as Administrative Agent and as Lender.</w:t>
      </w:r>
    </w:p>
    <w:p>
      <w:pPr>
        <w:spacing w:after="0" w:line="225"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Capitalized terms used but not otherwise defined herein (including such terms used above) have the respective meanings assigned thereto in the Receivables Financing Agreement described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left="880" w:right="200" w:firstLine="789"/>
        <w:spacing w:after="0" w:line="277" w:lineRule="auto"/>
        <w:tabs>
          <w:tab w:leader="none" w:pos="2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parties hereto have entered into a Receivables Financing Agreement, dated as of December 18, 2018 (as amended, restated, supplemented or otherwise modified through the date hereof, the “</w:t>
      </w:r>
      <w:r>
        <w:rPr>
          <w:rFonts w:ascii="Arial" w:cs="Arial" w:eastAsia="Arial" w:hAnsi="Arial"/>
          <w:sz w:val="18"/>
          <w:szCs w:val="18"/>
          <w:u w:val="single" w:color="auto"/>
          <w:color w:val="auto"/>
        </w:rPr>
        <w:t>Receivables Financing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80" w:right="40" w:firstLine="789"/>
        <w:spacing w:after="0" w:line="263" w:lineRule="auto"/>
        <w:tabs>
          <w:tab w:leader="none" w:pos="24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Concurrently herewith, the QRS Borrower, as buyer, the Servicer, as servicer and as an originator, and the various originators party thereto, are entering into that certain Second Amendment to the Purchase and Sale Agreement, dated as of the date hereof (the “</w:t>
      </w:r>
      <w:r>
        <w:rPr>
          <w:rFonts w:ascii="Arial" w:cs="Arial" w:eastAsia="Arial" w:hAnsi="Arial"/>
          <w:sz w:val="18"/>
          <w:szCs w:val="18"/>
          <w:u w:val="single" w:color="auto"/>
          <w:color w:val="auto"/>
        </w:rPr>
        <w:t>PSA Amendment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480" w:hanging="811"/>
        <w:spacing w:after="0"/>
        <w:tabs>
          <w:tab w:leader="none" w:pos="2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parties hereto desire to amend the Receivables Financing Agreement as set forth herein.</w:t>
      </w:r>
    </w:p>
    <w:p>
      <w:pPr>
        <w:spacing w:after="0" w:line="225" w:lineRule="exact"/>
        <w:rPr>
          <w:sz w:val="20"/>
          <w:szCs w:val="20"/>
          <w:color w:val="auto"/>
        </w:rPr>
      </w:pPr>
    </w:p>
    <w:p>
      <w:pPr>
        <w:ind w:firstLine="875"/>
        <w:spacing w:after="0" w:line="277" w:lineRule="auto"/>
        <w:rPr>
          <w:sz w:val="20"/>
          <w:szCs w:val="20"/>
          <w:color w:val="auto"/>
        </w:rPr>
      </w:pPr>
      <w:r>
        <w:rPr>
          <w:rFonts w:ascii="Arial" w:cs="Arial" w:eastAsia="Arial" w:hAnsi="Arial"/>
          <w:sz w:val="18"/>
          <w:szCs w:val="18"/>
          <w:color w:val="auto"/>
        </w:rPr>
        <w:t>NOW THEREFORE, with the intention of being legally bound hereby, and in consideration of the mutual undertakings expressed herein, each party to this Amendment hereby agrees as follows:</w:t>
      </w:r>
    </w:p>
    <w:p>
      <w:pPr>
        <w:spacing w:after="0" w:line="170"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 to the Receivables Financing Agreement</w:t>
      </w:r>
      <w:r>
        <w:rPr>
          <w:rFonts w:ascii="Arial" w:cs="Arial" w:eastAsia="Arial" w:hAnsi="Arial"/>
          <w:sz w:val="18"/>
          <w:szCs w:val="18"/>
          <w:color w:val="auto"/>
        </w:rPr>
        <w:t xml:space="preserve">. The Receivables Financing Agreement is hereby amended to incorporate the changes shown on the marked pages of the Receivables Financing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the Borrowers and the Servicer</w:t>
      </w:r>
      <w:r>
        <w:rPr>
          <w:rFonts w:ascii="Arial" w:cs="Arial" w:eastAsia="Arial" w:hAnsi="Arial"/>
          <w:sz w:val="18"/>
          <w:szCs w:val="18"/>
          <w:color w:val="auto"/>
        </w:rPr>
        <w:t>. Each Borrower and the Servicer hereby represent and warrant to each of the parties hereto as of the date hereof as follows:</w:t>
      </w:r>
    </w:p>
    <w:p>
      <w:pPr>
        <w:spacing w:after="0" w:line="170" w:lineRule="exact"/>
        <w:rPr>
          <w:sz w:val="20"/>
          <w:szCs w:val="20"/>
          <w:color w:val="auto"/>
        </w:rPr>
      </w:pPr>
    </w:p>
    <w:p>
      <w:pPr>
        <w:jc w:val="both"/>
        <w:ind w:left="880" w:firstLine="789"/>
        <w:spacing w:after="0" w:line="259" w:lineRule="auto"/>
        <w:tabs>
          <w:tab w:leader="none" w:pos="252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made by it in the Receivables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each of the other Transaction Documents to which it is a party are true and correct in all material respects as of the date hereof unless such representations and warranties by their terms refer to an earlier date, in which case they are true and correct in all material respects as of such earlier date.</w:t>
      </w:r>
    </w:p>
    <w:p>
      <w:pPr>
        <w:spacing w:after="0" w:line="186" w:lineRule="exact"/>
        <w:rPr>
          <w:rFonts w:ascii="Arial" w:cs="Arial" w:eastAsia="Arial" w:hAnsi="Arial"/>
          <w:sz w:val="18"/>
          <w:szCs w:val="18"/>
          <w:color w:val="auto"/>
        </w:rPr>
      </w:pPr>
    </w:p>
    <w:p>
      <w:pPr>
        <w:jc w:val="both"/>
        <w:ind w:left="880" w:firstLine="789"/>
        <w:spacing w:after="0" w:line="255" w:lineRule="auto"/>
        <w:tabs>
          <w:tab w:leader="none" w:pos="253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Enforceability</w:t>
      </w:r>
      <w:r>
        <w:rPr>
          <w:rFonts w:ascii="Arial" w:cs="Arial" w:eastAsia="Arial" w:hAnsi="Arial"/>
          <w:sz w:val="18"/>
          <w:szCs w:val="18"/>
          <w:color w:val="auto"/>
        </w:rPr>
        <w:t>. The execution and delivery by it of this Amendment, and the performance of its obligations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the PSA Amendment, the Receivables Financing Agreement (as amended hereby) and the other Transaction Documents to which it is a party are within its organizational powers and have been duly authorized by all necessary action on its part, and this Amendment, the PSA Amendment, the Receivables Financing Agreement (as amended hereby) and the other Transaction Documents to which it is a party are (assuming due authorization and execution by the other parties thereto) its valid and legally binding obligations, enforceable in accordance with their terms, except (i)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ind w:left="880"/>
        <w:spacing w:after="0" w:line="263" w:lineRule="auto"/>
        <w:rPr>
          <w:sz w:val="20"/>
          <w:szCs w:val="20"/>
          <w:color w:val="auto"/>
        </w:rPr>
      </w:pPr>
      <w:r>
        <w:rPr>
          <w:rFonts w:ascii="Arial" w:cs="Arial" w:eastAsia="Arial" w:hAnsi="Arial"/>
          <w:sz w:val="18"/>
          <w:szCs w:val="18"/>
          <w:color w:val="auto"/>
        </w:rPr>
        <w:t>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184" w:lineRule="exact"/>
        <w:rPr>
          <w:sz w:val="20"/>
          <w:szCs w:val="20"/>
          <w:color w:val="auto"/>
        </w:rPr>
      </w:pPr>
    </w:p>
    <w:p>
      <w:pPr>
        <w:ind w:left="880" w:firstLine="789"/>
        <w:spacing w:after="0" w:line="277" w:lineRule="auto"/>
        <w:tabs>
          <w:tab w:leader="none" w:pos="252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No Event of Default</w:t>
      </w:r>
      <w:r>
        <w:rPr>
          <w:rFonts w:ascii="Arial" w:cs="Arial" w:eastAsia="Arial" w:hAnsi="Arial"/>
          <w:sz w:val="18"/>
          <w:szCs w:val="18"/>
          <w:color w:val="auto"/>
        </w:rPr>
        <w:t>. No Event of Default or Unmatured Event of Default has occurred and is continuing, or would</w:t>
      </w:r>
      <w:r>
        <w:rPr>
          <w:rFonts w:ascii="Arial" w:cs="Arial" w:eastAsia="Arial" w:hAnsi="Arial"/>
          <w:sz w:val="18"/>
          <w:szCs w:val="18"/>
          <w:i w:val="1"/>
          <w:iCs w:val="1"/>
          <w:color w:val="auto"/>
        </w:rPr>
        <w:t xml:space="preserve"> </w:t>
      </w:r>
      <w:r>
        <w:rPr>
          <w:rFonts w:ascii="Arial" w:cs="Arial" w:eastAsia="Arial" w:hAnsi="Arial"/>
          <w:sz w:val="18"/>
          <w:szCs w:val="18"/>
          <w:color w:val="auto"/>
        </w:rPr>
        <w:t>occur as a result of this Amendment, the PSA Amendment or the transactions contemplated hereby or thereby.</w:t>
      </w:r>
    </w:p>
    <w:p>
      <w:pPr>
        <w:spacing w:after="0" w:line="17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Effect of Amendment; Ratification</w:t>
      </w:r>
      <w:r>
        <w:rPr>
          <w:rFonts w:ascii="Arial" w:cs="Arial" w:eastAsia="Arial" w:hAnsi="Arial"/>
          <w:sz w:val="18"/>
          <w:szCs w:val="18"/>
          <w:color w:val="auto"/>
        </w:rPr>
        <w:t>. All provisions of the Receivables Financing Agreement and the other Transaction Documents, as expressly amended and modified by this Amendment, shall remain in full force and effect. After this Amendment becomes effective, all references in the Receivables Financing Agreement (or in any other Transaction Document) to “this Receivables Financing Agreement”, “this Agreement”, “hereof”, “herein” or words of similar effect referring to the Receivables Financing Agreement shall be deemed to be references to the Receivables Financing Agreement as amended by this Amendment. This Amendment shall not be deemed, either expressly or impliedly, to waive, amend or supplement any provision of the Receivables Financing Agreement other than as set forth herein. The Receivables Financing Agreement, as amended by this Amendment, is hereby ratified and confirmed in all respects.</w:t>
      </w:r>
    </w:p>
    <w:p>
      <w:pPr>
        <w:spacing w:after="0" w:line="19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Amendment shall become effective as of the date hereof, subject to the conditions precedent that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shall have received the following:</w:t>
      </w:r>
    </w:p>
    <w:p>
      <w:pPr>
        <w:spacing w:after="0" w:line="211" w:lineRule="exact"/>
        <w:rPr>
          <w:sz w:val="20"/>
          <w:szCs w:val="20"/>
          <w:color w:val="auto"/>
        </w:rPr>
      </w:pPr>
    </w:p>
    <w:p>
      <w:pPr>
        <w:ind w:left="2520" w:hanging="851"/>
        <w:spacing w:after="0"/>
        <w:tabs>
          <w:tab w:leader="none" w:pos="2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counterparts to this Amendment executed by each of the parties hereto;</w:t>
      </w:r>
    </w:p>
    <w:p>
      <w:pPr>
        <w:spacing w:after="0" w:line="225" w:lineRule="exact"/>
        <w:rPr>
          <w:rFonts w:ascii="Arial" w:cs="Arial" w:eastAsia="Arial" w:hAnsi="Arial"/>
          <w:sz w:val="18"/>
          <w:szCs w:val="18"/>
          <w:color w:val="auto"/>
        </w:rPr>
      </w:pPr>
    </w:p>
    <w:p>
      <w:pPr>
        <w:ind w:left="2520" w:hanging="851"/>
        <w:spacing w:after="0"/>
        <w:tabs>
          <w:tab w:leader="none" w:pos="2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counterparts to the PSA Amendment executed by each of the parties thereto;</w:t>
      </w:r>
    </w:p>
    <w:p>
      <w:pPr>
        <w:spacing w:after="0" w:line="225" w:lineRule="exact"/>
        <w:rPr>
          <w:rFonts w:ascii="Arial" w:cs="Arial" w:eastAsia="Arial" w:hAnsi="Arial"/>
          <w:sz w:val="18"/>
          <w:szCs w:val="18"/>
          <w:color w:val="auto"/>
        </w:rPr>
      </w:pPr>
    </w:p>
    <w:p>
      <w:pPr>
        <w:ind w:left="2520" w:hanging="851"/>
        <w:spacing w:after="0"/>
        <w:tabs>
          <w:tab w:leader="none" w:pos="2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 forma Information Package; and</w:t>
      </w:r>
    </w:p>
    <w:p>
      <w:pPr>
        <w:spacing w:after="0" w:line="225" w:lineRule="exact"/>
        <w:rPr>
          <w:rFonts w:ascii="Arial" w:cs="Arial" w:eastAsia="Arial" w:hAnsi="Arial"/>
          <w:sz w:val="18"/>
          <w:szCs w:val="18"/>
          <w:color w:val="auto"/>
        </w:rPr>
      </w:pPr>
    </w:p>
    <w:p>
      <w:pPr>
        <w:ind w:left="880" w:firstLine="789"/>
        <w:spacing w:after="0" w:line="277" w:lineRule="auto"/>
        <w:tabs>
          <w:tab w:leader="none" w:pos="25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agreements, documents, instruments, UCC financing statements, secretary certificates, lien searches and opinions listed on Annex A hereto.</w:t>
      </w:r>
    </w:p>
    <w:p>
      <w:pPr>
        <w:spacing w:after="0" w:line="17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ind w:left="880"/>
        <w:spacing w:after="0"/>
        <w:tabs>
          <w:tab w:leader="none" w:pos="24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Transaction Document</w:t>
      </w:r>
      <w:r>
        <w:rPr>
          <w:rFonts w:ascii="Arial" w:cs="Arial" w:eastAsia="Arial" w:hAnsi="Arial"/>
          <w:sz w:val="16"/>
          <w:szCs w:val="16"/>
          <w:color w:val="auto"/>
        </w:rPr>
        <w:t>.  This Amendment shall be a Transaction Document for purposes of the Receivables Financing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spacing w:after="0" w:line="16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w:t>
      </w:r>
    </w:p>
    <w:p>
      <w:pPr>
        <w:spacing w:after="0" w:line="225" w:lineRule="exact"/>
        <w:rPr>
          <w:sz w:val="20"/>
          <w:szCs w:val="20"/>
          <w:color w:val="auto"/>
        </w:rPr>
      </w:pPr>
    </w:p>
    <w:p>
      <w:pPr>
        <w:jc w:val="both"/>
        <w:ind w:firstLine="872"/>
        <w:spacing w:after="0" w:line="263" w:lineRule="auto"/>
        <w:tabs>
          <w:tab w:leader="none" w:pos="17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AMENDMENT, INCLUDING THE RIGHTS AND DUTIES OF THE PARTIES HERETO, SHALL BE GOVERNED BY, AND CONSTRUED IN ACCORDANCE WITH, THE LAWS OF THE STATE OF NEW YORK (INCLUDING SECTIONS 5-1401 AND 5-1402 OF THE GENERAL OBLIGATIONS LAW OF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STATE OF NEW YORK, BUT WITHOUT REGARD TO ANY OTHER CONFLICTS OF LAW PROVISIONS THEREOF).</w:t>
      </w:r>
    </w:p>
    <w:p>
      <w:pPr>
        <w:spacing w:after="0" w:line="225" w:lineRule="exact"/>
        <w:rPr>
          <w:sz w:val="20"/>
          <w:szCs w:val="20"/>
          <w:color w:val="auto"/>
        </w:rPr>
      </w:pPr>
    </w:p>
    <w:p>
      <w:pPr>
        <w:jc w:val="both"/>
        <w:ind w:firstLine="872"/>
        <w:spacing w:after="0" w:line="252" w:lineRule="auto"/>
        <w:tabs>
          <w:tab w:leader="none" w:pos="17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EACH PARTY HERETO HEREBY IRREVOCABLY SUBMITS TO (I) WITH RESPECT TO EACH BORROWER AND THE SERVICER, THE EXCLUSIVE JURISDICTION, AND (II) WITH RESPECT TO EACH OF THE OTHER PARTIES HERETO, THE NON-EXCLUSIVE JURISDICTION, IN EACH CASE, OF ANY NEW YORK STATE OR FEDERAL COURT SITTING IN NEW YORK CITY, NEW YORK IN ANY ACTION OR PROCEEDING ARISING OUT OF OR RELATING TO THIS AMENDMENT, AND EACH PARTY HERETO HEREBY IRREVOCABLY AGREES THAT ALL CLAIMS IN RESPECT OF SUCH ACTION OR PROCEEDING (I) IF BROUGHT BY ANY BORROWER, THE SERVICER OR ANY AFFILIATE THEREOF, SHALL BE HEARD AND DETERMINED, AND (II) IF BROUGHT BY ANY OTHER PARTY TO THIS AMENDMENT MAY BE HEARD AND DETERMINED, IN EACH CASE, IN SUCH NEW YORK STATE COURT OR, TO THE EXTENT PERMITTED BY LAW, IN SUCH FEDERAL COURT. NOTHING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AFFECT THE RIGHT OF THE ADMINISTRATIVE AGENT OR ANY OTHER CREDIT PARTY TO BRING ANY ACTION OR PROCEEDING AGAINST ANY BORROWER OR THE SERVICER OR ANY OF THEIR RESPECTIVE PROPERTY IN THE COURTS OF OTHER JURISDICTIONS. EACH BORROWER AND THE SERVICER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spacing w:after="0" w:line="19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various headings of this Amendment are included for convenience only and shall not affect the meaning or interpretation of this Amendment, the Receivables Financing Agreement or any provision hereof or thereof.</w:t>
      </w:r>
    </w:p>
    <w:p>
      <w:pPr>
        <w:spacing w:after="0" w:line="17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Performance Guaranty Ratification</w:t>
      </w:r>
      <w:r>
        <w:rPr>
          <w:rFonts w:ascii="Arial" w:cs="Arial" w:eastAsia="Arial" w:hAnsi="Arial"/>
          <w:sz w:val="18"/>
          <w:szCs w:val="18"/>
          <w:color w:val="auto"/>
        </w:rPr>
        <w:t>. After giving effect to this Amendment and the PSA Amendment and the transactions contemplated hereby and thereby, (i) each of the New Originators shall constitute “Covered Entities” for purposes of the Performance Guaranty, (ii) all of the provisions of the Performance Guaranty shall remain in full force and effect and (iii) the Performance Guarantor hereby ratifies and affirms the Performance Guaranty and acknowledges that the Performance Guaranty has continued and shall continue in full force and effect in accordance with its terms.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IGNATURE PAGES FOLLOW</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IN WITNESS WHEREOF, the parties hereto have executed this Amendment by their duly authorized officers as of the date first above written.</w:t>
      </w:r>
    </w:p>
    <w:p>
      <w:pPr>
        <w:sectPr>
          <w:pgSz w:w="11900" w:h="16838" w:orient="portrait"/>
          <w:cols w:equalWidth="0" w:num="1">
            <w:col w:w="10320"/>
          </w:cols>
          <w:pgMar w:left="1200" w:top="341" w:right="379" w:bottom="1440" w:gutter="0" w:footer="0" w:header="0"/>
        </w:sectPr>
      </w:pPr>
    </w:p>
    <w:p>
      <w:pPr>
        <w:spacing w:after="0" w:line="24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LAMAR TRS RECEIVABLES, LLC,</w:t>
      </w:r>
    </w:p>
    <w:p>
      <w:pPr>
        <w:spacing w:after="0" w:line="4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a Borrower</w:t>
      </w:r>
    </w:p>
    <w:p>
      <w:pPr>
        <w:spacing w:after="0" w:line="27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By: /s/ Jay L. Johnson</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Name: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-130175</wp:posOffset>
            </wp:positionV>
            <wp:extent cx="2442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Title: Executive Vice President, Chief Financial Officer</w:t>
      </w:r>
    </w:p>
    <w:p>
      <w:pPr>
        <w:spacing w:after="0" w:line="28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LAMAR QRS RECEIVABLES, LLC,</w:t>
      </w:r>
    </w:p>
    <w:p>
      <w:pPr>
        <w:spacing w:after="0" w:line="6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a Borrower</w:t>
      </w:r>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By: /s/ Jay L. Johnson</w:t>
      </w:r>
    </w:p>
    <w:p>
      <w:pPr>
        <w:spacing w:after="0" w:line="7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Name: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-130175</wp:posOffset>
            </wp:positionV>
            <wp:extent cx="2442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Title: Executive Vice President, Chief Financial Officer</w:t>
      </w:r>
    </w:p>
    <w:p>
      <w:pPr>
        <w:spacing w:after="0" w:line="32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LAMAR MEDIA CORP.,</w:t>
      </w:r>
    </w:p>
    <w:p>
      <w:pPr>
        <w:spacing w:after="0" w:line="5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the Servicer</w:t>
      </w:r>
    </w:p>
    <w:p>
      <w:pPr>
        <w:spacing w:after="0" w:line="30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By: /s/ Jay L. Johnson</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Name: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-130175</wp:posOffset>
            </wp:positionV>
            <wp:extent cx="2442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Title: Executive Vice President, Chief Financial Officer</w:t>
      </w:r>
    </w:p>
    <w:p>
      <w:pPr>
        <w:spacing w:after="0" w:line="266" w:lineRule="exact"/>
        <w:rPr>
          <w:sz w:val="20"/>
          <w:szCs w:val="20"/>
          <w:color w:val="auto"/>
        </w:rPr>
      </w:pPr>
    </w:p>
    <w:p>
      <w:pPr>
        <w:jc w:val="right"/>
        <w:ind w:right="140"/>
        <w:spacing w:after="0"/>
        <w:tabs>
          <w:tab w:leader="none" w:pos="43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5"/>
          <w:szCs w:val="15"/>
          <w:i w:val="1"/>
          <w:iCs w:val="1"/>
          <w:color w:val="auto"/>
        </w:rPr>
        <w:t>Second Amendment to the Receivables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452120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20"/>
          </w:cols>
          <w:pgMar w:left="1200" w:top="341" w:right="379" w:bottom="1440" w:gutter="0" w:footer="0" w:header="0"/>
          <w:type w:val="continuous"/>
        </w:sectPr>
      </w:pPr>
    </w:p>
    <w:bookmarkStart w:id="63" w:name="page64"/>
    <w:bookmarkEnd w:id="63"/>
    <w:p>
      <w:pPr>
        <w:ind w:left="3460"/>
        <w:spacing w:after="0"/>
        <w:rPr>
          <w:sz w:val="20"/>
          <w:szCs w:val="20"/>
          <w:color w:val="auto"/>
        </w:rPr>
      </w:pPr>
      <w:r>
        <w:rPr>
          <w:rFonts w:ascii="Arial" w:cs="Arial" w:eastAsia="Arial" w:hAnsi="Arial"/>
          <w:sz w:val="18"/>
          <w:szCs w:val="18"/>
          <w:b w:val="1"/>
          <w:bCs w:val="1"/>
          <w:color w:val="auto"/>
        </w:rPr>
        <w:t>PNC BANK, NATIONAL ASSOCIATION,</w:t>
      </w:r>
    </w:p>
    <w:p>
      <w:pPr>
        <w:spacing w:after="0" w:line="4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32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Michael Brown</w:t>
      </w:r>
    </w:p>
    <w:p>
      <w:pPr>
        <w:spacing w:after="0" w:line="3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Michael Brown</w:t>
      </w:r>
    </w:p>
    <w:p>
      <w:pPr>
        <w:spacing w:after="0" w:line="3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PNC BANK, NATIONAL ASSOCIATION,</w:t>
      </w:r>
    </w:p>
    <w:p>
      <w:pPr>
        <w:spacing w:after="0" w:line="6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39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 /s/ Michael Brown</w:t>
      </w:r>
    </w:p>
    <w:p>
      <w:pPr>
        <w:spacing w:after="0" w:line="5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Michael Brown</w:t>
      </w:r>
    </w:p>
    <w:p>
      <w:pPr>
        <w:spacing w:after="0" w:line="5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Title: Senior Vice President</w:t>
      </w:r>
    </w:p>
    <w:p>
      <w:pPr>
        <w:spacing w:after="0" w:line="266" w:lineRule="exact"/>
        <w:rPr>
          <w:sz w:val="20"/>
          <w:szCs w:val="20"/>
          <w:color w:val="auto"/>
        </w:rPr>
      </w:pPr>
    </w:p>
    <w:p>
      <w:pPr>
        <w:jc w:val="right"/>
        <w:spacing w:after="0"/>
        <w:tabs>
          <w:tab w:leader="none" w:pos="4340" w:val="left"/>
        </w:tabs>
        <w:rPr>
          <w:sz w:val="20"/>
          <w:szCs w:val="20"/>
          <w:color w:val="auto"/>
        </w:rPr>
      </w:pPr>
      <w:r>
        <w:rPr>
          <w:rFonts w:ascii="Arial" w:cs="Arial" w:eastAsia="Arial" w:hAnsi="Arial"/>
          <w:sz w:val="18"/>
          <w:szCs w:val="18"/>
          <w:color w:val="auto"/>
        </w:rPr>
        <w:t>S-2</w:t>
      </w:r>
      <w:r>
        <w:rPr>
          <w:sz w:val="20"/>
          <w:szCs w:val="20"/>
          <w:color w:val="auto"/>
        </w:rPr>
        <w:tab/>
      </w:r>
      <w:r>
        <w:rPr>
          <w:rFonts w:ascii="Arial" w:cs="Arial" w:eastAsia="Arial" w:hAnsi="Arial"/>
          <w:sz w:val="15"/>
          <w:szCs w:val="15"/>
          <w:i w:val="1"/>
          <w:iCs w:val="1"/>
          <w:color w:val="auto"/>
        </w:rPr>
        <w:t>Second Amendment to the Receivables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452120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40"/>
          </w:cols>
          <w:pgMar w:left="1440" w:top="337" w:right="5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Performance Guarantor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 /s/ Jay L.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Jay L.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434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5"/>
          <w:szCs w:val="15"/>
          <w:i w:val="1"/>
          <w:iCs w:val="1"/>
          <w:color w:val="auto"/>
        </w:rPr>
        <w:t>Second Amendment to the Receivables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41" w:right="51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1146175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 xml:space="preserve">EXECUTION </w:t>
      </w:r>
      <w:r>
        <w:rPr>
          <w:rFonts w:ascii="Arial" w:cs="Arial" w:eastAsia="Arial" w:hAnsi="Arial"/>
          <w:sz w:val="18"/>
          <w:szCs w:val="18"/>
          <w:b w:val="1"/>
          <w:bCs w:val="1"/>
          <w:color w:val="FF0000"/>
          <w:strike w:val="1"/>
        </w:rPr>
        <w:t>COPY</w:t>
      </w:r>
      <w:r>
        <w:rPr>
          <w:rFonts w:ascii="Arial" w:cs="Arial" w:eastAsia="Arial" w:hAnsi="Arial"/>
          <w:sz w:val="18"/>
          <w:szCs w:val="18"/>
          <w:b w:val="1"/>
          <w:bCs w:val="1"/>
          <w:u w:val="single" w:color="auto"/>
          <w:color w:val="0000FF"/>
        </w:rPr>
        <w:t>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-121920</wp:posOffset>
            </wp:positionV>
            <wp:extent cx="5226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FF0000"/>
          <w:strike w:val="1"/>
        </w:rPr>
        <w:t>First</w:t>
      </w:r>
      <w:r>
        <w:rPr>
          <w:rFonts w:ascii="Arial" w:cs="Arial" w:eastAsia="Arial" w:hAnsi="Arial"/>
          <w:sz w:val="17"/>
          <w:szCs w:val="17"/>
          <w:b w:val="1"/>
          <w:bCs w:val="1"/>
          <w:u w:val="single" w:color="auto"/>
          <w:color w:val="0000FF"/>
        </w:rPr>
        <w:t>Second</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00"/>
        </w:rPr>
        <w:t>Amendment to Receivables Financing Agreement, dated as of</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February</w:t>
      </w:r>
      <w:r>
        <w:rPr>
          <w:rFonts w:ascii="Arial" w:cs="Arial" w:eastAsia="Arial" w:hAnsi="Arial"/>
          <w:sz w:val="17"/>
          <w:szCs w:val="17"/>
          <w:b w:val="1"/>
          <w:bCs w:val="1"/>
          <w:u w:val="single" w:color="auto"/>
          <w:color w:val="0000FF"/>
        </w:rPr>
        <w:t>May</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00"/>
        </w:rPr>
        <w:t>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41910</wp:posOffset>
            </wp:positionV>
            <wp:extent cx="3517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41910</wp:posOffset>
            </wp:positionV>
            <wp:extent cx="2228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RECEIVABLES FINANCING AGREEMENT</w:t>
      </w:r>
    </w:p>
    <w:p>
      <w:pPr>
        <w:spacing w:after="0" w:line="28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December 18, 2018</w:t>
      </w: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PERSONS FROM TIME TO TIME PARTY HERETO,</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Borrowers,</w:t>
      </w:r>
    </w:p>
    <w:p>
      <w:pPr>
        <w:spacing w:after="0" w:line="265"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PERSONS FROM TIME TO TIME PARTY HERETO,</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Lenders,</w:t>
      </w:r>
    </w:p>
    <w:p>
      <w:pPr>
        <w:spacing w:after="0" w:line="26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w:t>
      </w:r>
    </w:p>
    <w:p>
      <w:pPr>
        <w:spacing w:after="0" w:line="26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LAMAR MEDIA CORP.,</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as initial Servicer,</w:t>
      </w:r>
    </w:p>
    <w:p>
      <w:pPr>
        <w:spacing w:after="0" w:line="278"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 n d</w:t>
      </w:r>
    </w:p>
    <w:p>
      <w:pPr>
        <w:spacing w:after="0" w:line="252"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PNC CAPITAL MARKETS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Structuring Agent</w:t>
      </w:r>
    </w:p>
    <w:p>
      <w:pPr>
        <w:sectPr>
          <w:pgSz w:w="11900" w:h="16838" w:orient="portrait"/>
          <w:cols w:equalWidth="0" w:num="1">
            <w:col w:w="10120"/>
          </w:cols>
          <w:pgMar w:left="1440" w:top="337" w:right="339" w:bottom="1440"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20" w:type="dxa"/>
            <w:vAlign w:val="bottom"/>
          </w:tcPr>
          <w:p>
            <w:pPr>
              <w:ind w:left="214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88"/>
        </w:trPr>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220" w:type="dxa"/>
            <w:vAlign w:val="bottom"/>
            <w:gridSpan w:val="3"/>
          </w:tcPr>
          <w:p>
            <w:pPr>
              <w:ind w:left="840"/>
              <w:spacing w:after="0"/>
              <w:rPr>
                <w:sz w:val="20"/>
                <w:szCs w:val="20"/>
                <w:color w:val="auto"/>
              </w:rPr>
            </w:pPr>
            <w:r>
              <w:rPr>
                <w:rFonts w:ascii="Arial" w:cs="Arial" w:eastAsia="Arial" w:hAnsi="Arial"/>
                <w:sz w:val="18"/>
                <w:szCs w:val="18"/>
                <w:b w:val="1"/>
                <w:bCs w:val="1"/>
                <w:color w:val="auto"/>
                <w:w w:val="83"/>
              </w:rPr>
              <w:t>Page</w:t>
            </w:r>
          </w:p>
        </w:tc>
      </w:tr>
      <w:tr>
        <w:trPr>
          <w:trHeight w:val="446"/>
        </w:trPr>
        <w:tc>
          <w:tcPr>
            <w:tcW w:w="1520" w:type="dxa"/>
            <w:vAlign w:val="bottom"/>
          </w:tcPr>
          <w:p>
            <w:pPr>
              <w:spacing w:after="0"/>
              <w:rPr>
                <w:sz w:val="20"/>
                <w:szCs w:val="20"/>
                <w:color w:val="auto"/>
              </w:rPr>
            </w:pPr>
            <w:r>
              <w:rPr>
                <w:rFonts w:ascii="Arial" w:cs="Arial" w:eastAsia="Arial" w:hAnsi="Arial"/>
                <w:sz w:val="18"/>
                <w:szCs w:val="18"/>
                <w:color w:val="auto"/>
              </w:rPr>
              <w:t>ARTICLE I</w:t>
            </w:r>
          </w:p>
        </w:tc>
        <w:tc>
          <w:tcPr>
            <w:tcW w:w="8520" w:type="dxa"/>
            <w:vAlign w:val="bottom"/>
            <w:gridSpan w:val="2"/>
          </w:tcPr>
          <w:p>
            <w:pPr>
              <w:ind w:left="400"/>
              <w:spacing w:after="0"/>
              <w:rPr>
                <w:sz w:val="20"/>
                <w:szCs w:val="20"/>
                <w:color w:val="auto"/>
              </w:rPr>
            </w:pPr>
            <w:r>
              <w:rPr>
                <w:rFonts w:ascii="Arial" w:cs="Arial" w:eastAsia="Arial" w:hAnsi="Arial"/>
                <w:sz w:val="18"/>
                <w:szCs w:val="18"/>
                <w:color w:val="auto"/>
              </w:rPr>
              <w:t>DEFINITIONS</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32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1.01.</w:t>
            </w:r>
          </w:p>
        </w:tc>
        <w:tc>
          <w:tcPr>
            <w:tcW w:w="7520" w:type="dxa"/>
            <w:vAlign w:val="bottom"/>
          </w:tcPr>
          <w:p>
            <w:pPr>
              <w:ind w:left="380"/>
              <w:spacing w:after="0"/>
              <w:rPr>
                <w:sz w:val="20"/>
                <w:szCs w:val="20"/>
                <w:color w:val="auto"/>
              </w:rPr>
            </w:pPr>
            <w:r>
              <w:rPr>
                <w:rFonts w:ascii="Arial" w:cs="Arial" w:eastAsia="Arial" w:hAnsi="Arial"/>
                <w:sz w:val="18"/>
                <w:szCs w:val="18"/>
                <w:color w:val="auto"/>
              </w:rPr>
              <w:t>Certain Defined Terms</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311"/>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1.02.</w:t>
            </w:r>
          </w:p>
        </w:tc>
        <w:tc>
          <w:tcPr>
            <w:tcW w:w="7520" w:type="dxa"/>
            <w:vAlign w:val="bottom"/>
          </w:tcPr>
          <w:p>
            <w:pPr>
              <w:ind w:left="380"/>
              <w:spacing w:after="0"/>
              <w:rPr>
                <w:sz w:val="20"/>
                <w:szCs w:val="20"/>
                <w:color w:val="auto"/>
              </w:rPr>
            </w:pPr>
            <w:r>
              <w:rPr>
                <w:rFonts w:ascii="Arial" w:cs="Arial" w:eastAsia="Arial" w:hAnsi="Arial"/>
                <w:sz w:val="18"/>
                <w:szCs w:val="18"/>
                <w:color w:val="auto"/>
              </w:rPr>
              <w:t>Other Interpretative Matters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34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35</w:t>
            </w:r>
          </w:p>
        </w:tc>
        <w:tc>
          <w:tcPr>
            <w:tcW w:w="20" w:type="dxa"/>
            <w:vAlign w:val="bottom"/>
          </w:tcPr>
          <w:p>
            <w:pPr>
              <w:spacing w:after="0"/>
              <w:rPr>
                <w:sz w:val="24"/>
                <w:szCs w:val="24"/>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tcPr>
          <w:p>
            <w:pPr>
              <w:spacing w:after="0"/>
              <w:rPr>
                <w:sz w:val="20"/>
                <w:szCs w:val="20"/>
                <w:color w:val="auto"/>
              </w:rPr>
            </w:pPr>
            <w:r>
              <w:rPr>
                <w:rFonts w:ascii="Arial" w:cs="Arial" w:eastAsia="Arial" w:hAnsi="Arial"/>
                <w:sz w:val="18"/>
                <w:szCs w:val="18"/>
                <w:color w:val="auto"/>
              </w:rPr>
              <w:t>ARTICLE II</w:t>
            </w:r>
          </w:p>
        </w:tc>
        <w:tc>
          <w:tcPr>
            <w:tcW w:w="1000" w:type="dxa"/>
            <w:vAlign w:val="bottom"/>
          </w:tcPr>
          <w:p>
            <w:pPr>
              <w:spacing w:after="0"/>
              <w:rPr>
                <w:sz w:val="22"/>
                <w:szCs w:val="22"/>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TERMS OF THE LOANS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2.01.</w:t>
            </w:r>
          </w:p>
        </w:tc>
        <w:tc>
          <w:tcPr>
            <w:tcW w:w="7520" w:type="dxa"/>
            <w:vAlign w:val="bottom"/>
          </w:tcPr>
          <w:p>
            <w:pPr>
              <w:ind w:left="380"/>
              <w:spacing w:after="0"/>
              <w:rPr>
                <w:sz w:val="20"/>
                <w:szCs w:val="20"/>
                <w:color w:val="auto"/>
              </w:rPr>
            </w:pPr>
            <w:r>
              <w:rPr>
                <w:rFonts w:ascii="Arial" w:cs="Arial" w:eastAsia="Arial" w:hAnsi="Arial"/>
                <w:sz w:val="18"/>
                <w:szCs w:val="18"/>
                <w:color w:val="auto"/>
              </w:rPr>
              <w:t>Loan Facility</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2.02.</w:t>
            </w:r>
          </w:p>
        </w:tc>
        <w:tc>
          <w:tcPr>
            <w:tcW w:w="7520" w:type="dxa"/>
            <w:vAlign w:val="bottom"/>
          </w:tcPr>
          <w:p>
            <w:pPr>
              <w:ind w:left="380"/>
              <w:spacing w:after="0"/>
              <w:rPr>
                <w:sz w:val="20"/>
                <w:szCs w:val="20"/>
                <w:color w:val="auto"/>
              </w:rPr>
            </w:pPr>
            <w:r>
              <w:rPr>
                <w:rFonts w:ascii="Arial" w:cs="Arial" w:eastAsia="Arial" w:hAnsi="Arial"/>
                <w:sz w:val="18"/>
                <w:szCs w:val="18"/>
                <w:color w:val="auto"/>
              </w:rPr>
              <w:t>Making Loans; Repayment of Loans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35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2.03.</w:t>
            </w:r>
          </w:p>
        </w:tc>
        <w:tc>
          <w:tcPr>
            <w:tcW w:w="7520" w:type="dxa"/>
            <w:vAlign w:val="bottom"/>
          </w:tcPr>
          <w:p>
            <w:pPr>
              <w:ind w:left="380"/>
              <w:spacing w:after="0"/>
              <w:rPr>
                <w:sz w:val="20"/>
                <w:szCs w:val="20"/>
                <w:color w:val="auto"/>
              </w:rPr>
            </w:pPr>
            <w:r>
              <w:rPr>
                <w:rFonts w:ascii="Arial" w:cs="Arial" w:eastAsia="Arial" w:hAnsi="Arial"/>
                <w:sz w:val="18"/>
                <w:szCs w:val="18"/>
                <w:color w:val="auto"/>
              </w:rPr>
              <w:t>Interest and Fees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37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2.04.</w:t>
            </w:r>
          </w:p>
        </w:tc>
        <w:tc>
          <w:tcPr>
            <w:tcW w:w="7520" w:type="dxa"/>
            <w:vAlign w:val="bottom"/>
          </w:tcPr>
          <w:p>
            <w:pPr>
              <w:ind w:left="380"/>
              <w:spacing w:after="0"/>
              <w:rPr>
                <w:sz w:val="20"/>
                <w:szCs w:val="20"/>
                <w:color w:val="auto"/>
              </w:rPr>
            </w:pPr>
            <w:r>
              <w:rPr>
                <w:rFonts w:ascii="Arial" w:cs="Arial" w:eastAsia="Arial" w:hAnsi="Arial"/>
                <w:sz w:val="18"/>
                <w:szCs w:val="18"/>
                <w:color w:val="auto"/>
              </w:rPr>
              <w:t>Records of Loans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2.05.</w:t>
            </w:r>
          </w:p>
        </w:tc>
        <w:tc>
          <w:tcPr>
            <w:tcW w:w="7520" w:type="dxa"/>
            <w:vAlign w:val="bottom"/>
          </w:tcPr>
          <w:p>
            <w:pPr>
              <w:ind w:left="380"/>
              <w:spacing w:after="0"/>
              <w:rPr>
                <w:sz w:val="20"/>
                <w:szCs w:val="20"/>
                <w:color w:val="auto"/>
              </w:rPr>
            </w:pPr>
            <w:r>
              <w:rPr>
                <w:rFonts w:ascii="Arial" w:cs="Arial" w:eastAsia="Arial" w:hAnsi="Arial"/>
                <w:sz w:val="18"/>
                <w:szCs w:val="18"/>
                <w:color w:val="auto"/>
              </w:rPr>
              <w:t>Selection of Interest Rates and Tranche Periods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2.06.</w:t>
            </w:r>
          </w:p>
        </w:tc>
        <w:tc>
          <w:tcPr>
            <w:tcW w:w="7520" w:type="dxa"/>
            <w:vAlign w:val="bottom"/>
          </w:tcPr>
          <w:p>
            <w:pPr>
              <w:ind w:left="380"/>
              <w:spacing w:after="0"/>
              <w:rPr>
                <w:sz w:val="20"/>
                <w:szCs w:val="20"/>
                <w:color w:val="auto"/>
              </w:rPr>
            </w:pPr>
            <w:r>
              <w:rPr>
                <w:rFonts w:ascii="Arial" w:cs="Arial" w:eastAsia="Arial" w:hAnsi="Arial"/>
                <w:sz w:val="18"/>
                <w:szCs w:val="18"/>
                <w:color w:val="auto"/>
              </w:rPr>
              <w:t>Borrowers Jointly and Severally Liable for Obligations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38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2.07.</w:t>
            </w:r>
          </w:p>
        </w:tc>
        <w:tc>
          <w:tcPr>
            <w:tcW w:w="7520" w:type="dxa"/>
            <w:vAlign w:val="bottom"/>
          </w:tcPr>
          <w:p>
            <w:pPr>
              <w:ind w:left="380"/>
              <w:spacing w:after="0"/>
              <w:rPr>
                <w:sz w:val="20"/>
                <w:szCs w:val="20"/>
                <w:color w:val="auto"/>
              </w:rPr>
            </w:pPr>
            <w:r>
              <w:rPr>
                <w:rFonts w:ascii="Arial" w:cs="Arial" w:eastAsia="Arial" w:hAnsi="Arial"/>
                <w:sz w:val="18"/>
                <w:szCs w:val="18"/>
                <w:color w:val="auto"/>
              </w:rPr>
              <w:t>Defaulting Lenders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22"/>
                <w:szCs w:val="22"/>
                <w:color w:val="auto"/>
              </w:rPr>
            </w:pPr>
          </w:p>
        </w:tc>
      </w:tr>
      <w:tr>
        <w:trPr>
          <w:trHeight w:val="20"/>
        </w:trPr>
        <w:tc>
          <w:tcPr>
            <w:tcW w:w="1520" w:type="dxa"/>
            <w:vAlign w:val="bottom"/>
          </w:tcPr>
          <w:p>
            <w:pPr>
              <w:spacing w:after="0" w:line="20" w:lineRule="exact"/>
              <w:rPr>
                <w:sz w:val="1"/>
                <w:szCs w:val="1"/>
                <w:color w:val="auto"/>
              </w:rPr>
            </w:pPr>
          </w:p>
        </w:tc>
        <w:tc>
          <w:tcPr>
            <w:tcW w:w="8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tcPr>
          <w:p>
            <w:pPr>
              <w:spacing w:after="0"/>
              <w:rPr>
                <w:sz w:val="20"/>
                <w:szCs w:val="20"/>
                <w:color w:val="auto"/>
              </w:rPr>
            </w:pPr>
            <w:r>
              <w:rPr>
                <w:rFonts w:ascii="Arial" w:cs="Arial" w:eastAsia="Arial" w:hAnsi="Arial"/>
                <w:sz w:val="18"/>
                <w:szCs w:val="18"/>
                <w:color w:val="auto"/>
              </w:rPr>
              <w:t>ARTICLE III</w:t>
            </w:r>
          </w:p>
        </w:tc>
        <w:tc>
          <w:tcPr>
            <w:tcW w:w="8520" w:type="dxa"/>
            <w:vAlign w:val="bottom"/>
            <w:gridSpan w:val="2"/>
          </w:tcPr>
          <w:p>
            <w:pPr>
              <w:ind w:left="400"/>
              <w:spacing w:after="0"/>
              <w:rPr>
                <w:sz w:val="20"/>
                <w:szCs w:val="20"/>
                <w:color w:val="auto"/>
              </w:rPr>
            </w:pPr>
            <w:r>
              <w:rPr>
                <w:rFonts w:ascii="Arial" w:cs="Arial" w:eastAsia="Arial" w:hAnsi="Arial"/>
                <w:sz w:val="18"/>
                <w:szCs w:val="18"/>
                <w:color w:val="auto"/>
              </w:rPr>
              <w:t>[RESERVED]</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22"/>
                <w:szCs w:val="22"/>
                <w:color w:val="auto"/>
              </w:rPr>
            </w:pPr>
          </w:p>
        </w:tc>
      </w:tr>
      <w:tr>
        <w:trPr>
          <w:trHeight w:val="20"/>
        </w:trPr>
        <w:tc>
          <w:tcPr>
            <w:tcW w:w="1520" w:type="dxa"/>
            <w:vAlign w:val="bottom"/>
          </w:tcPr>
          <w:p>
            <w:pPr>
              <w:spacing w:after="0" w:line="20" w:lineRule="exact"/>
              <w:rPr>
                <w:sz w:val="1"/>
                <w:szCs w:val="1"/>
                <w:color w:val="auto"/>
              </w:rPr>
            </w:pPr>
          </w:p>
        </w:tc>
        <w:tc>
          <w:tcPr>
            <w:tcW w:w="8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tcPr>
          <w:p>
            <w:pPr>
              <w:spacing w:after="0"/>
              <w:rPr>
                <w:sz w:val="20"/>
                <w:szCs w:val="20"/>
                <w:color w:val="auto"/>
              </w:rPr>
            </w:pPr>
            <w:r>
              <w:rPr>
                <w:rFonts w:ascii="Arial" w:cs="Arial" w:eastAsia="Arial" w:hAnsi="Arial"/>
                <w:sz w:val="18"/>
                <w:szCs w:val="18"/>
                <w:color w:val="auto"/>
              </w:rPr>
              <w:t>ARTICLE IV</w:t>
            </w:r>
          </w:p>
        </w:tc>
        <w:tc>
          <w:tcPr>
            <w:tcW w:w="8520" w:type="dxa"/>
            <w:vAlign w:val="bottom"/>
            <w:gridSpan w:val="2"/>
          </w:tcPr>
          <w:p>
            <w:pPr>
              <w:ind w:left="400"/>
              <w:spacing w:after="0"/>
              <w:rPr>
                <w:sz w:val="20"/>
                <w:szCs w:val="20"/>
                <w:color w:val="auto"/>
              </w:rPr>
            </w:pPr>
            <w:r>
              <w:rPr>
                <w:rFonts w:ascii="Arial" w:cs="Arial" w:eastAsia="Arial" w:hAnsi="Arial"/>
                <w:sz w:val="18"/>
                <w:szCs w:val="18"/>
                <w:color w:val="auto"/>
              </w:rPr>
              <w:t>SETTLEMENT PROCEDURES AND PAYMENT PROVISIONS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4.01.</w:t>
            </w:r>
          </w:p>
        </w:tc>
        <w:tc>
          <w:tcPr>
            <w:tcW w:w="7520" w:type="dxa"/>
            <w:vAlign w:val="bottom"/>
          </w:tcPr>
          <w:p>
            <w:pPr>
              <w:ind w:left="380"/>
              <w:spacing w:after="0"/>
              <w:rPr>
                <w:sz w:val="20"/>
                <w:szCs w:val="20"/>
                <w:color w:val="auto"/>
              </w:rPr>
            </w:pPr>
            <w:r>
              <w:rPr>
                <w:rFonts w:ascii="Arial" w:cs="Arial" w:eastAsia="Arial" w:hAnsi="Arial"/>
                <w:sz w:val="18"/>
                <w:szCs w:val="18"/>
                <w:color w:val="auto"/>
              </w:rPr>
              <w:t>Settlement Procedures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43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4.02.</w:t>
            </w:r>
          </w:p>
        </w:tc>
        <w:tc>
          <w:tcPr>
            <w:tcW w:w="7520" w:type="dxa"/>
            <w:vAlign w:val="bottom"/>
          </w:tcPr>
          <w:p>
            <w:pPr>
              <w:ind w:left="380"/>
              <w:spacing w:after="0"/>
              <w:rPr>
                <w:sz w:val="20"/>
                <w:szCs w:val="20"/>
                <w:color w:val="auto"/>
              </w:rPr>
            </w:pPr>
            <w:r>
              <w:rPr>
                <w:rFonts w:ascii="Arial" w:cs="Arial" w:eastAsia="Arial" w:hAnsi="Arial"/>
                <w:sz w:val="18"/>
                <w:szCs w:val="18"/>
                <w:color w:val="auto"/>
              </w:rPr>
              <w:t>Payments and Computations, Etc</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47</w:t>
            </w:r>
          </w:p>
        </w:tc>
        <w:tc>
          <w:tcPr>
            <w:tcW w:w="20" w:type="dxa"/>
            <w:vAlign w:val="bottom"/>
          </w:tcPr>
          <w:p>
            <w:pPr>
              <w:spacing w:after="0"/>
              <w:rPr>
                <w:sz w:val="22"/>
                <w:szCs w:val="22"/>
                <w:color w:val="auto"/>
              </w:rPr>
            </w:pPr>
          </w:p>
        </w:tc>
      </w:tr>
      <w:tr>
        <w:trPr>
          <w:trHeight w:val="20"/>
        </w:trPr>
        <w:tc>
          <w:tcPr>
            <w:tcW w:w="1520" w:type="dxa"/>
            <w:vAlign w:val="bottom"/>
          </w:tcPr>
          <w:p>
            <w:pPr>
              <w:spacing w:after="0" w:line="20" w:lineRule="exact"/>
              <w:rPr>
                <w:sz w:val="1"/>
                <w:szCs w:val="1"/>
                <w:color w:val="auto"/>
              </w:rPr>
            </w:pPr>
          </w:p>
        </w:tc>
        <w:tc>
          <w:tcPr>
            <w:tcW w:w="8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tcPr>
          <w:p>
            <w:pPr>
              <w:spacing w:after="0"/>
              <w:rPr>
                <w:sz w:val="20"/>
                <w:szCs w:val="20"/>
                <w:color w:val="auto"/>
              </w:rPr>
            </w:pPr>
            <w:r>
              <w:rPr>
                <w:rFonts w:ascii="Arial" w:cs="Arial" w:eastAsia="Arial" w:hAnsi="Arial"/>
                <w:sz w:val="18"/>
                <w:szCs w:val="18"/>
                <w:color w:val="auto"/>
              </w:rPr>
              <w:t>ARTICLE V</w:t>
            </w:r>
          </w:p>
        </w:tc>
        <w:tc>
          <w:tcPr>
            <w:tcW w:w="8520" w:type="dxa"/>
            <w:vAlign w:val="bottom"/>
            <w:gridSpan w:val="2"/>
          </w:tcPr>
          <w:p>
            <w:pPr>
              <w:ind w:left="400"/>
              <w:spacing w:after="0"/>
              <w:rPr>
                <w:sz w:val="20"/>
                <w:szCs w:val="20"/>
                <w:color w:val="auto"/>
              </w:rPr>
            </w:pPr>
            <w:r>
              <w:rPr>
                <w:rFonts w:ascii="Arial" w:cs="Arial" w:eastAsia="Arial" w:hAnsi="Arial"/>
                <w:sz w:val="18"/>
                <w:szCs w:val="18"/>
                <w:color w:val="auto"/>
              </w:rPr>
              <w:t>INCREASED COSTS; FUNDING LOSSES; TAXES; ILLEGALITY AND SECURITY INTEREST</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47</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5.01.</w:t>
            </w:r>
          </w:p>
        </w:tc>
        <w:tc>
          <w:tcPr>
            <w:tcW w:w="7520" w:type="dxa"/>
            <w:vAlign w:val="bottom"/>
          </w:tcPr>
          <w:p>
            <w:pPr>
              <w:ind w:left="380"/>
              <w:spacing w:after="0"/>
              <w:rPr>
                <w:sz w:val="20"/>
                <w:szCs w:val="20"/>
                <w:color w:val="auto"/>
              </w:rPr>
            </w:pPr>
            <w:r>
              <w:rPr>
                <w:rFonts w:ascii="Arial" w:cs="Arial" w:eastAsia="Arial" w:hAnsi="Arial"/>
                <w:sz w:val="18"/>
                <w:szCs w:val="18"/>
                <w:color w:val="auto"/>
              </w:rPr>
              <w:t>Increased Costs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46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47</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5.02.</w:t>
            </w:r>
          </w:p>
        </w:tc>
        <w:tc>
          <w:tcPr>
            <w:tcW w:w="7520" w:type="dxa"/>
            <w:vAlign w:val="bottom"/>
          </w:tcPr>
          <w:p>
            <w:pPr>
              <w:ind w:left="380"/>
              <w:spacing w:after="0"/>
              <w:rPr>
                <w:sz w:val="20"/>
                <w:szCs w:val="20"/>
                <w:color w:val="auto"/>
              </w:rPr>
            </w:pPr>
            <w:r>
              <w:rPr>
                <w:rFonts w:ascii="Arial" w:cs="Arial" w:eastAsia="Arial" w:hAnsi="Arial"/>
                <w:sz w:val="18"/>
                <w:szCs w:val="18"/>
                <w:color w:val="auto"/>
              </w:rPr>
              <w:t>Funding Losses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5.03.</w:t>
            </w:r>
          </w:p>
        </w:tc>
        <w:tc>
          <w:tcPr>
            <w:tcW w:w="7520" w:type="dxa"/>
            <w:vAlign w:val="bottom"/>
          </w:tcPr>
          <w:p>
            <w:pPr>
              <w:ind w:left="380"/>
              <w:spacing w:after="0"/>
              <w:rPr>
                <w:sz w:val="20"/>
                <w:szCs w:val="20"/>
                <w:color w:val="auto"/>
              </w:rPr>
            </w:pPr>
            <w:r>
              <w:rPr>
                <w:rFonts w:ascii="Arial" w:cs="Arial" w:eastAsia="Arial" w:hAnsi="Arial"/>
                <w:sz w:val="18"/>
                <w:szCs w:val="18"/>
                <w:color w:val="auto"/>
              </w:rPr>
              <w:t>Taxes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48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5.04.</w:t>
            </w:r>
          </w:p>
        </w:tc>
        <w:tc>
          <w:tcPr>
            <w:tcW w:w="7520" w:type="dxa"/>
            <w:vAlign w:val="bottom"/>
          </w:tcPr>
          <w:p>
            <w:pPr>
              <w:ind w:left="380"/>
              <w:spacing w:after="0"/>
              <w:rPr>
                <w:sz w:val="20"/>
                <w:szCs w:val="20"/>
                <w:color w:val="auto"/>
              </w:rPr>
            </w:pPr>
            <w:r>
              <w:rPr>
                <w:rFonts w:ascii="Arial" w:cs="Arial" w:eastAsia="Arial" w:hAnsi="Arial"/>
                <w:sz w:val="18"/>
                <w:szCs w:val="18"/>
                <w:color w:val="auto"/>
              </w:rPr>
              <w:t>Inability to Determine Adjusted LIBOR or LMIR; Change in Legality</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52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5.05.</w:t>
            </w:r>
          </w:p>
        </w:tc>
        <w:tc>
          <w:tcPr>
            <w:tcW w:w="7520" w:type="dxa"/>
            <w:vAlign w:val="bottom"/>
          </w:tcPr>
          <w:p>
            <w:pPr>
              <w:ind w:left="380"/>
              <w:spacing w:after="0"/>
              <w:rPr>
                <w:sz w:val="20"/>
                <w:szCs w:val="20"/>
                <w:color w:val="auto"/>
              </w:rPr>
            </w:pPr>
            <w:r>
              <w:rPr>
                <w:rFonts w:ascii="Arial" w:cs="Arial" w:eastAsia="Arial" w:hAnsi="Arial"/>
                <w:sz w:val="18"/>
                <w:szCs w:val="18"/>
                <w:color w:val="auto"/>
              </w:rPr>
              <w:t>Security Interest</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53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5.06.</w:t>
            </w:r>
          </w:p>
        </w:tc>
        <w:tc>
          <w:tcPr>
            <w:tcW w:w="7520" w:type="dxa"/>
            <w:vAlign w:val="bottom"/>
          </w:tcPr>
          <w:p>
            <w:pPr>
              <w:ind w:left="380"/>
              <w:spacing w:after="0"/>
              <w:rPr>
                <w:sz w:val="20"/>
                <w:szCs w:val="20"/>
                <w:color w:val="auto"/>
              </w:rPr>
            </w:pPr>
            <w:r>
              <w:rPr>
                <w:rFonts w:ascii="Arial" w:cs="Arial" w:eastAsia="Arial" w:hAnsi="Arial"/>
                <w:sz w:val="18"/>
                <w:szCs w:val="18"/>
                <w:color w:val="auto"/>
              </w:rPr>
              <w:t>Successor Adjusted LIBOR or LMIR</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54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22"/>
                <w:szCs w:val="22"/>
                <w:color w:val="auto"/>
              </w:rPr>
            </w:pPr>
          </w:p>
        </w:tc>
      </w:tr>
      <w:tr>
        <w:trPr>
          <w:trHeight w:val="20"/>
        </w:trPr>
        <w:tc>
          <w:tcPr>
            <w:tcW w:w="1520" w:type="dxa"/>
            <w:vAlign w:val="bottom"/>
          </w:tcPr>
          <w:p>
            <w:pPr>
              <w:spacing w:after="0" w:line="20" w:lineRule="exact"/>
              <w:rPr>
                <w:sz w:val="1"/>
                <w:szCs w:val="1"/>
                <w:color w:val="auto"/>
              </w:rPr>
            </w:pPr>
          </w:p>
        </w:tc>
        <w:tc>
          <w:tcPr>
            <w:tcW w:w="8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tcPr>
          <w:p>
            <w:pPr>
              <w:spacing w:after="0"/>
              <w:rPr>
                <w:sz w:val="20"/>
                <w:szCs w:val="20"/>
                <w:color w:val="auto"/>
              </w:rPr>
            </w:pPr>
            <w:r>
              <w:rPr>
                <w:rFonts w:ascii="Arial" w:cs="Arial" w:eastAsia="Arial" w:hAnsi="Arial"/>
                <w:sz w:val="18"/>
                <w:szCs w:val="18"/>
                <w:color w:val="auto"/>
              </w:rPr>
              <w:t>ARTICLE VI</w:t>
            </w:r>
          </w:p>
        </w:tc>
        <w:tc>
          <w:tcPr>
            <w:tcW w:w="8520" w:type="dxa"/>
            <w:vAlign w:val="bottom"/>
            <w:gridSpan w:val="2"/>
          </w:tcPr>
          <w:p>
            <w:pPr>
              <w:ind w:left="400"/>
              <w:spacing w:after="0"/>
              <w:rPr>
                <w:sz w:val="20"/>
                <w:szCs w:val="20"/>
                <w:color w:val="auto"/>
              </w:rPr>
            </w:pPr>
            <w:r>
              <w:rPr>
                <w:rFonts w:ascii="Arial" w:cs="Arial" w:eastAsia="Arial" w:hAnsi="Arial"/>
                <w:sz w:val="18"/>
                <w:szCs w:val="18"/>
                <w:color w:val="auto"/>
              </w:rPr>
              <w:t>CONDITIONS TO EFFECTIVENESS AND CREDIT EXTENSIONS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6.01.</w:t>
            </w:r>
          </w:p>
        </w:tc>
        <w:tc>
          <w:tcPr>
            <w:tcW w:w="7520" w:type="dxa"/>
            <w:vAlign w:val="bottom"/>
          </w:tcPr>
          <w:p>
            <w:pPr>
              <w:ind w:left="380"/>
              <w:spacing w:after="0"/>
              <w:rPr>
                <w:sz w:val="20"/>
                <w:szCs w:val="20"/>
                <w:color w:val="auto"/>
              </w:rPr>
            </w:pPr>
            <w:r>
              <w:rPr>
                <w:rFonts w:ascii="Arial" w:cs="Arial" w:eastAsia="Arial" w:hAnsi="Arial"/>
                <w:sz w:val="18"/>
                <w:szCs w:val="18"/>
                <w:color w:val="auto"/>
              </w:rPr>
              <w:t>Conditions Precedent to Effectiveness and the Initial Credit Extension</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6.02.</w:t>
            </w:r>
          </w:p>
        </w:tc>
        <w:tc>
          <w:tcPr>
            <w:tcW w:w="7520" w:type="dxa"/>
            <w:vAlign w:val="bottom"/>
          </w:tcPr>
          <w:p>
            <w:pPr>
              <w:ind w:left="380"/>
              <w:spacing w:after="0"/>
              <w:rPr>
                <w:sz w:val="20"/>
                <w:szCs w:val="20"/>
                <w:color w:val="auto"/>
              </w:rPr>
            </w:pPr>
            <w:r>
              <w:rPr>
                <w:rFonts w:ascii="Arial" w:cs="Arial" w:eastAsia="Arial" w:hAnsi="Arial"/>
                <w:sz w:val="18"/>
                <w:szCs w:val="18"/>
                <w:color w:val="auto"/>
              </w:rPr>
              <w:t>Conditions Precedent to All Credit Extensions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55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6.03.</w:t>
            </w:r>
          </w:p>
        </w:tc>
        <w:tc>
          <w:tcPr>
            <w:tcW w:w="7520" w:type="dxa"/>
            <w:vAlign w:val="bottom"/>
          </w:tcPr>
          <w:p>
            <w:pPr>
              <w:ind w:left="380"/>
              <w:spacing w:after="0"/>
              <w:rPr>
                <w:sz w:val="20"/>
                <w:szCs w:val="20"/>
                <w:color w:val="auto"/>
              </w:rPr>
            </w:pPr>
            <w:r>
              <w:rPr>
                <w:rFonts w:ascii="Arial" w:cs="Arial" w:eastAsia="Arial" w:hAnsi="Arial"/>
                <w:sz w:val="18"/>
                <w:szCs w:val="18"/>
                <w:color w:val="auto"/>
              </w:rPr>
              <w:t>Conditions Precedent to All Releases</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ARTICLE VII</w:t>
            </w:r>
          </w:p>
        </w:tc>
        <w:tc>
          <w:tcPr>
            <w:tcW w:w="8520" w:type="dxa"/>
            <w:vAlign w:val="bottom"/>
            <w:gridSpan w:val="2"/>
          </w:tcPr>
          <w:p>
            <w:pPr>
              <w:ind w:left="400"/>
              <w:spacing w:after="0"/>
              <w:rPr>
                <w:sz w:val="20"/>
                <w:szCs w:val="20"/>
                <w:color w:val="auto"/>
              </w:rPr>
            </w:pPr>
            <w:r>
              <w:rPr>
                <w:rFonts w:ascii="Arial" w:cs="Arial" w:eastAsia="Arial" w:hAnsi="Arial"/>
                <w:sz w:val="18"/>
                <w:szCs w:val="18"/>
                <w:color w:val="auto"/>
              </w:rPr>
              <w:t>REPRESENTATIONS AND WARRANTIES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24"/>
                <w:szCs w:val="24"/>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7.01.</w:t>
            </w:r>
          </w:p>
        </w:tc>
        <w:tc>
          <w:tcPr>
            <w:tcW w:w="7520" w:type="dxa"/>
            <w:vAlign w:val="bottom"/>
          </w:tcPr>
          <w:p>
            <w:pPr>
              <w:ind w:left="380"/>
              <w:spacing w:after="0"/>
              <w:rPr>
                <w:sz w:val="20"/>
                <w:szCs w:val="20"/>
                <w:color w:val="auto"/>
              </w:rPr>
            </w:pPr>
            <w:r>
              <w:rPr>
                <w:rFonts w:ascii="Arial" w:cs="Arial" w:eastAsia="Arial" w:hAnsi="Arial"/>
                <w:sz w:val="18"/>
                <w:szCs w:val="18"/>
                <w:color w:val="auto"/>
              </w:rPr>
              <w:t>Representations and Warranties of the Borrowers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7.02.</w:t>
            </w:r>
          </w:p>
        </w:tc>
        <w:tc>
          <w:tcPr>
            <w:tcW w:w="7520" w:type="dxa"/>
            <w:vAlign w:val="bottom"/>
          </w:tcPr>
          <w:p>
            <w:pPr>
              <w:ind w:left="380"/>
              <w:spacing w:after="0"/>
              <w:rPr>
                <w:sz w:val="20"/>
                <w:szCs w:val="20"/>
                <w:color w:val="auto"/>
              </w:rPr>
            </w:pPr>
            <w:r>
              <w:rPr>
                <w:rFonts w:ascii="Arial" w:cs="Arial" w:eastAsia="Arial" w:hAnsi="Arial"/>
                <w:sz w:val="18"/>
                <w:szCs w:val="18"/>
                <w:color w:val="auto"/>
              </w:rPr>
              <w:t>Representations and Warranties of the Servicer</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ARTICLE VIII</w:t>
            </w:r>
          </w:p>
        </w:tc>
        <w:tc>
          <w:tcPr>
            <w:tcW w:w="8520" w:type="dxa"/>
            <w:vAlign w:val="bottom"/>
            <w:gridSpan w:val="2"/>
          </w:tcPr>
          <w:p>
            <w:pPr>
              <w:ind w:left="400"/>
              <w:spacing w:after="0"/>
              <w:rPr>
                <w:sz w:val="20"/>
                <w:szCs w:val="20"/>
                <w:color w:val="auto"/>
              </w:rPr>
            </w:pPr>
            <w:r>
              <w:rPr>
                <w:rFonts w:ascii="Arial" w:cs="Arial" w:eastAsia="Arial" w:hAnsi="Arial"/>
                <w:sz w:val="18"/>
                <w:szCs w:val="18"/>
                <w:color w:val="auto"/>
              </w:rPr>
              <w:t>COVENANTS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66</w:t>
            </w:r>
          </w:p>
        </w:tc>
        <w:tc>
          <w:tcPr>
            <w:tcW w:w="20" w:type="dxa"/>
            <w:vAlign w:val="bottom"/>
          </w:tcPr>
          <w:p>
            <w:pPr>
              <w:spacing w:after="0"/>
              <w:rPr>
                <w:sz w:val="24"/>
                <w:szCs w:val="24"/>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8.01.</w:t>
            </w:r>
          </w:p>
        </w:tc>
        <w:tc>
          <w:tcPr>
            <w:tcW w:w="7520" w:type="dxa"/>
            <w:vAlign w:val="bottom"/>
          </w:tcPr>
          <w:p>
            <w:pPr>
              <w:ind w:left="380"/>
              <w:spacing w:after="0"/>
              <w:rPr>
                <w:sz w:val="20"/>
                <w:szCs w:val="20"/>
                <w:color w:val="auto"/>
              </w:rPr>
            </w:pPr>
            <w:r>
              <w:rPr>
                <w:rFonts w:ascii="Arial" w:cs="Arial" w:eastAsia="Arial" w:hAnsi="Arial"/>
                <w:sz w:val="18"/>
                <w:szCs w:val="18"/>
                <w:color w:val="auto"/>
              </w:rPr>
              <w:t>Covenants of the Borrowers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65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66</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8.02.</w:t>
            </w:r>
          </w:p>
        </w:tc>
        <w:tc>
          <w:tcPr>
            <w:tcW w:w="7520" w:type="dxa"/>
            <w:vAlign w:val="bottom"/>
          </w:tcPr>
          <w:p>
            <w:pPr>
              <w:ind w:left="380"/>
              <w:spacing w:after="0"/>
              <w:rPr>
                <w:sz w:val="20"/>
                <w:szCs w:val="20"/>
                <w:color w:val="auto"/>
              </w:rPr>
            </w:pPr>
            <w:r>
              <w:rPr>
                <w:rFonts w:ascii="Arial" w:cs="Arial" w:eastAsia="Arial" w:hAnsi="Arial"/>
                <w:sz w:val="18"/>
                <w:szCs w:val="18"/>
                <w:color w:val="auto"/>
              </w:rPr>
              <w:t>Covenants of the Servicer</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75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76</w:t>
            </w:r>
          </w:p>
        </w:tc>
        <w:tc>
          <w:tcPr>
            <w:tcW w:w="20" w:type="dxa"/>
            <w:vAlign w:val="bottom"/>
          </w:tcPr>
          <w:p>
            <w:pPr>
              <w:spacing w:after="0"/>
              <w:rPr>
                <w:sz w:val="22"/>
                <w:szCs w:val="22"/>
                <w:color w:val="auto"/>
              </w:rPr>
            </w:pPr>
          </w:p>
        </w:tc>
      </w:tr>
      <w:tr>
        <w:trPr>
          <w:trHeight w:val="20"/>
        </w:trPr>
        <w:tc>
          <w:tcPr>
            <w:tcW w:w="2520" w:type="dxa"/>
            <w:vAlign w:val="bottom"/>
            <w:gridSpan w:val="2"/>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520" w:type="dxa"/>
            <w:vAlign w:val="bottom"/>
            <w:gridSpan w:val="2"/>
          </w:tcPr>
          <w:p>
            <w:pPr>
              <w:ind w:left="1000"/>
              <w:spacing w:after="0"/>
              <w:rPr>
                <w:sz w:val="20"/>
                <w:szCs w:val="20"/>
                <w:color w:val="auto"/>
              </w:rPr>
            </w:pPr>
            <w:r>
              <w:rPr>
                <w:rFonts w:ascii="Arial" w:cs="Arial" w:eastAsia="Arial" w:hAnsi="Arial"/>
                <w:sz w:val="18"/>
                <w:szCs w:val="18"/>
                <w:color w:val="auto"/>
              </w:rPr>
              <w:t>SECTION 8.03.</w:t>
            </w:r>
          </w:p>
        </w:tc>
        <w:tc>
          <w:tcPr>
            <w:tcW w:w="7520" w:type="dxa"/>
            <w:vAlign w:val="bottom"/>
          </w:tcPr>
          <w:p>
            <w:pPr>
              <w:ind w:left="380"/>
              <w:spacing w:after="0"/>
              <w:rPr>
                <w:sz w:val="20"/>
                <w:szCs w:val="20"/>
                <w:color w:val="auto"/>
              </w:rPr>
            </w:pPr>
            <w:r>
              <w:rPr>
                <w:rFonts w:ascii="Arial" w:cs="Arial" w:eastAsia="Arial" w:hAnsi="Arial"/>
                <w:sz w:val="18"/>
                <w:szCs w:val="18"/>
                <w:color w:val="auto"/>
              </w:rPr>
              <w:t>Separate Existence of the Borrowers</w:t>
            </w:r>
          </w:p>
        </w:tc>
        <w:tc>
          <w:tcPr>
            <w:tcW w:w="1020" w:type="dxa"/>
            <w:vAlign w:val="bottom"/>
          </w:tcPr>
          <w:p>
            <w:pPr>
              <w:ind w:left="840"/>
              <w:spacing w:after="0"/>
              <w:rPr>
                <w:sz w:val="20"/>
                <w:szCs w:val="20"/>
                <w:color w:val="auto"/>
              </w:rPr>
            </w:pPr>
            <w:r>
              <w:rPr>
                <w:rFonts w:ascii="Arial" w:cs="Arial" w:eastAsia="Arial" w:hAnsi="Arial"/>
                <w:sz w:val="18"/>
                <w:szCs w:val="18"/>
                <w:color w:val="FF0000"/>
                <w:strike w:val="1"/>
                <w:w w:val="79"/>
              </w:rPr>
              <w:t>83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84</w:t>
            </w:r>
          </w:p>
        </w:tc>
      </w:tr>
      <w:tr>
        <w:trPr>
          <w:trHeight w:val="20"/>
        </w:trPr>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4"/>
        </w:trPr>
        <w:tc>
          <w:tcPr>
            <w:tcW w:w="1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7"/>
        </w:trPr>
        <w:tc>
          <w:tcPr>
            <w:tcW w:w="1520" w:type="dxa"/>
            <w:vAlign w:val="bottom"/>
            <w:gridSpan w:val="3"/>
          </w:tcPr>
          <w:p>
            <w:pPr>
              <w:spacing w:after="0"/>
              <w:rPr>
                <w:sz w:val="20"/>
                <w:szCs w:val="20"/>
                <w:color w:val="auto"/>
              </w:rPr>
            </w:pPr>
            <w:r>
              <w:rPr>
                <w:rFonts w:ascii="Arial" w:cs="Arial" w:eastAsia="Arial" w:hAnsi="Arial"/>
                <w:sz w:val="18"/>
                <w:szCs w:val="18"/>
                <w:color w:val="auto"/>
              </w:rPr>
              <w:t>ARTICLE IX</w:t>
            </w:r>
          </w:p>
        </w:tc>
        <w:tc>
          <w:tcPr>
            <w:tcW w:w="9180" w:type="dxa"/>
            <w:vAlign w:val="bottom"/>
            <w:gridSpan w:val="4"/>
          </w:tcPr>
          <w:p>
            <w:pPr>
              <w:ind w:left="400"/>
              <w:spacing w:after="0"/>
              <w:rPr>
                <w:sz w:val="20"/>
                <w:szCs w:val="20"/>
                <w:color w:val="auto"/>
              </w:rPr>
            </w:pPr>
            <w:r>
              <w:rPr>
                <w:rFonts w:ascii="Arial" w:cs="Arial" w:eastAsia="Arial" w:hAnsi="Arial"/>
                <w:sz w:val="18"/>
                <w:szCs w:val="18"/>
                <w:color w:val="auto"/>
              </w:rPr>
              <w:t>ADMINISTRATION AND COLLECTION OF RECEIVABLES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88</w:t>
            </w:r>
          </w:p>
        </w:tc>
        <w:tc>
          <w:tcPr>
            <w:tcW w:w="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9.01.</w:t>
            </w:r>
          </w:p>
        </w:tc>
        <w:tc>
          <w:tcPr>
            <w:tcW w:w="7800" w:type="dxa"/>
            <w:vAlign w:val="bottom"/>
            <w:gridSpan w:val="2"/>
          </w:tcPr>
          <w:p>
            <w:pPr>
              <w:spacing w:after="0"/>
              <w:rPr>
                <w:sz w:val="20"/>
                <w:szCs w:val="20"/>
                <w:color w:val="auto"/>
              </w:rPr>
            </w:pPr>
            <w:r>
              <w:rPr>
                <w:rFonts w:ascii="Arial" w:cs="Arial" w:eastAsia="Arial" w:hAnsi="Arial"/>
                <w:sz w:val="18"/>
                <w:szCs w:val="18"/>
                <w:color w:val="auto"/>
              </w:rPr>
              <w:t>Appointment of the Servicer</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88</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9.02.</w:t>
            </w:r>
          </w:p>
        </w:tc>
        <w:tc>
          <w:tcPr>
            <w:tcW w:w="7800" w:type="dxa"/>
            <w:vAlign w:val="bottom"/>
            <w:gridSpan w:val="2"/>
          </w:tcPr>
          <w:p>
            <w:pPr>
              <w:spacing w:after="0"/>
              <w:rPr>
                <w:sz w:val="20"/>
                <w:szCs w:val="20"/>
                <w:color w:val="auto"/>
              </w:rPr>
            </w:pPr>
            <w:r>
              <w:rPr>
                <w:rFonts w:ascii="Arial" w:cs="Arial" w:eastAsia="Arial" w:hAnsi="Arial"/>
                <w:sz w:val="18"/>
                <w:szCs w:val="18"/>
                <w:color w:val="auto"/>
              </w:rPr>
              <w:t>Duties of the Servicer</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89</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9.03.</w:t>
            </w:r>
          </w:p>
        </w:tc>
        <w:tc>
          <w:tcPr>
            <w:tcW w:w="7800" w:type="dxa"/>
            <w:vAlign w:val="bottom"/>
            <w:gridSpan w:val="2"/>
          </w:tcPr>
          <w:p>
            <w:pPr>
              <w:spacing w:after="0"/>
              <w:rPr>
                <w:sz w:val="20"/>
                <w:szCs w:val="20"/>
                <w:color w:val="auto"/>
              </w:rPr>
            </w:pPr>
            <w:r>
              <w:rPr>
                <w:rFonts w:ascii="Arial" w:cs="Arial" w:eastAsia="Arial" w:hAnsi="Arial"/>
                <w:sz w:val="18"/>
                <w:szCs w:val="18"/>
                <w:color w:val="auto"/>
              </w:rPr>
              <w:t>Collection Account Arrangements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90</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9.04.</w:t>
            </w:r>
          </w:p>
        </w:tc>
        <w:tc>
          <w:tcPr>
            <w:tcW w:w="7800" w:type="dxa"/>
            <w:vAlign w:val="bottom"/>
            <w:gridSpan w:val="2"/>
          </w:tcPr>
          <w:p>
            <w:pPr>
              <w:spacing w:after="0"/>
              <w:rPr>
                <w:sz w:val="20"/>
                <w:szCs w:val="20"/>
                <w:color w:val="auto"/>
              </w:rPr>
            </w:pPr>
            <w:r>
              <w:rPr>
                <w:rFonts w:ascii="Arial" w:cs="Arial" w:eastAsia="Arial" w:hAnsi="Arial"/>
                <w:sz w:val="18"/>
                <w:szCs w:val="18"/>
                <w:color w:val="auto"/>
              </w:rPr>
              <w:t>Enforcement Rights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90</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9.05.</w:t>
            </w:r>
          </w:p>
        </w:tc>
        <w:tc>
          <w:tcPr>
            <w:tcW w:w="7800" w:type="dxa"/>
            <w:vAlign w:val="bottom"/>
            <w:gridSpan w:val="2"/>
          </w:tcPr>
          <w:p>
            <w:pPr>
              <w:spacing w:after="0"/>
              <w:rPr>
                <w:sz w:val="20"/>
                <w:szCs w:val="20"/>
                <w:color w:val="auto"/>
              </w:rPr>
            </w:pPr>
            <w:r>
              <w:rPr>
                <w:rFonts w:ascii="Arial" w:cs="Arial" w:eastAsia="Arial" w:hAnsi="Arial"/>
                <w:sz w:val="18"/>
                <w:szCs w:val="18"/>
                <w:color w:val="auto"/>
              </w:rPr>
              <w:t>Responsibilities of the Borrowers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93</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9.06.</w:t>
            </w:r>
          </w:p>
        </w:tc>
        <w:tc>
          <w:tcPr>
            <w:tcW w:w="7800" w:type="dxa"/>
            <w:vAlign w:val="bottom"/>
            <w:gridSpan w:val="2"/>
          </w:tcPr>
          <w:p>
            <w:pPr>
              <w:spacing w:after="0"/>
              <w:rPr>
                <w:sz w:val="20"/>
                <w:szCs w:val="20"/>
                <w:color w:val="auto"/>
              </w:rPr>
            </w:pPr>
            <w:r>
              <w:rPr>
                <w:rFonts w:ascii="Arial" w:cs="Arial" w:eastAsia="Arial" w:hAnsi="Arial"/>
                <w:sz w:val="18"/>
                <w:szCs w:val="18"/>
                <w:color w:val="auto"/>
              </w:rPr>
              <w:t>Servicing Fee</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93</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gridSpan w:val="3"/>
          </w:tcPr>
          <w:p>
            <w:pPr>
              <w:spacing w:after="0"/>
              <w:rPr>
                <w:sz w:val="20"/>
                <w:szCs w:val="20"/>
                <w:color w:val="auto"/>
              </w:rPr>
            </w:pPr>
            <w:r>
              <w:rPr>
                <w:rFonts w:ascii="Arial" w:cs="Arial" w:eastAsia="Arial" w:hAnsi="Arial"/>
                <w:sz w:val="18"/>
                <w:szCs w:val="18"/>
                <w:color w:val="auto"/>
              </w:rPr>
              <w:t>ARTICLE X</w:t>
            </w:r>
          </w:p>
        </w:tc>
        <w:tc>
          <w:tcPr>
            <w:tcW w:w="9180" w:type="dxa"/>
            <w:vAlign w:val="bottom"/>
            <w:gridSpan w:val="4"/>
          </w:tcPr>
          <w:p>
            <w:pPr>
              <w:ind w:left="400"/>
              <w:spacing w:after="0"/>
              <w:rPr>
                <w:sz w:val="20"/>
                <w:szCs w:val="20"/>
                <w:color w:val="auto"/>
              </w:rPr>
            </w:pPr>
            <w:r>
              <w:rPr>
                <w:rFonts w:ascii="Arial" w:cs="Arial" w:eastAsia="Arial" w:hAnsi="Arial"/>
                <w:sz w:val="18"/>
                <w:szCs w:val="18"/>
                <w:color w:val="auto"/>
              </w:rPr>
              <w:t>EVENTS OF DEFAULT</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94</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10.01.</w:t>
            </w:r>
          </w:p>
        </w:tc>
        <w:tc>
          <w:tcPr>
            <w:tcW w:w="7800" w:type="dxa"/>
            <w:vAlign w:val="bottom"/>
            <w:gridSpan w:val="2"/>
          </w:tcPr>
          <w:p>
            <w:pPr>
              <w:spacing w:after="0"/>
              <w:rPr>
                <w:sz w:val="20"/>
                <w:szCs w:val="20"/>
                <w:color w:val="auto"/>
              </w:rPr>
            </w:pPr>
            <w:r>
              <w:rPr>
                <w:rFonts w:ascii="Arial" w:cs="Arial" w:eastAsia="Arial" w:hAnsi="Arial"/>
                <w:sz w:val="18"/>
                <w:szCs w:val="18"/>
                <w:color w:val="auto"/>
              </w:rPr>
              <w:t>Events of Default</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94</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gridSpan w:val="3"/>
          </w:tcPr>
          <w:p>
            <w:pPr>
              <w:spacing w:after="0"/>
              <w:rPr>
                <w:sz w:val="20"/>
                <w:szCs w:val="20"/>
                <w:color w:val="auto"/>
              </w:rPr>
            </w:pPr>
            <w:r>
              <w:rPr>
                <w:rFonts w:ascii="Arial" w:cs="Arial" w:eastAsia="Arial" w:hAnsi="Arial"/>
                <w:sz w:val="18"/>
                <w:szCs w:val="18"/>
                <w:color w:val="auto"/>
              </w:rPr>
              <w:t>ARTICLE XI</w:t>
            </w:r>
          </w:p>
        </w:tc>
        <w:tc>
          <w:tcPr>
            <w:tcW w:w="9180" w:type="dxa"/>
            <w:vAlign w:val="bottom"/>
            <w:gridSpan w:val="4"/>
          </w:tcPr>
          <w:p>
            <w:pPr>
              <w:ind w:left="400"/>
              <w:spacing w:after="0"/>
              <w:rPr>
                <w:sz w:val="20"/>
                <w:szCs w:val="20"/>
                <w:color w:val="auto"/>
              </w:rPr>
            </w:pPr>
            <w:r>
              <w:rPr>
                <w:rFonts w:ascii="Arial" w:cs="Arial" w:eastAsia="Arial" w:hAnsi="Arial"/>
                <w:sz w:val="18"/>
                <w:szCs w:val="18"/>
                <w:color w:val="auto"/>
              </w:rPr>
              <w:t>THE ADMINISTRATIVE AGENT</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98</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11.01.</w:t>
            </w:r>
          </w:p>
        </w:tc>
        <w:tc>
          <w:tcPr>
            <w:tcW w:w="7800" w:type="dxa"/>
            <w:vAlign w:val="bottom"/>
            <w:gridSpan w:val="2"/>
          </w:tcPr>
          <w:p>
            <w:pPr>
              <w:spacing w:after="0"/>
              <w:rPr>
                <w:sz w:val="20"/>
                <w:szCs w:val="20"/>
                <w:color w:val="auto"/>
              </w:rPr>
            </w:pPr>
            <w:r>
              <w:rPr>
                <w:rFonts w:ascii="Arial" w:cs="Arial" w:eastAsia="Arial" w:hAnsi="Arial"/>
                <w:sz w:val="18"/>
                <w:szCs w:val="18"/>
                <w:color w:val="auto"/>
              </w:rPr>
              <w:t>Authorization and Action</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98</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11.02.</w:t>
            </w:r>
          </w:p>
        </w:tc>
        <w:tc>
          <w:tcPr>
            <w:tcW w:w="7800" w:type="dxa"/>
            <w:vAlign w:val="bottom"/>
            <w:gridSpan w:val="2"/>
          </w:tcPr>
          <w:p>
            <w:pPr>
              <w:spacing w:after="0"/>
              <w:rPr>
                <w:sz w:val="20"/>
                <w:szCs w:val="20"/>
                <w:color w:val="auto"/>
              </w:rPr>
            </w:pPr>
            <w:r>
              <w:rPr>
                <w:rFonts w:ascii="Arial" w:cs="Arial" w:eastAsia="Arial" w:hAnsi="Arial"/>
                <w:sz w:val="18"/>
                <w:szCs w:val="18"/>
                <w:color w:val="auto"/>
              </w:rPr>
              <w:t>Administrative Agent’s Reliance, Etc</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98</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11.03.</w:t>
            </w:r>
          </w:p>
        </w:tc>
        <w:tc>
          <w:tcPr>
            <w:tcW w:w="7800" w:type="dxa"/>
            <w:vAlign w:val="bottom"/>
            <w:gridSpan w:val="2"/>
          </w:tcPr>
          <w:p>
            <w:pPr>
              <w:spacing w:after="0"/>
              <w:rPr>
                <w:sz w:val="20"/>
                <w:szCs w:val="20"/>
                <w:color w:val="auto"/>
              </w:rPr>
            </w:pPr>
            <w:r>
              <w:rPr>
                <w:rFonts w:ascii="Arial" w:cs="Arial" w:eastAsia="Arial" w:hAnsi="Arial"/>
                <w:sz w:val="18"/>
                <w:szCs w:val="18"/>
                <w:color w:val="auto"/>
              </w:rPr>
              <w:t>Administrative Agent and Affiliates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98</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11.04.</w:t>
            </w:r>
          </w:p>
        </w:tc>
        <w:tc>
          <w:tcPr>
            <w:tcW w:w="7800" w:type="dxa"/>
            <w:vAlign w:val="bottom"/>
            <w:gridSpan w:val="2"/>
          </w:tcPr>
          <w:p>
            <w:pPr>
              <w:spacing w:after="0"/>
              <w:rPr>
                <w:sz w:val="20"/>
                <w:szCs w:val="20"/>
                <w:color w:val="auto"/>
              </w:rPr>
            </w:pPr>
            <w:r>
              <w:rPr>
                <w:rFonts w:ascii="Arial" w:cs="Arial" w:eastAsia="Arial" w:hAnsi="Arial"/>
                <w:sz w:val="18"/>
                <w:szCs w:val="18"/>
                <w:color w:val="auto"/>
              </w:rPr>
              <w:t>Indemnification of Administrative Agent</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99</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11.05.</w:t>
            </w:r>
          </w:p>
        </w:tc>
        <w:tc>
          <w:tcPr>
            <w:tcW w:w="7800" w:type="dxa"/>
            <w:vAlign w:val="bottom"/>
            <w:gridSpan w:val="2"/>
          </w:tcPr>
          <w:p>
            <w:pPr>
              <w:spacing w:after="0"/>
              <w:rPr>
                <w:sz w:val="20"/>
                <w:szCs w:val="20"/>
                <w:color w:val="auto"/>
              </w:rPr>
            </w:pPr>
            <w:r>
              <w:rPr>
                <w:rFonts w:ascii="Arial" w:cs="Arial" w:eastAsia="Arial" w:hAnsi="Arial"/>
                <w:sz w:val="18"/>
                <w:szCs w:val="18"/>
                <w:color w:val="auto"/>
              </w:rPr>
              <w:t>Delegation of Duties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99</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11.06.</w:t>
            </w:r>
          </w:p>
        </w:tc>
        <w:tc>
          <w:tcPr>
            <w:tcW w:w="7800" w:type="dxa"/>
            <w:vAlign w:val="bottom"/>
            <w:gridSpan w:val="2"/>
          </w:tcPr>
          <w:p>
            <w:pPr>
              <w:spacing w:after="0"/>
              <w:rPr>
                <w:sz w:val="20"/>
                <w:szCs w:val="20"/>
                <w:color w:val="auto"/>
              </w:rPr>
            </w:pPr>
            <w:r>
              <w:rPr>
                <w:rFonts w:ascii="Arial" w:cs="Arial" w:eastAsia="Arial" w:hAnsi="Arial"/>
                <w:sz w:val="18"/>
                <w:szCs w:val="18"/>
                <w:color w:val="auto"/>
              </w:rPr>
              <w:t>Action or Inaction by Administrative Agent</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99</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11.07.</w:t>
            </w:r>
          </w:p>
        </w:tc>
        <w:tc>
          <w:tcPr>
            <w:tcW w:w="7800" w:type="dxa"/>
            <w:vAlign w:val="bottom"/>
            <w:gridSpan w:val="2"/>
          </w:tcPr>
          <w:p>
            <w:pPr>
              <w:spacing w:after="0"/>
              <w:rPr>
                <w:sz w:val="20"/>
                <w:szCs w:val="20"/>
                <w:color w:val="auto"/>
              </w:rPr>
            </w:pPr>
            <w:r>
              <w:rPr>
                <w:rFonts w:ascii="Arial" w:cs="Arial" w:eastAsia="Arial" w:hAnsi="Arial"/>
                <w:sz w:val="18"/>
                <w:szCs w:val="18"/>
                <w:color w:val="auto"/>
              </w:rPr>
              <w:t>Notice of Events of Default; Action by Administrative Agent</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99</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11.08.</w:t>
            </w:r>
          </w:p>
        </w:tc>
        <w:tc>
          <w:tcPr>
            <w:tcW w:w="7800" w:type="dxa"/>
            <w:vAlign w:val="bottom"/>
            <w:gridSpan w:val="2"/>
          </w:tcPr>
          <w:p>
            <w:pPr>
              <w:spacing w:after="0"/>
              <w:rPr>
                <w:sz w:val="20"/>
                <w:szCs w:val="20"/>
                <w:color w:val="auto"/>
              </w:rPr>
            </w:pPr>
            <w:r>
              <w:rPr>
                <w:rFonts w:ascii="Arial" w:cs="Arial" w:eastAsia="Arial" w:hAnsi="Arial"/>
                <w:sz w:val="18"/>
                <w:szCs w:val="18"/>
                <w:color w:val="auto"/>
              </w:rPr>
              <w:t>Non-Reliance on Administrative Agent and Other Parties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99</w:t>
            </w: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11.09.</w:t>
            </w:r>
          </w:p>
        </w:tc>
        <w:tc>
          <w:tcPr>
            <w:tcW w:w="7800" w:type="dxa"/>
            <w:vAlign w:val="bottom"/>
            <w:gridSpan w:val="2"/>
          </w:tcPr>
          <w:p>
            <w:pPr>
              <w:spacing w:after="0"/>
              <w:rPr>
                <w:sz w:val="20"/>
                <w:szCs w:val="20"/>
                <w:color w:val="auto"/>
              </w:rPr>
            </w:pPr>
            <w:r>
              <w:rPr>
                <w:rFonts w:ascii="Arial" w:cs="Arial" w:eastAsia="Arial" w:hAnsi="Arial"/>
                <w:sz w:val="18"/>
                <w:szCs w:val="18"/>
                <w:color w:val="auto"/>
              </w:rPr>
              <w:t>Successor Administrative Agent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99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100</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11.10.</w:t>
            </w:r>
          </w:p>
        </w:tc>
        <w:tc>
          <w:tcPr>
            <w:tcW w:w="7800" w:type="dxa"/>
            <w:vAlign w:val="bottom"/>
            <w:gridSpan w:val="2"/>
          </w:tcPr>
          <w:p>
            <w:pPr>
              <w:spacing w:after="0"/>
              <w:rPr>
                <w:sz w:val="20"/>
                <w:szCs w:val="20"/>
                <w:color w:val="auto"/>
              </w:rPr>
            </w:pPr>
            <w:r>
              <w:rPr>
                <w:rFonts w:ascii="Arial" w:cs="Arial" w:eastAsia="Arial" w:hAnsi="Arial"/>
                <w:sz w:val="18"/>
                <w:szCs w:val="18"/>
                <w:color w:val="auto"/>
              </w:rPr>
              <w:t>Structuring Agent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99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100</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w w:val="90"/>
              </w:rPr>
              <w:t>SECTION 11.11.</w:t>
            </w:r>
          </w:p>
        </w:tc>
        <w:tc>
          <w:tcPr>
            <w:tcW w:w="660" w:type="dxa"/>
            <w:vAlign w:val="bottom"/>
          </w:tcPr>
          <w:p>
            <w:pPr>
              <w:spacing w:after="0"/>
              <w:rPr>
                <w:sz w:val="22"/>
                <w:szCs w:val="22"/>
                <w:color w:val="auto"/>
              </w:rPr>
            </w:pPr>
          </w:p>
        </w:tc>
        <w:tc>
          <w:tcPr>
            <w:tcW w:w="1460" w:type="dxa"/>
            <w:vAlign w:val="bottom"/>
          </w:tcPr>
          <w:p>
            <w:pPr>
              <w:spacing w:after="0"/>
              <w:rPr>
                <w:sz w:val="20"/>
                <w:szCs w:val="20"/>
                <w:color w:val="auto"/>
              </w:rPr>
            </w:pPr>
            <w:r>
              <w:rPr>
                <w:rFonts w:ascii="Arial" w:cs="Arial" w:eastAsia="Arial" w:hAnsi="Arial"/>
                <w:sz w:val="18"/>
                <w:szCs w:val="18"/>
                <w:color w:val="0000FF"/>
                <w:w w:val="97"/>
              </w:rPr>
              <w:t>LIBOR Notification</w:t>
            </w:r>
          </w:p>
        </w:tc>
        <w:tc>
          <w:tcPr>
            <w:tcW w:w="6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100</w:t>
            </w:r>
          </w:p>
        </w:tc>
      </w:tr>
      <w:tr>
        <w:trPr>
          <w:trHeight w:val="20"/>
        </w:trPr>
        <w:tc>
          <w:tcPr>
            <w:tcW w:w="10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Borders>
              <w:top w:val="single" w:sz="8" w:color="0000FF"/>
              <w:bottom w:val="single" w:sz="8" w:color="0000FF"/>
            </w:tcBorders>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gridSpan w:val="3"/>
          </w:tcPr>
          <w:p>
            <w:pPr>
              <w:spacing w:after="0"/>
              <w:rPr>
                <w:sz w:val="20"/>
                <w:szCs w:val="20"/>
                <w:color w:val="auto"/>
              </w:rPr>
            </w:pPr>
            <w:r>
              <w:rPr>
                <w:rFonts w:ascii="Arial" w:cs="Arial" w:eastAsia="Arial" w:hAnsi="Arial"/>
                <w:sz w:val="18"/>
                <w:szCs w:val="18"/>
                <w:color w:val="auto"/>
              </w:rPr>
              <w:t>ARTICLE XII</w:t>
            </w:r>
          </w:p>
        </w:tc>
        <w:tc>
          <w:tcPr>
            <w:tcW w:w="9180" w:type="dxa"/>
            <w:vAlign w:val="bottom"/>
            <w:gridSpan w:val="4"/>
          </w:tcPr>
          <w:p>
            <w:pPr>
              <w:ind w:left="400"/>
              <w:spacing w:after="0"/>
              <w:rPr>
                <w:sz w:val="20"/>
                <w:szCs w:val="20"/>
                <w:color w:val="auto"/>
              </w:rPr>
            </w:pPr>
            <w:r>
              <w:rPr>
                <w:rFonts w:ascii="Arial" w:cs="Arial" w:eastAsia="Arial" w:hAnsi="Arial"/>
                <w:sz w:val="18"/>
                <w:szCs w:val="18"/>
                <w:color w:val="auto"/>
              </w:rPr>
              <w:t>[RESERVED]</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99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101</w:t>
            </w:r>
          </w:p>
        </w:tc>
      </w:tr>
      <w:tr>
        <w:trPr>
          <w:trHeight w:val="20"/>
        </w:trPr>
        <w:tc>
          <w:tcPr>
            <w:tcW w:w="1520" w:type="dxa"/>
            <w:vAlign w:val="bottom"/>
            <w:gridSpan w:val="3"/>
          </w:tcPr>
          <w:p>
            <w:pPr>
              <w:spacing w:after="0" w:line="20" w:lineRule="exact"/>
              <w:rPr>
                <w:sz w:val="1"/>
                <w:szCs w:val="1"/>
                <w:color w:val="auto"/>
              </w:rPr>
            </w:pPr>
          </w:p>
        </w:tc>
        <w:tc>
          <w:tcPr>
            <w:tcW w:w="9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gridSpan w:val="3"/>
          </w:tcPr>
          <w:p>
            <w:pPr>
              <w:spacing w:after="0"/>
              <w:rPr>
                <w:sz w:val="20"/>
                <w:szCs w:val="20"/>
                <w:color w:val="auto"/>
              </w:rPr>
            </w:pPr>
            <w:r>
              <w:rPr>
                <w:rFonts w:ascii="Arial" w:cs="Arial" w:eastAsia="Arial" w:hAnsi="Arial"/>
                <w:sz w:val="18"/>
                <w:szCs w:val="18"/>
                <w:color w:val="auto"/>
              </w:rPr>
              <w:t>ARTICLE XIII</w:t>
            </w:r>
          </w:p>
        </w:tc>
        <w:tc>
          <w:tcPr>
            <w:tcW w:w="9180" w:type="dxa"/>
            <w:vAlign w:val="bottom"/>
            <w:gridSpan w:val="4"/>
          </w:tcPr>
          <w:p>
            <w:pPr>
              <w:ind w:left="400"/>
              <w:spacing w:after="0"/>
              <w:rPr>
                <w:sz w:val="20"/>
                <w:szCs w:val="20"/>
                <w:color w:val="auto"/>
              </w:rPr>
            </w:pPr>
            <w:r>
              <w:rPr>
                <w:rFonts w:ascii="Arial" w:cs="Arial" w:eastAsia="Arial" w:hAnsi="Arial"/>
                <w:sz w:val="18"/>
                <w:szCs w:val="18"/>
                <w:color w:val="auto"/>
              </w:rPr>
              <w:t>INDEMNIFICATION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99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101</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13.01.</w:t>
            </w:r>
          </w:p>
        </w:tc>
        <w:tc>
          <w:tcPr>
            <w:tcW w:w="7800" w:type="dxa"/>
            <w:vAlign w:val="bottom"/>
            <w:gridSpan w:val="2"/>
          </w:tcPr>
          <w:p>
            <w:pPr>
              <w:spacing w:after="0"/>
              <w:rPr>
                <w:sz w:val="20"/>
                <w:szCs w:val="20"/>
                <w:color w:val="auto"/>
              </w:rPr>
            </w:pPr>
            <w:r>
              <w:rPr>
                <w:rFonts w:ascii="Arial" w:cs="Arial" w:eastAsia="Arial" w:hAnsi="Arial"/>
                <w:sz w:val="18"/>
                <w:szCs w:val="18"/>
                <w:color w:val="auto"/>
              </w:rPr>
              <w:t>Indemnities by the Borrowers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rPr>
              <w:t>99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101</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13.02.</w:t>
            </w:r>
          </w:p>
        </w:tc>
        <w:tc>
          <w:tcPr>
            <w:tcW w:w="7800" w:type="dxa"/>
            <w:vAlign w:val="bottom"/>
            <w:gridSpan w:val="2"/>
          </w:tcPr>
          <w:p>
            <w:pPr>
              <w:spacing w:after="0"/>
              <w:rPr>
                <w:sz w:val="20"/>
                <w:szCs w:val="20"/>
                <w:color w:val="auto"/>
              </w:rPr>
            </w:pPr>
            <w:r>
              <w:rPr>
                <w:rFonts w:ascii="Arial" w:cs="Arial" w:eastAsia="Arial" w:hAnsi="Arial"/>
                <w:sz w:val="18"/>
                <w:szCs w:val="18"/>
                <w:color w:val="auto"/>
              </w:rPr>
              <w:t>Indemnification by the Servicer</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103</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104</w:t>
            </w:r>
          </w:p>
        </w:tc>
      </w:tr>
      <w:tr>
        <w:trPr>
          <w:trHeight w:val="20"/>
        </w:trPr>
        <w:tc>
          <w:tcPr>
            <w:tcW w:w="1520" w:type="dxa"/>
            <w:vAlign w:val="bottom"/>
            <w:gridSpan w:val="3"/>
          </w:tcPr>
          <w:p>
            <w:pPr>
              <w:spacing w:after="0" w:line="20" w:lineRule="exact"/>
              <w:rPr>
                <w:sz w:val="1"/>
                <w:szCs w:val="1"/>
                <w:color w:val="auto"/>
              </w:rPr>
            </w:pPr>
          </w:p>
        </w:tc>
        <w:tc>
          <w:tcPr>
            <w:tcW w:w="9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520" w:type="dxa"/>
            <w:vAlign w:val="bottom"/>
            <w:gridSpan w:val="3"/>
          </w:tcPr>
          <w:p>
            <w:pPr>
              <w:spacing w:after="0"/>
              <w:rPr>
                <w:sz w:val="20"/>
                <w:szCs w:val="20"/>
                <w:color w:val="auto"/>
              </w:rPr>
            </w:pPr>
            <w:r>
              <w:rPr>
                <w:rFonts w:ascii="Arial" w:cs="Arial" w:eastAsia="Arial" w:hAnsi="Arial"/>
                <w:sz w:val="18"/>
                <w:szCs w:val="18"/>
                <w:color w:val="auto"/>
              </w:rPr>
              <w:t>ARTICLE XIV</w:t>
            </w:r>
          </w:p>
        </w:tc>
        <w:tc>
          <w:tcPr>
            <w:tcW w:w="9180" w:type="dxa"/>
            <w:vAlign w:val="bottom"/>
            <w:gridSpan w:val="4"/>
          </w:tcPr>
          <w:p>
            <w:pPr>
              <w:ind w:left="400"/>
              <w:spacing w:after="0"/>
              <w:rPr>
                <w:sz w:val="20"/>
                <w:szCs w:val="20"/>
                <w:color w:val="auto"/>
              </w:rPr>
            </w:pPr>
            <w:r>
              <w:rPr>
                <w:rFonts w:ascii="Arial" w:cs="Arial" w:eastAsia="Arial" w:hAnsi="Arial"/>
                <w:sz w:val="18"/>
                <w:szCs w:val="18"/>
                <w:color w:val="auto"/>
              </w:rPr>
              <w:t>MISCELLANEOUS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105</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106</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14.01.</w:t>
            </w:r>
          </w:p>
        </w:tc>
        <w:tc>
          <w:tcPr>
            <w:tcW w:w="7800" w:type="dxa"/>
            <w:vAlign w:val="bottom"/>
            <w:gridSpan w:val="2"/>
          </w:tcPr>
          <w:p>
            <w:pPr>
              <w:spacing w:after="0"/>
              <w:rPr>
                <w:sz w:val="20"/>
                <w:szCs w:val="20"/>
                <w:color w:val="auto"/>
              </w:rPr>
            </w:pPr>
            <w:r>
              <w:rPr>
                <w:rFonts w:ascii="Arial" w:cs="Arial" w:eastAsia="Arial" w:hAnsi="Arial"/>
                <w:sz w:val="18"/>
                <w:szCs w:val="18"/>
                <w:color w:val="auto"/>
              </w:rPr>
              <w:t>Amendments, Etc</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105</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106</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14.02.</w:t>
            </w:r>
          </w:p>
        </w:tc>
        <w:tc>
          <w:tcPr>
            <w:tcW w:w="7800" w:type="dxa"/>
            <w:vAlign w:val="bottom"/>
            <w:gridSpan w:val="2"/>
          </w:tcPr>
          <w:p>
            <w:pPr>
              <w:spacing w:after="0"/>
              <w:rPr>
                <w:sz w:val="20"/>
                <w:szCs w:val="20"/>
                <w:color w:val="auto"/>
              </w:rPr>
            </w:pPr>
            <w:r>
              <w:rPr>
                <w:rFonts w:ascii="Arial" w:cs="Arial" w:eastAsia="Arial" w:hAnsi="Arial"/>
                <w:sz w:val="18"/>
                <w:szCs w:val="18"/>
                <w:color w:val="auto"/>
              </w:rPr>
              <w:t>Notices, Etc</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106</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107</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14.03.</w:t>
            </w:r>
          </w:p>
        </w:tc>
        <w:tc>
          <w:tcPr>
            <w:tcW w:w="7800" w:type="dxa"/>
            <w:vAlign w:val="bottom"/>
            <w:gridSpan w:val="2"/>
          </w:tcPr>
          <w:p>
            <w:pPr>
              <w:spacing w:after="0"/>
              <w:rPr>
                <w:sz w:val="20"/>
                <w:szCs w:val="20"/>
                <w:color w:val="auto"/>
              </w:rPr>
            </w:pPr>
            <w:r>
              <w:rPr>
                <w:rFonts w:ascii="Arial" w:cs="Arial" w:eastAsia="Arial" w:hAnsi="Arial"/>
                <w:sz w:val="18"/>
                <w:szCs w:val="18"/>
                <w:color w:val="auto"/>
              </w:rPr>
              <w:t>Assignability; Addition of Lenders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106</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107</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14.04.</w:t>
            </w:r>
          </w:p>
        </w:tc>
        <w:tc>
          <w:tcPr>
            <w:tcW w:w="78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109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110</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14.05.</w:t>
            </w:r>
          </w:p>
        </w:tc>
        <w:tc>
          <w:tcPr>
            <w:tcW w:w="7800" w:type="dxa"/>
            <w:vAlign w:val="bottom"/>
            <w:gridSpan w:val="2"/>
          </w:tcPr>
          <w:p>
            <w:pPr>
              <w:spacing w:after="0"/>
              <w:rPr>
                <w:sz w:val="20"/>
                <w:szCs w:val="20"/>
                <w:color w:val="auto"/>
              </w:rPr>
            </w:pPr>
            <w:r>
              <w:rPr>
                <w:rFonts w:ascii="Arial" w:cs="Arial" w:eastAsia="Arial" w:hAnsi="Arial"/>
                <w:sz w:val="18"/>
                <w:szCs w:val="18"/>
                <w:color w:val="auto"/>
              </w:rPr>
              <w:t>No Proceedings; Limitation on Payments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109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110</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14.06.</w:t>
            </w:r>
          </w:p>
        </w:tc>
        <w:tc>
          <w:tcPr>
            <w:tcW w:w="7800" w:type="dxa"/>
            <w:vAlign w:val="bottom"/>
            <w:gridSpan w:val="2"/>
          </w:tcPr>
          <w:p>
            <w:pPr>
              <w:spacing w:after="0"/>
              <w:rPr>
                <w:sz w:val="20"/>
                <w:szCs w:val="20"/>
                <w:color w:val="auto"/>
              </w:rPr>
            </w:pPr>
            <w:r>
              <w:rPr>
                <w:rFonts w:ascii="Arial" w:cs="Arial" w:eastAsia="Arial" w:hAnsi="Arial"/>
                <w:sz w:val="18"/>
                <w:szCs w:val="18"/>
                <w:color w:val="auto"/>
              </w:rPr>
              <w:t>Confidentiality</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109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110</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14.07.</w:t>
            </w:r>
          </w:p>
        </w:tc>
        <w:tc>
          <w:tcPr>
            <w:tcW w:w="7800" w:type="dxa"/>
            <w:vAlign w:val="bottom"/>
            <w:gridSpan w:val="2"/>
          </w:tcPr>
          <w:p>
            <w:pPr>
              <w:spacing w:after="0"/>
              <w:rPr>
                <w:sz w:val="20"/>
                <w:szCs w:val="20"/>
                <w:color w:val="auto"/>
              </w:rPr>
            </w:pPr>
            <w:r>
              <w:rPr>
                <w:rFonts w:ascii="Arial" w:cs="Arial" w:eastAsia="Arial" w:hAnsi="Arial"/>
                <w:sz w:val="18"/>
                <w:szCs w:val="18"/>
                <w:color w:val="auto"/>
              </w:rPr>
              <w:t>GOVERNING LAW</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111</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112</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14.08.</w:t>
            </w:r>
          </w:p>
        </w:tc>
        <w:tc>
          <w:tcPr>
            <w:tcW w:w="7800" w:type="dxa"/>
            <w:vAlign w:val="bottom"/>
            <w:gridSpan w:val="2"/>
          </w:tcPr>
          <w:p>
            <w:pPr>
              <w:spacing w:after="0"/>
              <w:rPr>
                <w:sz w:val="20"/>
                <w:szCs w:val="20"/>
                <w:color w:val="auto"/>
              </w:rPr>
            </w:pPr>
            <w:r>
              <w:rPr>
                <w:rFonts w:ascii="Arial" w:cs="Arial" w:eastAsia="Arial" w:hAnsi="Arial"/>
                <w:sz w:val="18"/>
                <w:szCs w:val="18"/>
                <w:color w:val="auto"/>
              </w:rPr>
              <w:t>Execution in Counterparts</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111</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112</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14.09.</w:t>
            </w:r>
          </w:p>
        </w:tc>
        <w:tc>
          <w:tcPr>
            <w:tcW w:w="7800" w:type="dxa"/>
            <w:vAlign w:val="bottom"/>
            <w:gridSpan w:val="2"/>
          </w:tcPr>
          <w:p>
            <w:pPr>
              <w:spacing w:after="0"/>
              <w:rPr>
                <w:sz w:val="20"/>
                <w:szCs w:val="20"/>
                <w:color w:val="auto"/>
              </w:rPr>
            </w:pPr>
            <w:r>
              <w:rPr>
                <w:rFonts w:ascii="Arial" w:cs="Arial" w:eastAsia="Arial" w:hAnsi="Arial"/>
                <w:sz w:val="18"/>
                <w:szCs w:val="18"/>
                <w:color w:val="auto"/>
              </w:rPr>
              <w:t>Integration; Binding Effect; Survival of Termination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111</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112</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14.10.</w:t>
            </w:r>
          </w:p>
        </w:tc>
        <w:tc>
          <w:tcPr>
            <w:tcW w:w="7800" w:type="dxa"/>
            <w:vAlign w:val="bottom"/>
            <w:gridSpan w:val="2"/>
          </w:tcPr>
          <w:p>
            <w:pPr>
              <w:spacing w:after="0"/>
              <w:rPr>
                <w:sz w:val="20"/>
                <w:szCs w:val="20"/>
                <w:color w:val="auto"/>
              </w:rPr>
            </w:pPr>
            <w:r>
              <w:rPr>
                <w:rFonts w:ascii="Arial" w:cs="Arial" w:eastAsia="Arial" w:hAnsi="Arial"/>
                <w:sz w:val="18"/>
                <w:szCs w:val="18"/>
                <w:color w:val="auto"/>
              </w:rPr>
              <w:t>CONSENT TO JURISDICTION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111</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113</w:t>
            </w:r>
          </w:p>
        </w:tc>
      </w:tr>
      <w:tr>
        <w:trPr>
          <w:trHeight w:val="20"/>
        </w:trPr>
        <w:tc>
          <w:tcPr>
            <w:tcW w:w="10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1900" w:type="dxa"/>
            <w:vAlign w:val="bottom"/>
            <w:gridSpan w:val="4"/>
          </w:tcPr>
          <w:p>
            <w:pPr>
              <w:spacing w:after="0"/>
              <w:rPr>
                <w:sz w:val="20"/>
                <w:szCs w:val="20"/>
                <w:color w:val="auto"/>
              </w:rPr>
            </w:pPr>
            <w:r>
              <w:rPr>
                <w:rFonts w:ascii="Arial" w:cs="Arial" w:eastAsia="Arial" w:hAnsi="Arial"/>
                <w:sz w:val="18"/>
                <w:szCs w:val="18"/>
                <w:color w:val="auto"/>
              </w:rPr>
              <w:t>SECTION 14.11.</w:t>
            </w:r>
          </w:p>
        </w:tc>
        <w:tc>
          <w:tcPr>
            <w:tcW w:w="7800" w:type="dxa"/>
            <w:vAlign w:val="bottom"/>
            <w:gridSpan w:val="2"/>
          </w:tcPr>
          <w:p>
            <w:pPr>
              <w:spacing w:after="0"/>
              <w:rPr>
                <w:sz w:val="20"/>
                <w:szCs w:val="20"/>
                <w:color w:val="auto"/>
              </w:rPr>
            </w:pPr>
            <w:r>
              <w:rPr>
                <w:rFonts w:ascii="Arial" w:cs="Arial" w:eastAsia="Arial" w:hAnsi="Arial"/>
                <w:sz w:val="18"/>
                <w:szCs w:val="18"/>
                <w:color w:val="auto"/>
              </w:rPr>
              <w:t>WAIVER OF JURY TRIAL</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112</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113</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3"/>
        </w:trPr>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70" w:name="page71"/>
    <w:bookmarkEnd w:id="70"/>
    <w:tbl>
      <w:tblPr>
        <w:tblLayout w:type="fixed"/>
        <w:tblInd w:w="1000" w:type="dxa"/>
        <w:tblCellMar>
          <w:top w:w="0" w:type="dxa"/>
          <w:left w:w="0" w:type="dxa"/>
          <w:bottom w:w="0" w:type="dxa"/>
          <w:right w:w="0" w:type="dxa"/>
        </w:tblCellMar>
      </w:tblPr>
      <w:tr>
        <w:trPr>
          <w:trHeight w:val="217"/>
        </w:trPr>
        <w:tc>
          <w:tcPr>
            <w:tcW w:w="1580" w:type="dxa"/>
            <w:vAlign w:val="bottom"/>
          </w:tcPr>
          <w:p>
            <w:pPr>
              <w:spacing w:after="0"/>
              <w:rPr>
                <w:sz w:val="20"/>
                <w:szCs w:val="20"/>
                <w:color w:val="auto"/>
              </w:rPr>
            </w:pPr>
            <w:r>
              <w:rPr>
                <w:rFonts w:ascii="Arial" w:cs="Arial" w:eastAsia="Arial" w:hAnsi="Arial"/>
                <w:sz w:val="18"/>
                <w:szCs w:val="18"/>
                <w:color w:val="auto"/>
              </w:rPr>
              <w:t>SECTION 14.12.</w:t>
            </w:r>
          </w:p>
        </w:tc>
        <w:tc>
          <w:tcPr>
            <w:tcW w:w="8140" w:type="dxa"/>
            <w:vAlign w:val="bottom"/>
            <w:gridSpan w:val="4"/>
          </w:tcPr>
          <w:p>
            <w:pPr>
              <w:ind w:left="320"/>
              <w:spacing w:after="0"/>
              <w:rPr>
                <w:sz w:val="20"/>
                <w:szCs w:val="20"/>
                <w:color w:val="auto"/>
              </w:rPr>
            </w:pPr>
            <w:r>
              <w:rPr>
                <w:rFonts w:ascii="Arial" w:cs="Arial" w:eastAsia="Arial" w:hAnsi="Arial"/>
                <w:sz w:val="18"/>
                <w:szCs w:val="18"/>
                <w:color w:val="auto"/>
              </w:rPr>
              <w:t>Ratable Payments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112</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113</w:t>
            </w: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SECTION 14.13.</w:t>
            </w:r>
          </w:p>
        </w:tc>
        <w:tc>
          <w:tcPr>
            <w:tcW w:w="8140" w:type="dxa"/>
            <w:vAlign w:val="bottom"/>
            <w:gridSpan w:val="4"/>
          </w:tcPr>
          <w:p>
            <w:pPr>
              <w:ind w:left="320"/>
              <w:spacing w:after="0"/>
              <w:rPr>
                <w:sz w:val="20"/>
                <w:szCs w:val="20"/>
                <w:color w:val="auto"/>
              </w:rPr>
            </w:pPr>
            <w:r>
              <w:rPr>
                <w:rFonts w:ascii="Arial" w:cs="Arial" w:eastAsia="Arial" w:hAnsi="Arial"/>
                <w:sz w:val="18"/>
                <w:szCs w:val="18"/>
                <w:color w:val="auto"/>
              </w:rPr>
              <w:t>Limitation of Liability</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112</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114</w:t>
            </w: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SECTION 14.14.</w:t>
            </w:r>
          </w:p>
        </w:tc>
        <w:tc>
          <w:tcPr>
            <w:tcW w:w="8140" w:type="dxa"/>
            <w:vAlign w:val="bottom"/>
            <w:gridSpan w:val="4"/>
          </w:tcPr>
          <w:p>
            <w:pPr>
              <w:ind w:left="320"/>
              <w:spacing w:after="0"/>
              <w:rPr>
                <w:sz w:val="20"/>
                <w:szCs w:val="20"/>
                <w:color w:val="auto"/>
              </w:rPr>
            </w:pPr>
            <w:r>
              <w:rPr>
                <w:rFonts w:ascii="Arial" w:cs="Arial" w:eastAsia="Arial" w:hAnsi="Arial"/>
                <w:sz w:val="18"/>
                <w:szCs w:val="18"/>
                <w:color w:val="auto"/>
              </w:rPr>
              <w:t>Intent of the Parties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113</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114</w:t>
            </w: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SECTION 14.15.</w:t>
            </w:r>
          </w:p>
        </w:tc>
        <w:tc>
          <w:tcPr>
            <w:tcW w:w="8140" w:type="dxa"/>
            <w:vAlign w:val="bottom"/>
            <w:gridSpan w:val="4"/>
          </w:tcPr>
          <w:p>
            <w:pPr>
              <w:ind w:left="320"/>
              <w:spacing w:after="0"/>
              <w:rPr>
                <w:sz w:val="20"/>
                <w:szCs w:val="20"/>
                <w:color w:val="auto"/>
              </w:rPr>
            </w:pPr>
            <w:r>
              <w:rPr>
                <w:rFonts w:ascii="Arial" w:cs="Arial" w:eastAsia="Arial" w:hAnsi="Arial"/>
                <w:sz w:val="18"/>
                <w:szCs w:val="18"/>
                <w:color w:val="auto"/>
              </w:rPr>
              <w:t>USA Patriot Act</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113</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115</w:t>
            </w: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SECTION 14.16.</w:t>
            </w:r>
          </w:p>
        </w:tc>
        <w:tc>
          <w:tcPr>
            <w:tcW w:w="8140" w:type="dxa"/>
            <w:vAlign w:val="bottom"/>
            <w:gridSpan w:val="4"/>
          </w:tcPr>
          <w:p>
            <w:pPr>
              <w:ind w:left="320"/>
              <w:spacing w:after="0"/>
              <w:rPr>
                <w:sz w:val="20"/>
                <w:szCs w:val="20"/>
                <w:color w:val="auto"/>
              </w:rPr>
            </w:pPr>
            <w:r>
              <w:rPr>
                <w:rFonts w:ascii="Arial" w:cs="Arial" w:eastAsia="Arial" w:hAnsi="Arial"/>
                <w:sz w:val="18"/>
                <w:szCs w:val="18"/>
                <w:color w:val="auto"/>
              </w:rPr>
              <w:t>Right of Setoff</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114</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115</w:t>
            </w: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SECTION 14.17.</w:t>
            </w:r>
          </w:p>
        </w:tc>
        <w:tc>
          <w:tcPr>
            <w:tcW w:w="8140" w:type="dxa"/>
            <w:vAlign w:val="bottom"/>
            <w:gridSpan w:val="4"/>
          </w:tcPr>
          <w:p>
            <w:pPr>
              <w:ind w:left="320"/>
              <w:spacing w:after="0"/>
              <w:rPr>
                <w:sz w:val="20"/>
                <w:szCs w:val="20"/>
                <w:color w:val="auto"/>
              </w:rPr>
            </w:pPr>
            <w:r>
              <w:rPr>
                <w:rFonts w:ascii="Arial" w:cs="Arial" w:eastAsia="Arial" w:hAnsi="Arial"/>
                <w:sz w:val="18"/>
                <w:szCs w:val="18"/>
                <w:color w:val="auto"/>
              </w:rPr>
              <w:t>Severability</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114</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115</w:t>
            </w: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SECTION 14.18.</w:t>
            </w:r>
          </w:p>
        </w:tc>
        <w:tc>
          <w:tcPr>
            <w:tcW w:w="8140" w:type="dxa"/>
            <w:vAlign w:val="bottom"/>
            <w:gridSpan w:val="4"/>
          </w:tcPr>
          <w:p>
            <w:pPr>
              <w:ind w:left="320"/>
              <w:spacing w:after="0"/>
              <w:rPr>
                <w:sz w:val="20"/>
                <w:szCs w:val="20"/>
                <w:color w:val="auto"/>
              </w:rPr>
            </w:pPr>
            <w:r>
              <w:rPr>
                <w:rFonts w:ascii="Arial" w:cs="Arial" w:eastAsia="Arial" w:hAnsi="Arial"/>
                <w:sz w:val="18"/>
                <w:szCs w:val="18"/>
                <w:color w:val="auto"/>
              </w:rPr>
              <w:t>Mutual Negotiations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114</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115</w:t>
            </w: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SECTION 14.19.</w:t>
            </w:r>
          </w:p>
        </w:tc>
        <w:tc>
          <w:tcPr>
            <w:tcW w:w="8140" w:type="dxa"/>
            <w:vAlign w:val="bottom"/>
            <w:gridSpan w:val="4"/>
          </w:tcPr>
          <w:p>
            <w:pPr>
              <w:ind w:left="320"/>
              <w:spacing w:after="0"/>
              <w:rPr>
                <w:sz w:val="20"/>
                <w:szCs w:val="20"/>
                <w:color w:val="auto"/>
              </w:rPr>
            </w:pPr>
            <w:r>
              <w:rPr>
                <w:rFonts w:ascii="Arial" w:cs="Arial" w:eastAsia="Arial" w:hAnsi="Arial"/>
                <w:sz w:val="18"/>
                <w:szCs w:val="18"/>
                <w:color w:val="auto"/>
              </w:rPr>
              <w:t>Captions and Cross References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114</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115</w:t>
            </w: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264"/>
        </w:trPr>
        <w:tc>
          <w:tcPr>
            <w:tcW w:w="1580" w:type="dxa"/>
            <w:vAlign w:val="bottom"/>
          </w:tcPr>
          <w:p>
            <w:pPr>
              <w:spacing w:after="0"/>
              <w:rPr>
                <w:sz w:val="20"/>
                <w:szCs w:val="20"/>
                <w:color w:val="auto"/>
              </w:rPr>
            </w:pPr>
            <w:r>
              <w:rPr>
                <w:rFonts w:ascii="Arial" w:cs="Arial" w:eastAsia="Arial" w:hAnsi="Arial"/>
                <w:sz w:val="18"/>
                <w:szCs w:val="18"/>
                <w:color w:val="auto"/>
              </w:rPr>
              <w:t>SECTION 14.20.</w:t>
            </w:r>
          </w:p>
        </w:tc>
        <w:tc>
          <w:tcPr>
            <w:tcW w:w="2060" w:type="dxa"/>
            <w:vAlign w:val="bottom"/>
            <w:gridSpan w:val="3"/>
          </w:tcPr>
          <w:p>
            <w:pPr>
              <w:ind w:left="320"/>
              <w:spacing w:after="0"/>
              <w:rPr>
                <w:sz w:val="20"/>
                <w:szCs w:val="20"/>
                <w:color w:val="auto"/>
              </w:rPr>
            </w:pPr>
            <w:r>
              <w:rPr>
                <w:rFonts w:ascii="Arial" w:cs="Arial" w:eastAsia="Arial" w:hAnsi="Arial"/>
                <w:sz w:val="18"/>
                <w:szCs w:val="18"/>
                <w:color w:val="auto"/>
                <w:w w:val="89"/>
              </w:rPr>
              <w:t xml:space="preserve">Post-Closing </w:t>
            </w:r>
            <w:r>
              <w:rPr>
                <w:rFonts w:ascii="Arial" w:cs="Arial" w:eastAsia="Arial" w:hAnsi="Arial"/>
                <w:sz w:val="18"/>
                <w:szCs w:val="18"/>
                <w:color w:val="0000FF"/>
                <w:w w:val="89"/>
              </w:rPr>
              <w:t>Covenants</w:t>
            </w:r>
          </w:p>
        </w:tc>
        <w:tc>
          <w:tcPr>
            <w:tcW w:w="6080" w:type="dxa"/>
            <w:vAlign w:val="bottom"/>
          </w:tcPr>
          <w:p>
            <w:pPr>
              <w:ind w:left="40"/>
              <w:spacing w:after="0"/>
              <w:rPr>
                <w:sz w:val="20"/>
                <w:szCs w:val="20"/>
                <w:color w:val="auto"/>
              </w:rPr>
            </w:pPr>
            <w:r>
              <w:rPr>
                <w:rFonts w:ascii="Arial" w:cs="Arial" w:eastAsia="Arial" w:hAnsi="Arial"/>
                <w:sz w:val="18"/>
                <w:szCs w:val="18"/>
                <w:color w:val="FF0000"/>
                <w:strike w:val="1"/>
              </w:rPr>
              <w:t>Covenant</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114</w:t>
            </w:r>
          </w:p>
        </w:tc>
        <w:tc>
          <w:tcPr>
            <w:tcW w:w="260" w:type="dxa"/>
            <w:vAlign w:val="bottom"/>
          </w:tcPr>
          <w:p>
            <w:pPr>
              <w:jc w:val="right"/>
              <w:spacing w:after="0"/>
              <w:rPr>
                <w:sz w:val="20"/>
                <w:szCs w:val="20"/>
                <w:color w:val="auto"/>
              </w:rPr>
            </w:pPr>
            <w:r>
              <w:rPr>
                <w:rFonts w:ascii="Arial" w:cs="Arial" w:eastAsia="Arial" w:hAnsi="Arial"/>
                <w:sz w:val="18"/>
                <w:szCs w:val="18"/>
                <w:color w:val="0000FF"/>
                <w:w w:val="79"/>
              </w:rPr>
              <w:t>116</w:t>
            </w: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Party, as the case may be), in which case, “Attorney Costs” shall also include the fees, costs and disbursements of such separate counsel). For the avoidance of doubt, “Attorney Costs” shall include fees, costs, expenses and disbursements of McGlinchey Stafford PLLC, as a local Louisiana law firm for the Credit Parties.</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means the United States Bankruptcy Reform Act of 1978 (11 U.S.C. § 101, et seq.), as amended from time to time.</w:t>
      </w:r>
    </w:p>
    <w:p>
      <w:pPr>
        <w:spacing w:after="0" w:line="250" w:lineRule="exact"/>
        <w:rPr>
          <w:sz w:val="20"/>
          <w:szCs w:val="20"/>
          <w:color w:val="auto"/>
        </w:rPr>
      </w:pPr>
    </w:p>
    <w:p>
      <w:pPr>
        <w:ind w:right="80" w:firstLine="85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and any Lender, a fluctuating interest rate per annum as shall be in effect from time to time, which rate shall be at all times equal to the highest of:</w:t>
      </w:r>
    </w:p>
    <w:p>
      <w:pPr>
        <w:spacing w:after="0" w:line="170" w:lineRule="exact"/>
        <w:rPr>
          <w:sz w:val="20"/>
          <w:szCs w:val="20"/>
          <w:color w:val="auto"/>
        </w:rPr>
      </w:pPr>
    </w:p>
    <w:p>
      <w:pPr>
        <w:jc w:val="both"/>
        <w:ind w:firstLine="872"/>
        <w:spacing w:after="0" w:line="296" w:lineRule="auto"/>
        <w:tabs>
          <w:tab w:leader="none" w:pos="1714"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rate of interest in effect for such day as publicly announced from time to time by such Lender or its Affiliate as its “reference rate” or “prime rate”, as applicable. Such “reference rate” or “prime rate” is set by the applicable Lender or its Affiliate based upon various factors, including such Person’s costs and desired return, general economic conditions and other factors, and is used as a reference point for pricing some loans, which may be priced at, above or below such announced rate, and is not necessarily the lowest rate charged to any customer;</w:t>
      </w:r>
    </w:p>
    <w:p>
      <w:pPr>
        <w:spacing w:after="0" w:line="169" w:lineRule="exact"/>
        <w:rPr>
          <w:rFonts w:ascii="Arial" w:cs="Arial" w:eastAsia="Arial" w:hAnsi="Arial"/>
          <w:sz w:val="17"/>
          <w:szCs w:val="17"/>
          <w:color w:val="auto"/>
        </w:rPr>
      </w:pPr>
    </w:p>
    <w:p>
      <w:pPr>
        <w:ind w:left="1740" w:hanging="868"/>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0.50% per annum above the latest </w:t>
      </w:r>
      <w:r>
        <w:rPr>
          <w:rFonts w:ascii="Arial" w:cs="Arial" w:eastAsia="Arial" w:hAnsi="Arial"/>
          <w:sz w:val="18"/>
          <w:szCs w:val="18"/>
          <w:color w:val="FF0000"/>
          <w:strike w:val="1"/>
        </w:rPr>
        <w:t>Federal Funds</w:t>
      </w:r>
      <w:r>
        <w:rPr>
          <w:rFonts w:ascii="Arial" w:cs="Arial" w:eastAsia="Arial" w:hAnsi="Arial"/>
          <w:sz w:val="18"/>
          <w:szCs w:val="18"/>
          <w:u w:val="single" w:color="auto"/>
          <w:color w:val="0000FF"/>
        </w:rPr>
        <w:t>Overnight Bank Funding</w:t>
      </w:r>
      <w:r>
        <w:rPr>
          <w:rFonts w:ascii="Arial" w:cs="Arial" w:eastAsia="Arial" w:hAnsi="Arial"/>
          <w:sz w:val="18"/>
          <w:szCs w:val="18"/>
          <w:color w:val="auto"/>
        </w:rPr>
        <w:t xml:space="preserve"> Rate; and</w:t>
      </w:r>
    </w:p>
    <w:p>
      <w:pPr>
        <w:spacing w:after="0" w:line="238" w:lineRule="exact"/>
        <w:rPr>
          <w:rFonts w:ascii="Arial" w:cs="Arial" w:eastAsia="Arial" w:hAnsi="Arial"/>
          <w:sz w:val="18"/>
          <w:szCs w:val="18"/>
          <w:color w:val="auto"/>
        </w:rPr>
      </w:pPr>
    </w:p>
    <w:p>
      <w:pPr>
        <w:ind w:left="1720" w:hanging="848"/>
        <w:spacing w:after="0"/>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0.50% per annum above Adjusted LIBOR applicable to the Interest Period for which the Base Rate is then being determined.</w:t>
      </w:r>
    </w:p>
    <w:p>
      <w:pPr>
        <w:spacing w:after="0" w:line="250"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u w:val="single" w:color="auto"/>
          <w:color w:val="0000FF"/>
        </w:rPr>
        <w:t>“Benchmark Replacement” means the sum of: (a) the alternate benchmark rate that has been selected by the Administrative Agent and the Borrowers giving due consideration to (i) any selection or recommendation of a replacement rate or the mechanism for determining such a rate by the Relevant Governmental Body or (ii) any evolving or then-prevailing market convention for determining a rate of interest as a replacement to Adjusted LIBOR or LMIR, for U.S. dollar-denominated credit facilities and (b) the Benchmark Replacement Adjustment; provided that, if the Benchmark Replacement as so determined would be less than zero, the Benchmark Replacement will be deemed to be zero for the purposes of this Agreement.</w:t>
      </w:r>
    </w:p>
    <w:p>
      <w:pPr>
        <w:spacing w:after="0" w:line="16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u w:val="single" w:color="auto"/>
          <w:color w:val="0000FF"/>
        </w:rPr>
        <w:t>“Benchmark Replacement Adjustment” means, with respect to any replacement of Adjusted LIBOR or LMIR with an alternate benchmark rate for each applicable Interest Period, the spread adjustment, or method for calculating or determining such spread adjustment, (which may be a positive or negative value or zero) that has been selected by the Administrative Agent and the Borrowers (a) giving due consideration to (i) any selection or recommendation of a spread adjustment, or method for calculating or determining such spread adjustment, for the replacement of Adjusted LIBOR or LMIR with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652780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both"/>
        <w:spacing w:after="0" w:line="272" w:lineRule="auto"/>
        <w:rPr>
          <w:sz w:val="20"/>
          <w:szCs w:val="20"/>
          <w:color w:val="auto"/>
        </w:rPr>
      </w:pPr>
      <w:r>
        <w:rPr>
          <w:rFonts w:ascii="Arial" w:cs="Arial" w:eastAsia="Arial" w:hAnsi="Arial"/>
          <w:sz w:val="18"/>
          <w:szCs w:val="18"/>
          <w:u w:val="single" w:color="auto"/>
          <w:color w:val="0000FF"/>
        </w:rPr>
        <w:t>Benchmark Replacement (excluding such spread adjustment) by the Relevant Governmental Body or (ii) any evolving or then-prevailing market convention for determining a spread adjustment, or method for calculating or determining such spread adjustment, for such replacement of Adjusted LIBOR or LMIR for U.S. dollar-denominated credit facilities at such time and (b) which</w:t>
      </w:r>
      <w:r>
        <w:rPr>
          <w:rFonts w:ascii="Arial" w:cs="Arial" w:eastAsia="Arial" w:hAnsi="Arial"/>
          <w:sz w:val="18"/>
          <w:szCs w:val="18"/>
          <w:color w:val="0000FF"/>
        </w:rPr>
        <w:t xml:space="preserve"> </w:t>
      </w:r>
      <w:r>
        <w:rPr>
          <w:rFonts w:ascii="Arial" w:cs="Arial" w:eastAsia="Arial" w:hAnsi="Arial"/>
          <w:sz w:val="18"/>
          <w:szCs w:val="18"/>
          <w:color w:val="00C000"/>
        </w:rPr>
        <w:t>may also reflect adjustments to account for (i</w:t>
      </w:r>
      <w:r>
        <w:rPr>
          <w:rFonts w:ascii="Arial" w:cs="Arial" w:eastAsia="Arial" w:hAnsi="Arial"/>
          <w:sz w:val="18"/>
          <w:szCs w:val="18"/>
          <w:u w:val="single" w:color="auto"/>
          <w:color w:val="00C000"/>
        </w:rPr>
        <w:t>) the effects of the</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transition from Adjusted LIBOR or LMIR</w:t>
      </w:r>
      <w:r>
        <w:rPr>
          <w:rFonts w:ascii="Arial" w:cs="Arial" w:eastAsia="Arial" w:hAnsi="Arial"/>
          <w:sz w:val="18"/>
          <w:szCs w:val="18"/>
          <w:color w:val="00C000"/>
        </w:rPr>
        <w:t xml:space="preserve"> </w:t>
      </w:r>
      <w:r>
        <w:rPr>
          <w:rFonts w:ascii="Arial" w:cs="Arial" w:eastAsia="Arial" w:hAnsi="Arial"/>
          <w:sz w:val="18"/>
          <w:szCs w:val="18"/>
          <w:color w:val="0000FF"/>
        </w:rPr>
        <w:t>to the</w:t>
      </w:r>
      <w:r>
        <w:rPr>
          <w:rFonts w:ascii="Arial" w:cs="Arial" w:eastAsia="Arial" w:hAnsi="Arial"/>
          <w:sz w:val="18"/>
          <w:szCs w:val="18"/>
          <w:color w:val="00C000"/>
        </w:rPr>
        <w:t xml:space="preserve"> </w:t>
      </w:r>
      <w:r>
        <w:rPr>
          <w:rFonts w:ascii="Arial" w:cs="Arial" w:eastAsia="Arial" w:hAnsi="Arial"/>
          <w:sz w:val="18"/>
          <w:szCs w:val="18"/>
          <w:u w:val="single" w:color="auto"/>
          <w:color w:val="0000FF"/>
        </w:rPr>
        <w:t>Benchmark Replacement and (ii)</w:t>
      </w:r>
      <w:r>
        <w:rPr>
          <w:rFonts w:ascii="Arial" w:cs="Arial" w:eastAsia="Arial" w:hAnsi="Arial"/>
          <w:sz w:val="18"/>
          <w:szCs w:val="18"/>
          <w:color w:val="00C000"/>
        </w:rPr>
        <w:t xml:space="preserve"> </w:t>
      </w:r>
      <w:r>
        <w:rPr>
          <w:rFonts w:ascii="Arial" w:cs="Arial" w:eastAsia="Arial" w:hAnsi="Arial"/>
          <w:sz w:val="18"/>
          <w:szCs w:val="18"/>
          <w:u w:val="single" w:color="auto"/>
          <w:color w:val="00C000"/>
        </w:rPr>
        <w:t>yield- or risk-based differences between Adjusted LIBOR or LMIR</w:t>
      </w:r>
      <w:r>
        <w:rPr>
          <w:rFonts w:ascii="Arial" w:cs="Arial" w:eastAsia="Arial" w:hAnsi="Arial"/>
          <w:sz w:val="18"/>
          <w:szCs w:val="18"/>
          <w:color w:val="00C000"/>
        </w:rPr>
        <w:t xml:space="preserve"> </w:t>
      </w:r>
      <w:r>
        <w:rPr>
          <w:rFonts w:ascii="Arial" w:cs="Arial" w:eastAsia="Arial" w:hAnsi="Arial"/>
          <w:sz w:val="18"/>
          <w:szCs w:val="18"/>
          <w:color w:val="0000FF"/>
        </w:rPr>
        <w:t>and</w:t>
      </w:r>
      <w:r>
        <w:rPr>
          <w:rFonts w:ascii="Arial" w:cs="Arial" w:eastAsia="Arial" w:hAnsi="Arial"/>
          <w:sz w:val="18"/>
          <w:szCs w:val="18"/>
          <w:color w:val="00C000"/>
        </w:rPr>
        <w:t xml:space="preserve"> </w:t>
      </w:r>
      <w:r>
        <w:rPr>
          <w:rFonts w:ascii="Arial" w:cs="Arial" w:eastAsia="Arial" w:hAnsi="Arial"/>
          <w:sz w:val="18"/>
          <w:szCs w:val="18"/>
          <w:u w:val="single" w:color="auto"/>
          <w:color w:val="0000FF"/>
        </w:rPr>
        <w:t>the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-332105</wp:posOffset>
            </wp:positionV>
            <wp:extent cx="21253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2125345" cy="82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-186690</wp:posOffset>
            </wp:positionV>
            <wp:extent cx="314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314325" cy="8255"/>
                    </a:xfrm>
                    <a:prstGeom prst="rect">
                      <a:avLst/>
                    </a:prstGeom>
                    <a:noFill/>
                  </pic:spPr>
                </pic:pic>
              </a:graphicData>
            </a:graphic>
          </wp:anchor>
        </w:drawing>
        <w:drawing>
          <wp:anchor simplePos="0" relativeHeight="251657728" behindDoc="1" locked="0" layoutInCell="0" allowOverlap="1">
            <wp:simplePos x="0" y="0"/>
            <wp:positionH relativeFrom="column">
              <wp:posOffset>6938010</wp:posOffset>
            </wp:positionH>
            <wp:positionV relativeFrom="paragraph">
              <wp:posOffset>-186690</wp:posOffset>
            </wp:positionV>
            <wp:extent cx="1936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71"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7"/>
          <w:szCs w:val="17"/>
          <w:u w:val="single" w:color="auto"/>
          <w:color w:val="0000FF"/>
        </w:rPr>
        <w:t>“Benchmark Replacement Conforming Changes”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w:t>
      </w:r>
      <w:r>
        <w:rPr>
          <w:rFonts w:ascii="Arial" w:cs="Arial" w:eastAsia="Arial" w:hAnsi="Arial"/>
          <w:sz w:val="17"/>
          <w:szCs w:val="17"/>
          <w:color w:val="0000FF"/>
        </w:rPr>
        <w:t xml:space="preserve"> </w:t>
      </w:r>
      <w:r>
        <w:rPr>
          <w:rFonts w:ascii="Arial" w:cs="Arial" w:eastAsia="Arial" w:hAnsi="Arial"/>
          <w:sz w:val="17"/>
          <w:szCs w:val="17"/>
          <w:color w:val="00C000"/>
        </w:rPr>
        <w:t>if the Administrative Agent determines</w:t>
      </w:r>
      <w:r>
        <w:rPr>
          <w:rFonts w:ascii="Arial" w:cs="Arial" w:eastAsia="Arial" w:hAnsi="Arial"/>
          <w:sz w:val="17"/>
          <w:szCs w:val="17"/>
          <w:color w:val="0000FF"/>
        </w:rPr>
        <w:t xml:space="preserve"> that no market practice for the administration of the Benchmark Replacement exists, in such other </w:t>
      </w:r>
      <w:r>
        <w:rPr>
          <w:rFonts w:ascii="Arial" w:cs="Arial" w:eastAsia="Arial" w:hAnsi="Arial"/>
          <w:sz w:val="17"/>
          <w:szCs w:val="17"/>
          <w:u w:val="single" w:color="auto"/>
          <w:color w:val="0000FF"/>
        </w:rPr>
        <w:t>manner of administration as the Administrative Agent decides is reasonably necessary in connection with the administration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-193040</wp:posOffset>
            </wp:positionV>
            <wp:extent cx="66376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0000FF"/>
        </w:rPr>
        <w:t>“Benchmark Replacement Date” means the earlier to occur of the following events with respect to Adjusted LIBOR or LMIR:</w:t>
      </w:r>
    </w:p>
    <w:p>
      <w:pPr>
        <w:spacing w:after="0" w:line="239" w:lineRule="exact"/>
        <w:rPr>
          <w:sz w:val="20"/>
          <w:szCs w:val="20"/>
          <w:color w:val="auto"/>
        </w:rPr>
      </w:pPr>
    </w:p>
    <w:p>
      <w:pPr>
        <w:jc w:val="both"/>
        <w:ind w:firstLine="872"/>
        <w:spacing w:after="0" w:line="279" w:lineRule="auto"/>
        <w:tabs>
          <w:tab w:leader="none" w:pos="1721" w:val="left"/>
        </w:tabs>
        <w:numPr>
          <w:ilvl w:val="0"/>
          <w:numId w:val="4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clause (1) or (2) of the definition of “Benchmark Transition Event,” the later of (a) the date of the public statement or publication of information referenced therein and (b) the date on which the administrator of the London Interbank Offered Rate for interbank deposits in Dollars (“USD LIBOR”) permanently or indefinitely ceases to provide USD LIBOR; or</w:t>
      </w:r>
    </w:p>
    <w:p>
      <w:pPr>
        <w:spacing w:after="0" w:line="182" w:lineRule="exact"/>
        <w:rPr>
          <w:rFonts w:ascii="Arial" w:cs="Arial" w:eastAsia="Arial" w:hAnsi="Arial"/>
          <w:sz w:val="18"/>
          <w:szCs w:val="18"/>
          <w:u w:val="single" w:color="auto"/>
          <w:color w:val="0000FF"/>
        </w:rPr>
      </w:pPr>
    </w:p>
    <w:p>
      <w:pPr>
        <w:ind w:right="20" w:firstLine="872"/>
        <w:spacing w:after="0" w:line="293" w:lineRule="auto"/>
        <w:tabs>
          <w:tab w:leader="none" w:pos="1721" w:val="left"/>
        </w:tabs>
        <w:numPr>
          <w:ilvl w:val="0"/>
          <w:numId w:val="4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clause (3) of the definition of “Benchmark Transition Event,” the date of the public statement or publication of information referenced therein.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0000FF"/>
        </w:rPr>
        <w:t>“Benchmark Transition Event” means the occurrence of one or more of the following events with respect to Adjusted LIBOR or LMIR:</w:t>
      </w:r>
    </w:p>
    <w:p>
      <w:pPr>
        <w:spacing w:after="0" w:line="250" w:lineRule="exact"/>
        <w:rPr>
          <w:sz w:val="20"/>
          <w:szCs w:val="20"/>
          <w:color w:val="auto"/>
        </w:rPr>
      </w:pPr>
    </w:p>
    <w:p>
      <w:pPr>
        <w:jc w:val="both"/>
        <w:ind w:firstLine="872"/>
        <w:spacing w:after="0" w:line="279" w:lineRule="auto"/>
        <w:tabs>
          <w:tab w:leader="none" w:pos="1721"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or on behalf of the administrator of USD LIBOR announcing that such administrator has ceased or will cease to provide USD LIBOR, permanently or indefinitely, provided that, at the time of such statement or publication, there is no successor administrator that will continue to provide USD LIBOR;</w:t>
      </w:r>
    </w:p>
    <w:p>
      <w:pPr>
        <w:spacing w:after="0" w:line="182" w:lineRule="exact"/>
        <w:rPr>
          <w:rFonts w:ascii="Arial" w:cs="Arial" w:eastAsia="Arial" w:hAnsi="Arial"/>
          <w:sz w:val="18"/>
          <w:szCs w:val="18"/>
          <w:u w:val="single" w:color="auto"/>
          <w:color w:val="0000FF"/>
        </w:rPr>
      </w:pPr>
    </w:p>
    <w:p>
      <w:pPr>
        <w:jc w:val="both"/>
        <w:ind w:firstLine="872"/>
        <w:spacing w:after="0" w:line="271" w:lineRule="auto"/>
        <w:tabs>
          <w:tab w:leader="none" w:pos="1721"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a Governmental Authority having jurisdiction over the Administrative Agent, the regulatory supervisor for the administrator of USD LIBOR, the U.S. Federal Reserve System, an insolvency official with jurisdiction over the administrator for USD LIBOR, a resolution authority with jurisdiction over the administrator for USD LIBOR or a court or an entity with similar insolvency or resolution authority over the administrator for USD LIBOR, which states that the administrator of USD LIBOR has ceased or will cease to provide USD LIBOR permanently or indefinitely, provided that, at the time of such statement or publication, there is no successor administrator that will continue to provide USD LIBOR; or</w:t>
      </w:r>
    </w:p>
    <w:p>
      <w:pPr>
        <w:spacing w:after="0" w:line="190" w:lineRule="exact"/>
        <w:rPr>
          <w:rFonts w:ascii="Arial" w:cs="Arial" w:eastAsia="Arial" w:hAnsi="Arial"/>
          <w:sz w:val="18"/>
          <w:szCs w:val="18"/>
          <w:u w:val="single" w:color="auto"/>
          <w:color w:val="0000FF"/>
        </w:rPr>
      </w:pPr>
    </w:p>
    <w:p>
      <w:pPr>
        <w:ind w:firstLine="872"/>
        <w:spacing w:after="0" w:line="293" w:lineRule="auto"/>
        <w:tabs>
          <w:tab w:leader="none" w:pos="1721" w:val="left"/>
        </w:tabs>
        <w:numPr>
          <w:ilvl w:val="0"/>
          <w:numId w:val="5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public statement or publication of information by the regulatory supervisor for the administrator of USD LIBOR</w:t>
      </w:r>
      <w:r>
        <w:rPr>
          <w:rFonts w:ascii="Arial" w:cs="Arial" w:eastAsia="Arial" w:hAnsi="Arial"/>
          <w:sz w:val="18"/>
          <w:szCs w:val="18"/>
          <w:color w:val="0000FF"/>
        </w:rPr>
        <w:t xml:space="preserve"> </w:t>
      </w:r>
      <w:r>
        <w:rPr>
          <w:rFonts w:ascii="Arial" w:cs="Arial" w:eastAsia="Arial" w:hAnsi="Arial"/>
          <w:sz w:val="18"/>
          <w:szCs w:val="18"/>
          <w:color w:val="00C000"/>
        </w:rPr>
        <w:t>or a</w:t>
      </w:r>
      <w:r>
        <w:rPr>
          <w:rFonts w:ascii="Arial" w:cs="Arial" w:eastAsia="Arial" w:hAnsi="Arial"/>
          <w:sz w:val="18"/>
          <w:szCs w:val="18"/>
          <w:color w:val="0000FF"/>
        </w:rPr>
        <w:t xml:space="preserve"> </w:t>
      </w:r>
      <w:r>
        <w:rPr>
          <w:rFonts w:ascii="Arial" w:cs="Arial" w:eastAsia="Arial" w:hAnsi="Arial"/>
          <w:sz w:val="18"/>
          <w:szCs w:val="18"/>
          <w:u w:val="single" w:color="auto"/>
          <w:color w:val="00C000"/>
        </w:rPr>
        <w:t xml:space="preserve">Governmental Authority having jurisdiction over the Administrative Agent </w:t>
      </w:r>
      <w:r>
        <w:rPr>
          <w:rFonts w:ascii="Arial" w:cs="Arial" w:eastAsia="Arial" w:hAnsi="Arial"/>
          <w:sz w:val="18"/>
          <w:szCs w:val="18"/>
          <w:u w:val="single" w:color="auto"/>
          <w:color w:val="0000FF"/>
        </w:rPr>
        <w:t>announcing that USD LIBOR is no longer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6861175</wp:posOffset>
            </wp:positionH>
            <wp:positionV relativeFrom="paragraph">
              <wp:posOffset>-200025</wp:posOffset>
            </wp:positionV>
            <wp:extent cx="2717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2" w:name="page73"/>
    <w:bookmarkEnd w:id="72"/>
    <w:p>
      <w:pPr>
        <w:jc w:val="both"/>
        <w:ind w:firstLine="864"/>
        <w:spacing w:after="0" w:line="314" w:lineRule="auto"/>
        <w:rPr>
          <w:sz w:val="20"/>
          <w:szCs w:val="20"/>
          <w:color w:val="auto"/>
        </w:rPr>
      </w:pPr>
      <w:r>
        <w:rPr>
          <w:rFonts w:ascii="Arial" w:cs="Arial" w:eastAsia="Arial" w:hAnsi="Arial"/>
          <w:sz w:val="16"/>
          <w:szCs w:val="16"/>
          <w:u w:val="single" w:color="auto"/>
          <w:color w:val="0000FF"/>
        </w:rPr>
        <w:t>“Benchmark Unavailability Period” means, if a Benchmark Transition Event and its related Benchmark Replacement Date have occurred with respect to Adjusted LIBOR or LMIR and solely to the extent that Adjusted LIBOR or LMIR (as the case may be) has not been replaced with a Benchmark Replacement, the period (x) beginning at the time that such Benchmark Replacement Date has occurred if, at such time, no Benchmark Replacement has replaced Adjusted LIBOR or LMIR (as the case may be) for all purposes hereunder in accordance with Section 5.06 and (y) ending at the time that a Benchmark Replacement has replaced Adjusted LIBOR or LMIR (as the case may be) for all purposes hereunder pursuant to Section 5.06.</w:t>
      </w:r>
    </w:p>
    <w:p>
      <w:pPr>
        <w:spacing w:after="0" w:line="160"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xml:space="preserve">” has the meaning specified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 “</w:t>
      </w:r>
      <w:r>
        <w:rPr>
          <w:rFonts w:ascii="Arial" w:cs="Arial" w:eastAsia="Arial" w:hAnsi="Arial"/>
          <w:sz w:val="18"/>
          <w:szCs w:val="18"/>
          <w:u w:val="single" w:color="auto"/>
          <w:color w:val="auto"/>
        </w:rPr>
        <w:t>Borrower Indemnified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13.01(a)</w:t>
      </w:r>
      <w:r>
        <w:rPr>
          <w:rFonts w:ascii="Arial" w:cs="Arial" w:eastAsia="Arial" w:hAnsi="Arial"/>
          <w:sz w:val="18"/>
          <w:szCs w:val="18"/>
          <w:color w:val="auto"/>
        </w:rPr>
        <w:t>. “</w:t>
      </w:r>
      <w:r>
        <w:rPr>
          <w:rFonts w:ascii="Arial" w:cs="Arial" w:eastAsia="Arial" w:hAnsi="Arial"/>
          <w:sz w:val="18"/>
          <w:szCs w:val="18"/>
          <w:u w:val="single" w:color="auto"/>
          <w:color w:val="auto"/>
        </w:rPr>
        <w:t>Borrower 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13.01(a)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-53975</wp:posOffset>
            </wp:positionV>
            <wp:extent cx="285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0"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Obligations</w:t>
      </w:r>
      <w:r>
        <w:rPr>
          <w:rFonts w:ascii="Arial" w:cs="Arial" w:eastAsia="Arial" w:hAnsi="Arial"/>
          <w:sz w:val="17"/>
          <w:szCs w:val="17"/>
          <w:color w:val="auto"/>
        </w:rPr>
        <w:t>” means all present and future indebtedness, reimbursement obligations, and other liabilities and obligations (howsoever created, arising or evidenced, whether direct or indirect, absolute or contingent, or due or to become due) of the Borrowers to any Credit Party, Borrower Indemnified Party and/or any Affected Person, arising under or in connection with this Agreement or any other Transaction Document or the transactions contemplated hereby or thereby, and shall include, without limitation, all Capital and Interest on the Loans, all Fees and all other amounts due or to become due under the Transaction Documents (whether in respect of fees, costs, expenses, indemnifications or otherwise), including, without limitation, interest, fees and other obligations that accrue after the commencement of any Insolvency Proceeding with respect to any Borrower (in each case whether or not allowed as a claim in such proceeding).</w:t>
      </w:r>
    </w:p>
    <w:p>
      <w:pPr>
        <w:spacing w:after="0" w:line="181"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Borrowers’ Net Worth</w:t>
      </w:r>
      <w:r>
        <w:rPr>
          <w:rFonts w:ascii="Arial" w:cs="Arial" w:eastAsia="Arial" w:hAnsi="Arial"/>
          <w:sz w:val="16"/>
          <w:szCs w:val="16"/>
          <w:color w:val="auto"/>
        </w:rPr>
        <w:t xml:space="preserve">” means, at any time of determination, an amount equal to (i) the aggregate Outstanding Balance of all Pool Receivables at such time (other than any Pool Receivables that constitute Defaulted Receivables at such time),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(A) the Aggregate Capital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Interest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aggregate accrued and unpaid Fees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aggregate outstanding principal balance owing under each Intercompany Loan Agreement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aggregate accrued and unpaid interest owing under each Intercompany Loan Agreement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without duplication, the aggregate accrued and unpaid other Borrower Obligations at such time.</w:t>
      </w:r>
    </w:p>
    <w:p>
      <w:pPr>
        <w:spacing w:after="0" w:line="160"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means, at any time of determination, the amount equal to the lesser of (a) the Facility Limit and (b) the amount equal to (i) the Net Receivables Pool Balance at such time,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Total Reserves at such time.</w:t>
      </w:r>
    </w:p>
    <w:p>
      <w:pPr>
        <w:spacing w:after="0" w:line="170" w:lineRule="exact"/>
        <w:rPr>
          <w:sz w:val="20"/>
          <w:szCs w:val="20"/>
          <w:color w:val="auto"/>
        </w:rPr>
      </w:pPr>
    </w:p>
    <w:p>
      <w:pPr>
        <w:ind w:firstLine="872"/>
        <w:spacing w:after="0" w:line="293" w:lineRule="auto"/>
        <w:tabs>
          <w:tab w:leader="none" w:pos="17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TRS Holdings ceases to own, directly, 100% of the issued and outstanding Capital Stock and all other equity interests of the TRS Borrower free and clear of all Adverse Claims;</w:t>
      </w:r>
    </w:p>
    <w:p>
      <w:pPr>
        <w:spacing w:after="0" w:line="169" w:lineRule="exact"/>
        <w:rPr>
          <w:rFonts w:ascii="Arial" w:cs="Arial" w:eastAsia="Arial" w:hAnsi="Arial"/>
          <w:sz w:val="18"/>
          <w:szCs w:val="18"/>
          <w:color w:val="auto"/>
        </w:rPr>
      </w:pPr>
    </w:p>
    <w:p>
      <w:pPr>
        <w:ind w:firstLine="872"/>
        <w:spacing w:after="0" w:line="293" w:lineRule="auto"/>
        <w:tabs>
          <w:tab w:leader="none" w:pos="17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Holdings ceases to own, directly, 100% of the issued and outstanding Capital Stock, membership interests or other equity interests of the Performance Guarantor;</w:t>
      </w:r>
    </w:p>
    <w:p>
      <w:pPr>
        <w:spacing w:after="0" w:line="169" w:lineRule="exact"/>
        <w:rPr>
          <w:rFonts w:ascii="Arial" w:cs="Arial" w:eastAsia="Arial" w:hAnsi="Arial"/>
          <w:sz w:val="18"/>
          <w:szCs w:val="18"/>
          <w:color w:val="auto"/>
        </w:rPr>
      </w:pPr>
    </w:p>
    <w:p>
      <w:pPr>
        <w:ind w:firstLine="872"/>
        <w:spacing w:after="0" w:line="293" w:lineRule="auto"/>
        <w:tabs>
          <w:tab w:leader="none" w:pos="17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Holdings ceases to own, directly or indirectly, 100% of the issued and outstanding Capital Stock, membership interests or other equity interests of any Borrower, the Servicer or any Originator;</w:t>
      </w:r>
    </w:p>
    <w:p>
      <w:pPr>
        <w:spacing w:after="0" w:line="169" w:lineRule="exact"/>
        <w:rPr>
          <w:rFonts w:ascii="Arial" w:cs="Arial" w:eastAsia="Arial" w:hAnsi="Arial"/>
          <w:sz w:val="18"/>
          <w:szCs w:val="18"/>
          <w:color w:val="auto"/>
        </w:rPr>
      </w:pPr>
    </w:p>
    <w:p>
      <w:pPr>
        <w:ind w:left="1720" w:hanging="848"/>
        <w:spacing w:after="0"/>
        <w:tabs>
          <w:tab w:leader="none" w:pos="1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 “Change </w:t>
      </w:r>
      <w:r>
        <w:rPr>
          <w:rFonts w:ascii="Arial" w:cs="Arial" w:eastAsia="Arial" w:hAnsi="Arial"/>
          <w:sz w:val="18"/>
          <w:szCs w:val="18"/>
          <w:color w:val="FF0000"/>
          <w:strike w:val="1"/>
        </w:rPr>
        <w:t>in</w:t>
      </w:r>
      <w:r>
        <w:rPr>
          <w:rFonts w:ascii="Arial" w:cs="Arial" w:eastAsia="Arial" w:hAnsi="Arial"/>
          <w:sz w:val="18"/>
          <w:szCs w:val="18"/>
          <w:u w:val="single" w:color="auto"/>
          <w:color w:val="0000FF"/>
        </w:rPr>
        <w:t>of</w:t>
      </w:r>
      <w:r>
        <w:rPr>
          <w:rFonts w:ascii="Arial" w:cs="Arial" w:eastAsia="Arial" w:hAnsi="Arial"/>
          <w:sz w:val="18"/>
          <w:szCs w:val="18"/>
          <w:color w:val="auto"/>
        </w:rPr>
        <w:t xml:space="preserve"> Control” (as defined in the Credit Agreement);</w:t>
      </w:r>
    </w:p>
    <w:p>
      <w:pPr>
        <w:spacing w:after="0" w:line="238" w:lineRule="exact"/>
        <w:rPr>
          <w:rFonts w:ascii="Arial" w:cs="Arial" w:eastAsia="Arial" w:hAnsi="Arial"/>
          <w:sz w:val="18"/>
          <w:szCs w:val="18"/>
          <w:color w:val="auto"/>
        </w:rPr>
      </w:pPr>
    </w:p>
    <w:p>
      <w:pPr>
        <w:ind w:left="1700" w:hanging="828"/>
        <w:spacing w:after="0"/>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Adverse Claim shall exist with respect to any Intercompany Loan Agreement or any Intercompany Loan; or</w:t>
      </w:r>
    </w:p>
    <w:p>
      <w:pPr>
        <w:spacing w:after="0" w:line="238" w:lineRule="exact"/>
        <w:rPr>
          <w:rFonts w:ascii="Arial" w:cs="Arial" w:eastAsia="Arial" w:hAnsi="Arial"/>
          <w:sz w:val="18"/>
          <w:szCs w:val="18"/>
          <w:color w:val="auto"/>
        </w:rPr>
      </w:pPr>
    </w:p>
    <w:p>
      <w:pPr>
        <w:ind w:left="1720" w:hanging="848"/>
        <w:spacing w:after="0"/>
        <w:tabs>
          <w:tab w:leader="none" w:pos="1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Holdings:</w:t>
      </w:r>
    </w:p>
    <w:p>
      <w:pPr>
        <w:spacing w:after="0" w:line="238" w:lineRule="exact"/>
        <w:rPr>
          <w:rFonts w:ascii="Arial" w:cs="Arial" w:eastAsia="Arial" w:hAnsi="Arial"/>
          <w:sz w:val="18"/>
          <w:szCs w:val="18"/>
          <w:color w:val="auto"/>
        </w:rPr>
      </w:pPr>
    </w:p>
    <w:p>
      <w:pPr>
        <w:ind w:left="1840" w:firstLine="715"/>
        <w:spacing w:after="0" w:line="293" w:lineRule="auto"/>
        <w:tabs>
          <w:tab w:leader="none" w:pos="3381"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capital stock of Holdings owned directly or indirectly by Charles W. Lamar, III or Kevin P. Reilly, Sr., either of their wives, children, children’s spouses, grandchildren, trusts of which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1783080</wp:posOffset>
            </wp:positionH>
            <wp:positionV relativeFrom="paragraph">
              <wp:posOffset>-1048385</wp:posOffset>
            </wp:positionV>
            <wp:extent cx="285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3" w:name="page74"/>
    <w:bookmarkEnd w:id="73"/>
    <w:p>
      <w:pPr>
        <w:jc w:val="both"/>
        <w:ind w:left="1840"/>
        <w:spacing w:after="0" w:line="319" w:lineRule="auto"/>
        <w:rPr>
          <w:sz w:val="20"/>
          <w:szCs w:val="20"/>
          <w:color w:val="auto"/>
        </w:rPr>
      </w:pPr>
      <w:r>
        <w:rPr>
          <w:rFonts w:ascii="Arial" w:cs="Arial" w:eastAsia="Arial" w:hAnsi="Arial"/>
          <w:sz w:val="16"/>
          <w:szCs w:val="16"/>
          <w:color w:val="auto"/>
        </w:rPr>
        <w:t>of them, their wives, children, children’s spouses and grandchildren are the sole beneficiaries and for which one or more of such individuals are the sole trustee(s) and any Qualified Reilly Partnership shall (on a fully diluted basis after giving effect to the exercise of any outstanding rights or options to acquire capital stock of Lamar) cease to constitute at least such percentage of the aggregate voting stock of Holdings as is sufficient at all times to elect a majority of the Board of Directors of Holdings;</w:t>
      </w:r>
    </w:p>
    <w:p>
      <w:pPr>
        <w:spacing w:after="0" w:line="156" w:lineRule="exact"/>
        <w:rPr>
          <w:sz w:val="20"/>
          <w:szCs w:val="20"/>
          <w:color w:val="auto"/>
        </w:rPr>
      </w:pPr>
    </w:p>
    <w:p>
      <w:pPr>
        <w:jc w:val="both"/>
        <w:ind w:left="1840" w:firstLine="715"/>
        <w:spacing w:after="0" w:line="272" w:lineRule="auto"/>
        <w:tabs>
          <w:tab w:leader="none" w:pos="34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any Person or group (within the meaning of the Exchange Act and the rules of the SEC thereunder as in effect on the Closing Date), other than Charles W. Lamar, III or Kevin P. Reilly, Sr. and any of the other permitted holders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shall acquire or own, directly or indirectly, beneficially or of record, shares representing more than 20% of the ordinary voting power represented by the issued and outstanding voting capital stock of Holdings, or (y) acquire direct or indirect Control of Holdings; or</w:t>
      </w:r>
    </w:p>
    <w:p>
      <w:pPr>
        <w:spacing w:after="0" w:line="190" w:lineRule="exact"/>
        <w:rPr>
          <w:rFonts w:ascii="Arial" w:cs="Arial" w:eastAsia="Arial" w:hAnsi="Arial"/>
          <w:sz w:val="18"/>
          <w:szCs w:val="18"/>
          <w:color w:val="auto"/>
        </w:rPr>
      </w:pPr>
    </w:p>
    <w:p>
      <w:pPr>
        <w:ind w:left="1840" w:firstLine="715"/>
        <w:spacing w:after="0" w:line="359" w:lineRule="auto"/>
        <w:tabs>
          <w:tab w:leader="none" w:pos="3481"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majority of the seats (other than vacant seats) on the Board of Directors of Holdings shall be occupied by Persons who were neither (x) nominated by the Board of Directors of Holdings nor (y) appointed by directors so nominated.</w:t>
      </w:r>
    </w:p>
    <w:p>
      <w:pPr>
        <w:spacing w:after="0" w:line="125" w:lineRule="exact"/>
        <w:rPr>
          <w:sz w:val="20"/>
          <w:szCs w:val="20"/>
          <w:color w:val="auto"/>
        </w:rPr>
      </w:pPr>
    </w:p>
    <w:p>
      <w:pPr>
        <w:jc w:val="both"/>
        <w:ind w:firstLine="95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during such Fiscal Month, by (b) the aggregate sales made by the Originators during the Fiscal Month that is one month prior to such Fiscal Month.</w:t>
      </w:r>
    </w:p>
    <w:p>
      <w:pPr>
        <w:spacing w:after="0" w:line="185"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Reserve Percentage</w:t>
      </w:r>
      <w:r>
        <w:rPr>
          <w:rFonts w:ascii="Arial" w:cs="Arial" w:eastAsia="Arial" w:hAnsi="Arial"/>
          <w:sz w:val="18"/>
          <w:szCs w:val="18"/>
          <w:color w:val="auto"/>
        </w:rPr>
        <w:t xml:space="preserve">” means, at any time of determination, the product (expressed as a percentage and rounded to the nearest 1/100th of 1%, with 5/1000th of 1% rounded upward) of (a) the Dilution Horizon Ratio,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the sum of (i) 2.25 times the average of the Dilution Ratios for the twelve most recent Fiscal Months and (ii) the Dilution Volatility Component.</w:t>
      </w:r>
    </w:p>
    <w:p>
      <w:pPr>
        <w:spacing w:after="0" w:line="183"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Volatility Component</w:t>
      </w:r>
      <w:r>
        <w:rPr>
          <w:rFonts w:ascii="Arial" w:cs="Arial" w:eastAsia="Arial" w:hAnsi="Arial"/>
          <w:sz w:val="18"/>
          <w:szCs w:val="18"/>
          <w:color w:val="auto"/>
        </w:rPr>
        <w:t>” means, for any Fiscal Month, the product (expressed as a percentage and rounded to the nearest 1/100th of 1%, with 5/1000th of 1% rounded upward) of:</w:t>
      </w:r>
    </w:p>
    <w:p>
      <w:pPr>
        <w:spacing w:after="0" w:line="170" w:lineRule="exact"/>
        <w:rPr>
          <w:sz w:val="20"/>
          <w:szCs w:val="20"/>
          <w:color w:val="auto"/>
        </w:rPr>
      </w:pPr>
    </w:p>
    <w:p>
      <w:pPr>
        <w:ind w:right="20" w:firstLine="872"/>
        <w:spacing w:after="0" w:line="293" w:lineRule="auto"/>
        <w:tabs>
          <w:tab w:leader="none" w:pos="1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positive difference, if any, between: (i) the highest Dilution Ratio for any Fiscal Month during the twelve (12) most recent Fiscal Months and (ii) the arithmetic average of the Dilution Ratios for such twelve (12) Fiscal Months; </w:t>
      </w:r>
      <w:r>
        <w:rPr>
          <w:rFonts w:ascii="Arial" w:cs="Arial" w:eastAsia="Arial" w:hAnsi="Arial"/>
          <w:sz w:val="18"/>
          <w:szCs w:val="18"/>
          <w:u w:val="single" w:color="auto"/>
          <w:color w:val="auto"/>
        </w:rPr>
        <w:t>multiplied by</w:t>
      </w:r>
    </w:p>
    <w:p>
      <w:pPr>
        <w:spacing w:after="0" w:line="169" w:lineRule="exact"/>
        <w:rPr>
          <w:rFonts w:ascii="Arial" w:cs="Arial" w:eastAsia="Arial" w:hAnsi="Arial"/>
          <w:sz w:val="18"/>
          <w:szCs w:val="18"/>
          <w:color w:val="auto"/>
        </w:rPr>
      </w:pPr>
    </w:p>
    <w:p>
      <w:pPr>
        <w:ind w:firstLine="872"/>
        <w:spacing w:after="0" w:line="293" w:lineRule="auto"/>
        <w:tabs>
          <w:tab w:leader="none" w:pos="17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quotient of (i) the highest Dilution Ratio for any Fiscal Month during the twelve (12) most recent Fiscal Months,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by (ii) the arithmetic average of the Dilution Ratios for such twelve (12) Fiscal Months.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xml:space="preserve">” and “$” each mean the lawful currency of the United States of America. </w:t>
      </w:r>
      <w:r>
        <w:rPr>
          <w:rFonts w:ascii="Arial" w:cs="Arial" w:eastAsia="Arial" w:hAnsi="Arial"/>
          <w:sz w:val="18"/>
          <w:szCs w:val="18"/>
          <w:color w:val="0000FF"/>
        </w:rPr>
        <w:t>“</w:t>
      </w:r>
      <w:r>
        <w:rPr>
          <w:rFonts w:ascii="Arial" w:cs="Arial" w:eastAsia="Arial" w:hAnsi="Arial"/>
          <w:sz w:val="18"/>
          <w:szCs w:val="18"/>
          <w:u w:val="single" w:color="auto"/>
          <w:color w:val="0000FF"/>
        </w:rPr>
        <w:t>Early Opt-in Event” means the occurrence of :</w:t>
      </w:r>
    </w:p>
    <w:p>
      <w:pPr>
        <w:spacing w:after="0" w:line="239" w:lineRule="exact"/>
        <w:rPr>
          <w:sz w:val="20"/>
          <w:szCs w:val="20"/>
          <w:color w:val="auto"/>
        </w:rPr>
      </w:pPr>
    </w:p>
    <w:p>
      <w:pPr>
        <w:jc w:val="both"/>
        <w:ind w:firstLine="872"/>
        <w:spacing w:after="0" w:line="279" w:lineRule="auto"/>
        <w:tabs>
          <w:tab w:leader="none" w:pos="1721" w:val="left"/>
        </w:tabs>
        <w:numPr>
          <w:ilvl w:val="0"/>
          <w:numId w:val="5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a determination by the Administrative Agent and/or the Borrowers that U.S. dollar-denominated credit facilities being executed at such time, or that include language similar to that contained in Section 5.06, are being executed or amended, as applicable, to incorporate or adopt a new benchmark interest rate to replace USD LIBOR; and</w:t>
      </w:r>
    </w:p>
    <w:p>
      <w:pPr>
        <w:spacing w:after="0" w:line="182" w:lineRule="exact"/>
        <w:rPr>
          <w:rFonts w:ascii="Arial" w:cs="Arial" w:eastAsia="Arial" w:hAnsi="Arial"/>
          <w:sz w:val="18"/>
          <w:szCs w:val="18"/>
          <w:u w:val="single" w:color="auto"/>
          <w:color w:val="0000FF"/>
        </w:rPr>
      </w:pPr>
    </w:p>
    <w:p>
      <w:pPr>
        <w:jc w:val="both"/>
        <w:ind w:firstLine="872"/>
        <w:spacing w:after="0" w:line="279" w:lineRule="auto"/>
        <w:tabs>
          <w:tab w:leader="none" w:pos="1721" w:val="left"/>
        </w:tabs>
        <w:numPr>
          <w:ilvl w:val="0"/>
          <w:numId w:val="5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election by the Administrative Agent and/or the Borrowers to declare that an Early Opt-in Event has occurred and the provision, as applicable, by the Administrative Agent of written notice of such election to the Borrowers and the Lenders, or by the Borrowers of written notice of such election to the Administrative Agent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4" w:name="page75"/>
    <w:bookmarkEnd w:id="74"/>
    <w:p>
      <w:pPr>
        <w:ind w:firstLine="86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(i) any Lender or any of its Affiliates, (ii) any Person managed by a Lender or any of its Affiliates and (iii) any other financial or other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 Defaulting Lender shall be an “Eligible Assignee.”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Foreign Obligor</w:t>
      </w:r>
      <w:r>
        <w:rPr>
          <w:rFonts w:ascii="Arial" w:cs="Arial" w:eastAsia="Arial" w:hAnsi="Arial"/>
          <w:sz w:val="18"/>
          <w:szCs w:val="18"/>
          <w:color w:val="auto"/>
        </w:rPr>
        <w:t>” means an Obligor which is neither a U.S. Obligor nor a Sanctioned Person.</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w:t>
      </w:r>
      <w:r>
        <w:rPr>
          <w:rFonts w:ascii="Arial" w:cs="Arial" w:eastAsia="Arial" w:hAnsi="Arial"/>
          <w:sz w:val="18"/>
          <w:szCs w:val="18"/>
          <w:color w:val="auto"/>
        </w:rPr>
        <w:t>” means, at any time of determination, a Pool Receivable:</w:t>
      </w:r>
    </w:p>
    <w:p>
      <w:pPr>
        <w:spacing w:after="0" w:line="239" w:lineRule="exact"/>
        <w:rPr>
          <w:sz w:val="20"/>
          <w:szCs w:val="20"/>
          <w:color w:val="auto"/>
        </w:rPr>
      </w:pPr>
    </w:p>
    <w:p>
      <w:pPr>
        <w:jc w:val="both"/>
        <w:ind w:firstLine="872"/>
        <w:spacing w:after="0" w:line="303" w:lineRule="auto"/>
        <w:tabs>
          <w:tab w:leader="none" w:pos="1711"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each Obligor of which is: (i) either a U.S. Obligor or an Eligible Foreign Obligor; (ii) not a Sanctioned Person; (iii) not subject to any Insolvency Proceeding; (iv) not an Affiliate of any Lamar Party; (v) not the Obligor with respect to Delinquent Receivables with an aggregate Outstanding Balance exceeding 50% of the aggregate Outstanding Balance of all such Obligor’s Pool Receivables; (vi) not a natural person;</w:t>
      </w:r>
    </w:p>
    <w:p>
      <w:pPr>
        <w:spacing w:after="0" w:line="164" w:lineRule="exact"/>
        <w:rPr>
          <w:sz w:val="20"/>
          <w:szCs w:val="20"/>
          <w:color w:val="auto"/>
        </w:rPr>
      </w:pPr>
    </w:p>
    <w:p>
      <w:pPr>
        <w:ind w:right="60" w:firstLine="872"/>
        <w:spacing w:after="0" w:line="275" w:lineRule="auto"/>
        <w:tabs>
          <w:tab w:leader="none" w:pos="17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excess (if any) of (i) the aggregate Outstanding Balance of all EligibleReceivables that are Unperformed Receivables, over (ii) the product of (x) 45.0%,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(y) the aggregate Outstanding Balance of all Eligible Receivables then in the Receivables Pool;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during the continuance of a Ratings Event Level II the Administrative Agent may, upon ten (10) Business Days’ prior notice to the Borrowers, reduce the percentage in </w:t>
      </w:r>
      <w:r>
        <w:rPr>
          <w:rFonts w:ascii="Arial" w:cs="Arial" w:eastAsia="Arial" w:hAnsi="Arial"/>
          <w:sz w:val="18"/>
          <w:szCs w:val="18"/>
          <w:u w:val="single" w:color="auto"/>
          <w:color w:val="auto"/>
        </w:rPr>
        <w:t>clause (ii)(x)</w:t>
      </w:r>
      <w:r>
        <w:rPr>
          <w:rFonts w:ascii="Arial" w:cs="Arial" w:eastAsia="Arial" w:hAnsi="Arial"/>
          <w:sz w:val="18"/>
          <w:szCs w:val="18"/>
          <w:color w:val="auto"/>
        </w:rPr>
        <w:t xml:space="preserve"> above to 22.5%.</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otherwise modified from time to time.</w:t>
      </w:r>
    </w:p>
    <w:p>
      <w:pPr>
        <w:spacing w:after="0" w:line="239" w:lineRule="exact"/>
        <w:rPr>
          <w:sz w:val="20"/>
          <w:szCs w:val="20"/>
          <w:color w:val="auto"/>
        </w:rPr>
      </w:pPr>
    </w:p>
    <w:p>
      <w:pPr>
        <w:jc w:val="both"/>
        <w:ind w:firstLine="86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an Affected Person or required to be withheld or deducted from a payment to an Affected Person: (a) Taxes imposed on or measured by net income (however denominated), franchise Taxes and branch profits Taxes, in each case, (i) imposed as a result of such Affected Person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Loans or Commitment pursuant to a law in effect on the date on which (i) such Lender makes a Loan or its Commitment or (ii) such Lender changes its lending office, except in each case to the extent that amounts with respect to such Taxes were payable either to such Lender’s assignor immediately before such Lender became a party hereto or to such Lender immediately before it changed its lending office, (c) Taxes attributable to such Affected Person’s failure to comply with </w:t>
      </w:r>
      <w:r>
        <w:rPr>
          <w:rFonts w:ascii="Arial" w:cs="Arial" w:eastAsia="Arial" w:hAnsi="Arial"/>
          <w:sz w:val="16"/>
          <w:szCs w:val="16"/>
          <w:u w:val="single" w:color="auto"/>
          <w:color w:val="auto"/>
        </w:rPr>
        <w:t>Section 5.03(f)</w:t>
      </w:r>
      <w:r>
        <w:rPr>
          <w:rFonts w:ascii="Arial" w:cs="Arial" w:eastAsia="Arial" w:hAnsi="Arial"/>
          <w:sz w:val="16"/>
          <w:szCs w:val="16"/>
          <w:color w:val="auto"/>
        </w:rPr>
        <w:t xml:space="preserve"> and (d) any U.S. federal withholding Taxes imposed pursuant to FATCA.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2.02(h)</w:t>
      </w:r>
      <w:r>
        <w:rPr>
          <w:rFonts w:ascii="Arial" w:cs="Arial" w:eastAsia="Arial" w:hAnsi="Arial"/>
          <w:sz w:val="18"/>
          <w:szCs w:val="18"/>
          <w:color w:val="auto"/>
        </w:rPr>
        <w:t>.</w:t>
      </w:r>
    </w:p>
    <w:p>
      <w:pPr>
        <w:spacing w:after="0" w:line="239" w:lineRule="exact"/>
        <w:rPr>
          <w:sz w:val="20"/>
          <w:szCs w:val="20"/>
          <w:color w:val="auto"/>
        </w:rPr>
      </w:pPr>
    </w:p>
    <w:p>
      <w:pPr>
        <w:jc w:val="both"/>
        <w:ind w:right="20" w:firstLine="864"/>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Limit</w:t>
      </w:r>
      <w:r>
        <w:rPr>
          <w:rFonts w:ascii="Arial" w:cs="Arial" w:eastAsia="Arial" w:hAnsi="Arial"/>
          <w:sz w:val="18"/>
          <w:szCs w:val="18"/>
          <w:color w:val="auto"/>
        </w:rPr>
        <w:t xml:space="preserve">” means, $175,000,000, as reduced or increased from time to time pursuant to the terms hereof. References to the unused portion of the Facility Limit shall mean, at any time of determination, an amount equal to (x) the Facility Limit at such time,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Aggregate Capital at such time.</w:t>
      </w:r>
    </w:p>
    <w:p>
      <w:pPr>
        <w:spacing w:after="0" w:line="18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applicable intergovernmental agreement entered into between the United States and any other Governmental Authority in connection with the implementation of the foregoing and any fiscal or regulatory legislation, rules or official practices adopted pursuant to any such intergovernmental agreement.</w:t>
      </w:r>
    </w:p>
    <w:p>
      <w:pPr>
        <w:spacing w:after="0" w:line="191"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FF0000"/>
          <w:strike w:val="1"/>
        </w:rPr>
        <w:t>“Federal Funds Rate” means, for any day, the per annum rate set forth in the weekly statistical release designated as H.15(519), or any successor publication, published by the Federal Reserve Board (including any such successor, “H.15(519)”)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5" w:name="page76"/>
    <w:bookmarkEnd w:id="75"/>
    <w:p>
      <w:pPr>
        <w:spacing w:after="0" w:line="293" w:lineRule="auto"/>
        <w:rPr>
          <w:sz w:val="20"/>
          <w:szCs w:val="20"/>
          <w:color w:val="auto"/>
        </w:rPr>
      </w:pPr>
      <w:r>
        <w:rPr>
          <w:rFonts w:ascii="Arial" w:cs="Arial" w:eastAsia="Arial" w:hAnsi="Arial"/>
          <w:sz w:val="18"/>
          <w:szCs w:val="18"/>
          <w:color w:val="FF0000"/>
          <w:strike w:val="1"/>
        </w:rPr>
        <w:t>for such day opposite the caption “Federal Funds (Effective).” If on any relevant day such rate is not yet published in H. 15(519), the rate for such day will be the rate set forth in the daily statistical release designated as the</w:t>
      </w:r>
    </w:p>
    <w:p>
      <w:pPr>
        <w:spacing w:after="0" w:line="170" w:lineRule="exact"/>
        <w:rPr>
          <w:sz w:val="20"/>
          <w:szCs w:val="20"/>
          <w:color w:val="auto"/>
        </w:rPr>
      </w:pPr>
    </w:p>
    <w:p>
      <w:pPr>
        <w:ind w:right="40" w:firstLine="864"/>
        <w:spacing w:after="0" w:line="314" w:lineRule="auto"/>
        <w:rPr>
          <w:sz w:val="20"/>
          <w:szCs w:val="20"/>
          <w:color w:val="auto"/>
        </w:rPr>
      </w:pPr>
      <w:r>
        <w:rPr>
          <w:rFonts w:ascii="Arial" w:cs="Arial" w:eastAsia="Arial" w:hAnsi="Arial"/>
          <w:sz w:val="16"/>
          <w:szCs w:val="16"/>
          <w:color w:val="FF0000"/>
          <w:strike w:val="1"/>
        </w:rPr>
        <w:t>Composite 3:30 p.m. Quotations for U.S. Government Securities, or any successor publication, published by the Federal Reserve Bank of New York (including any such successor, the “Composite 3:30 p.m. Quotations”) for such day under the caption “Federal Funds Effective Rate.” If on any relevant day the appropriate rate is not yet published in either H.15(519) or the Composite 3:30 p.m. Quotations, the rate for such day will be the arithmetic mean as determined by the Administrative Agent of the rates for the last transaction in overnight Federal funds arranged before 9:00 a.m. (New York City time) on that day by each of three leading brokers of Federal funds transactions in New York City selected by the Administrative Agent.</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Reserve Board</w:t>
      </w:r>
      <w:r>
        <w:rPr>
          <w:rFonts w:ascii="Arial" w:cs="Arial" w:eastAsia="Arial" w:hAnsi="Arial"/>
          <w:sz w:val="17"/>
          <w:szCs w:val="17"/>
          <w:color w:val="auto"/>
        </w:rPr>
        <w:t>” means the Board of Governors of the Federal Reserve System, or any entity succeeding to any of its principal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39"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xml:space="preserve">” means the date that (i) is one hundred eighty (180) days following the Termination Date or (ii) such earlier date on which the Aggregate Capital and all other Borrower Obligations become due and payable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sz w:val="20"/>
          <w:szCs w:val="20"/>
          <w:color w:val="auto"/>
        </w:rPr>
      </w:pPr>
    </w:p>
    <w:p>
      <w:pPr>
        <w:jc w:val="both"/>
        <w:ind w:firstLine="864"/>
        <w:spacing w:after="0" w:line="32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Payout Date</w:t>
      </w:r>
      <w:r>
        <w:rPr>
          <w:rFonts w:ascii="Arial" w:cs="Arial" w:eastAsia="Arial" w:hAnsi="Arial"/>
          <w:sz w:val="16"/>
          <w:szCs w:val="16"/>
          <w:color w:val="auto"/>
        </w:rPr>
        <w:t>” means the date on or after the Termination Date when (i) the Aggregate Capital and Aggregate Interest have been paid in full, (ii) all Borrower Obligations shall have been paid in full, (iii) all other amounts owing to the Credit Parties and any other Borrower Indemnified Party or Affected Person hereunder and under the other Transaction Documents have been paid in full and (iv) all accrued Servicing Fees have been paid in full.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Event</w:t>
      </w:r>
      <w:r>
        <w:rPr>
          <w:rFonts w:ascii="Arial" w:cs="Arial" w:eastAsia="Arial" w:hAnsi="Arial"/>
          <w:sz w:val="18"/>
          <w:szCs w:val="18"/>
          <w:color w:val="auto"/>
        </w:rPr>
        <w:t>” shall be deemed to have occurred if, at any time, the Secured Debt Ratio exceeds 4.50 to 1.00.</w:t>
      </w:r>
    </w:p>
    <w:p>
      <w:pPr>
        <w:spacing w:after="0" w:line="239"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of any Person means, the chief executive officer, the chief financial officer, the chief accounting officer, the principal accounting officer, the controller, the treasurer or the assistant treasurer of such Person.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February 6, 2020.</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Month</w:t>
      </w:r>
      <w:r>
        <w:rPr>
          <w:rFonts w:ascii="Arial" w:cs="Arial" w:eastAsia="Arial" w:hAnsi="Arial"/>
          <w:sz w:val="18"/>
          <w:szCs w:val="18"/>
          <w:color w:val="auto"/>
        </w:rPr>
        <w:t>” means each calendar month.</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consistently applied.</w:t>
      </w:r>
    </w:p>
    <w:p>
      <w:pPr>
        <w:spacing w:after="0" w:line="23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Originator</w:t>
      </w:r>
      <w:r>
        <w:rPr>
          <w:rFonts w:ascii="Arial" w:cs="Arial" w:eastAsia="Arial" w:hAnsi="Arial"/>
          <w:sz w:val="18"/>
          <w:szCs w:val="18"/>
          <w:color w:val="auto"/>
        </w:rPr>
        <w:t>” means each of the QRS Originators and the TRS Originators.</w:t>
      </w:r>
    </w:p>
    <w:p>
      <w:pPr>
        <w:spacing w:after="0" w:line="239"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Affected Person, Taxes imposed as a result of a present or former connection between such Affected Person and the jurisdiction imposing such Tax (other than connections arising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6" w:name="page77"/>
    <w:bookmarkEnd w:id="76"/>
    <w:p>
      <w:pPr>
        <w:jc w:val="both"/>
        <w:spacing w:after="0" w:line="279" w:lineRule="auto"/>
        <w:rPr>
          <w:sz w:val="20"/>
          <w:szCs w:val="20"/>
          <w:color w:val="auto"/>
        </w:rPr>
      </w:pPr>
      <w:r>
        <w:rPr>
          <w:rFonts w:ascii="Arial" w:cs="Arial" w:eastAsia="Arial" w:hAnsi="Arial"/>
          <w:sz w:val="18"/>
          <w:szCs w:val="18"/>
          <w:color w:val="auto"/>
        </w:rPr>
        <w:t>such Affected Person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spacing w:after="0" w:line="18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court or documentary, intangible, recording, filing Taxes or any other excise or property Taxes, charges or similar levies or fees arising from any payment made hereunder or from the execution, delivery, performance, registration, enforcement of, from the receipt or perfection of a security interest under, or otherwise in respect of, this Agreement, the other Transaction Documents and the other documents or agreements to be delivered hereunder or thereunder except any Taxes that are Other Connection Taxes imposed with respect to an assignment.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Balance</w:t>
      </w:r>
      <w:r>
        <w:rPr>
          <w:rFonts w:ascii="Arial" w:cs="Arial" w:eastAsia="Arial" w:hAnsi="Arial"/>
          <w:sz w:val="16"/>
          <w:szCs w:val="16"/>
          <w:color w:val="auto"/>
        </w:rPr>
        <w:t>” means, at any time of determination, with respect to any Receivable, the then outstanding principal balance thereof.</w:t>
      </w:r>
    </w:p>
    <w:p>
      <w:pPr>
        <w:spacing w:after="0" w:line="26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7"/>
          <w:szCs w:val="17"/>
          <w:color w:val="0000FF"/>
        </w:rPr>
        <w:t>“</w:t>
      </w:r>
      <w:r>
        <w:rPr>
          <w:rFonts w:ascii="Arial" w:cs="Arial" w:eastAsia="Arial" w:hAnsi="Arial"/>
          <w:sz w:val="17"/>
          <w:szCs w:val="17"/>
          <w:u w:val="single" w:color="auto"/>
          <w:color w:val="0000FF"/>
        </w:rPr>
        <w:t>Overnight Bank Funding Rate” means for any day, the rate comprised of both overnight federal funds and overnight eurocurrency borrowings</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by U.S.-managed banking offices of depository institutions, as such composite rate shall be determined by the Federal Reserve Bank of New York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Lamar.</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shall mean any direct or indirect parent of Holdings.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Group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14.03(d)</w:t>
      </w:r>
      <w:r>
        <w:rPr>
          <w:rFonts w:ascii="Arial" w:cs="Arial" w:eastAsia="Arial" w:hAnsi="Arial"/>
          <w:sz w:val="18"/>
          <w:szCs w:val="18"/>
          <w:color w:val="auto"/>
        </w:rPr>
        <w:t>.</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14.03(e)</w:t>
      </w:r>
      <w:r>
        <w:rPr>
          <w:rFonts w:ascii="Arial" w:cs="Arial" w:eastAsia="Arial" w:hAnsi="Arial"/>
          <w:sz w:val="18"/>
          <w:szCs w:val="18"/>
          <w:color w:val="auto"/>
        </w:rPr>
        <w:t>.</w:t>
      </w:r>
    </w:p>
    <w:p>
      <w:pPr>
        <w:spacing w:after="0" w:line="239" w:lineRule="exact"/>
        <w:rPr>
          <w:sz w:val="20"/>
          <w:szCs w:val="20"/>
          <w:color w:val="auto"/>
        </w:rPr>
      </w:pPr>
    </w:p>
    <w:p>
      <w:pPr>
        <w:ind w:left="88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14.15</w:t>
      </w:r>
      <w:r>
        <w:rPr>
          <w:rFonts w:ascii="Arial" w:cs="Arial" w:eastAsia="Arial" w:hAnsi="Arial"/>
          <w:sz w:val="18"/>
          <w:szCs w:val="18"/>
          <w:color w:val="auto"/>
        </w:rPr>
        <w:t>. such Receivable, whether pursuant to the Contract related to such Receivable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-200025</wp:posOffset>
            </wp:positionV>
            <wp:extent cx="368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50" w:lineRule="exact"/>
        <w:rPr>
          <w:sz w:val="20"/>
          <w:szCs w:val="20"/>
          <w:color w:val="auto"/>
        </w:rPr>
      </w:pPr>
    </w:p>
    <w:p>
      <w:pPr>
        <w:jc w:val="both"/>
        <w:ind w:firstLine="872"/>
        <w:spacing w:after="0" w:line="275" w:lineRule="auto"/>
        <w:tabs>
          <w:tab w:leader="none" w:pos="1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books and records of each Borrower and each Originator to the extent related to any of the foregoing, and all rights, remedies, powers, privileges, title and interest (but not obligations) in and to each Lock-Box and all Collection Accounts, into which any Collections or other proceeds with respect to such Receivables may be deposited, and any related investment property acquired with any such Collections or other proceeds (as such term is defined in the applicable UCC);</w:t>
      </w:r>
    </w:p>
    <w:p>
      <w:pPr>
        <w:spacing w:after="0" w:line="185" w:lineRule="exact"/>
        <w:rPr>
          <w:rFonts w:ascii="Arial" w:cs="Arial" w:eastAsia="Arial" w:hAnsi="Arial"/>
          <w:sz w:val="18"/>
          <w:szCs w:val="18"/>
          <w:color w:val="auto"/>
        </w:rPr>
      </w:pPr>
    </w:p>
    <w:p>
      <w:pPr>
        <w:ind w:right="20" w:firstLine="872"/>
        <w:spacing w:after="0" w:line="293" w:lineRule="auto"/>
        <w:tabs>
          <w:tab w:leader="none" w:pos="16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of the applicable Borrower’s rights, interests and claims under the applicable Purchase and Sale Agreement and the other Transaction Documents; and</w:t>
      </w:r>
    </w:p>
    <w:p>
      <w:pPr>
        <w:spacing w:after="0" w:line="169" w:lineRule="exact"/>
        <w:rPr>
          <w:rFonts w:ascii="Arial" w:cs="Arial" w:eastAsia="Arial" w:hAnsi="Arial"/>
          <w:sz w:val="18"/>
          <w:szCs w:val="18"/>
          <w:color w:val="auto"/>
        </w:rPr>
      </w:pPr>
    </w:p>
    <w:p>
      <w:pPr>
        <w:ind w:left="1720" w:hanging="848"/>
        <w:spacing w:after="0"/>
        <w:tabs>
          <w:tab w:leader="none" w:pos="1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Collections and other proceeds (as defined in the UCC)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7" w:name="page78"/>
    <w:bookmarkEnd w:id="77"/>
    <w:p>
      <w:pPr>
        <w:ind w:left="880"/>
        <w:spacing w:after="0"/>
        <w:rPr>
          <w:sz w:val="20"/>
          <w:szCs w:val="20"/>
          <w:color w:val="auto"/>
        </w:rPr>
      </w:pPr>
      <w:r>
        <w:rPr>
          <w:rFonts w:ascii="Arial" w:cs="Arial" w:eastAsia="Arial" w:hAnsi="Arial"/>
          <w:sz w:val="18"/>
          <w:szCs w:val="18"/>
          <w:color w:val="auto"/>
        </w:rPr>
        <w:t xml:space="preserve">“Release” has the meaning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u w:val="single" w:color="auto"/>
          <w:color w:val="0000FF"/>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17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Compliance Event</w:t>
      </w:r>
      <w:r>
        <w:rPr>
          <w:rFonts w:ascii="Arial" w:cs="Arial" w:eastAsia="Arial" w:hAnsi="Arial"/>
          <w:sz w:val="18"/>
          <w:szCs w:val="18"/>
          <w:color w:val="auto"/>
        </w:rPr>
        <w:t>” means that any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w:t>
      </w:r>
    </w:p>
    <w:p>
      <w:pPr>
        <w:spacing w:after="0" w:line="185"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reportable event as defined in Section 4043(c) of ERISA or the regulations issued thereunder with respect to a Pension Plan.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14.06(c)</w:t>
      </w:r>
      <w:r>
        <w:rPr>
          <w:rFonts w:ascii="Arial" w:cs="Arial" w:eastAsia="Arial" w:hAnsi="Arial"/>
          <w:sz w:val="18"/>
          <w:szCs w:val="18"/>
          <w:color w:val="auto"/>
        </w:rPr>
        <w:t>.</w:t>
      </w:r>
    </w:p>
    <w:p>
      <w:pPr>
        <w:spacing w:after="0" w:line="239"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Capital Amount</w:t>
      </w:r>
      <w:r>
        <w:rPr>
          <w:rFonts w:ascii="Arial" w:cs="Arial" w:eastAsia="Arial" w:hAnsi="Arial"/>
          <w:sz w:val="18"/>
          <w:szCs w:val="18"/>
          <w:color w:val="auto"/>
        </w:rPr>
        <w:t xml:space="preserve">” means, as of any date of determination, an amount equal to the product of (i) the Loss Reserve Percentage at such time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Net Receivables Pool Balance at such time.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8.01(r)</w:t>
      </w:r>
      <w:r>
        <w:rPr>
          <w:rFonts w:ascii="Arial" w:cs="Arial" w:eastAsia="Arial" w:hAnsi="Arial"/>
          <w:sz w:val="18"/>
          <w:szCs w:val="18"/>
          <w:color w:val="auto"/>
        </w:rPr>
        <w:t>.</w:t>
      </w:r>
    </w:p>
    <w:p>
      <w:pPr>
        <w:spacing w:after="0" w:line="239" w:lineRule="exact"/>
        <w:rPr>
          <w:sz w:val="20"/>
          <w:szCs w:val="20"/>
          <w:color w:val="auto"/>
        </w:rPr>
      </w:pPr>
    </w:p>
    <w:p>
      <w:pPr>
        <w:jc w:val="both"/>
        <w:ind w:firstLine="864"/>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Returned Goods</w:t>
      </w:r>
      <w:r>
        <w:rPr>
          <w:rFonts w:ascii="Arial" w:cs="Arial" w:eastAsia="Arial" w:hAnsi="Arial"/>
          <w:sz w:val="16"/>
          <w:szCs w:val="16"/>
          <w:color w:val="auto"/>
        </w:rPr>
        <w:t xml:space="preserve">” means all right, title and interest in and to returned, repossessed or foreclosed goods and/or merchandise the sale of which gave rise to a Receivable;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goods shall no longer constitute Returned Goods after a Deemed Collection has been deposited in a Collection Account with respect to the full Outstanding Balance of the related Receivables. Receivables, (iii) all Collections with respect to such Pool Receivables,</w:t>
      </w:r>
    </w:p>
    <w:p>
      <w:pPr>
        <w:spacing w:after="0" w:line="2" w:lineRule="exact"/>
        <w:rPr>
          <w:sz w:val="20"/>
          <w:szCs w:val="20"/>
          <w:color w:val="auto"/>
        </w:rPr>
      </w:pPr>
    </w:p>
    <w:p>
      <w:pPr>
        <w:jc w:val="both"/>
        <w:ind w:firstLine="8"/>
        <w:spacing w:after="0" w:line="286" w:lineRule="auto"/>
        <w:tabs>
          <w:tab w:leader="none" w:pos="3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Lock-Boxes and Collection Accounts and all amounts on deposit therein, and all certificates and instruments, if any, from time to time evidencing such Lock-Boxes and Collection Accounts and amounts on deposit therein, (v) all rights (but none of the obligations) of such Borrower under the related Purchase and Sale Agreement, (vi) all other personal and fixture property or assets of such Borrower of every kind and nature including, without limitation, all goods (including inventory, equipment and any accessions thereto), instruments (including promissory notes), documents, accounts, chattel paper (whether tangible or electronic), deposit accounts, securities accounts, securities entitlements, letter-of-credit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and (vii) all proceeds of, and all amounts received or receivable under any or all of, the foregoing. Notwithstanding any provision set forth in this Agreement to the contrary, in no event shall the term “Collateral” include any Affiliate Receivables.</w:t>
      </w:r>
    </w:p>
    <w:p>
      <w:pPr>
        <w:spacing w:after="0" w:line="184" w:lineRule="exact"/>
        <w:rPr>
          <w:rFonts w:ascii="Arial" w:cs="Arial" w:eastAsia="Arial" w:hAnsi="Arial"/>
          <w:sz w:val="17"/>
          <w:szCs w:val="17"/>
          <w:color w:val="auto"/>
        </w:rPr>
      </w:pPr>
    </w:p>
    <w:p>
      <w:pPr>
        <w:jc w:val="both"/>
        <w:ind w:firstLine="872"/>
        <w:spacing w:after="0" w:line="272" w:lineRule="auto"/>
        <w:tabs>
          <w:tab w:leader="none" w:pos="1721"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Administrative Agent (for the benefit of the Secured Parties) shall have, with respect to all the Collateral, and in addition to all the other rights and remedies available to the Administrative Agent (for the benefit of the Secured Parties), all the rights and remedies of a secured party under any applicable UCC. Each Borrower hereby authorizes the Administrative Agent to file financing statements describing as the collateral covered thereby as “all of the debtor’s personal property or assets” or words to that effect, notwithstanding that such wording may be broader in scope than the collateral described in this Agreement.</w:t>
      </w:r>
    </w:p>
    <w:p>
      <w:pPr>
        <w:spacing w:after="0" w:line="190" w:lineRule="exact"/>
        <w:rPr>
          <w:rFonts w:ascii="Arial" w:cs="Arial" w:eastAsia="Arial" w:hAnsi="Arial"/>
          <w:sz w:val="18"/>
          <w:szCs w:val="18"/>
          <w:color w:val="auto"/>
        </w:rPr>
      </w:pPr>
    </w:p>
    <w:p>
      <w:pPr>
        <w:jc w:val="both"/>
        <w:ind w:right="80" w:firstLine="866"/>
        <w:spacing w:after="0" w:line="272" w:lineRule="auto"/>
        <w:tabs>
          <w:tab w:leader="none" w:pos="1706"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Immediately upon the occurrence of the Final Payout Date, the Collateral shall be automatically released from the lien created hereby, and this Agreement and all obligations (other than those expressly stated to survive such termination) of the Administrative Agent, the Lenders and the other Credit Parties hereunder shall terminate, all without delivery of any instrument or performance of any act by any party, and all rights to the Collateral shall revert to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promptly following written request therefor by any Borrower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8" w:name="page79"/>
    <w:bookmarkEnd w:id="78"/>
    <w:p>
      <w:pPr>
        <w:ind w:right="80"/>
        <w:spacing w:after="0" w:line="293" w:lineRule="auto"/>
        <w:rPr>
          <w:sz w:val="20"/>
          <w:szCs w:val="20"/>
          <w:color w:val="auto"/>
        </w:rPr>
      </w:pPr>
      <w:r>
        <w:rPr>
          <w:rFonts w:ascii="Arial" w:cs="Arial" w:eastAsia="Arial" w:hAnsi="Arial"/>
          <w:sz w:val="18"/>
          <w:szCs w:val="18"/>
          <w:color w:val="auto"/>
        </w:rPr>
        <w:t>following any such termination, and at the expense of the Borrowers, the Administrative Agent shall execute and deliver to such Borrower UCC-3 termination statements and such other documents as such Borrower shall reasonably request to evidence such termination.</w:t>
      </w:r>
    </w:p>
    <w:p>
      <w:pPr>
        <w:spacing w:after="0" w:line="170" w:lineRule="exact"/>
        <w:rPr>
          <w:sz w:val="20"/>
          <w:szCs w:val="20"/>
          <w:color w:val="auto"/>
        </w:rPr>
      </w:pPr>
    </w:p>
    <w:p>
      <w:pPr>
        <w:ind w:left="880"/>
        <w:spacing w:after="0"/>
        <w:tabs>
          <w:tab w:leader="none" w:pos="266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Successor Adjusted LIBOR or LMIR</w:t>
      </w:r>
    </w:p>
    <w:p>
      <w:pPr>
        <w:spacing w:after="0" w:line="239" w:lineRule="exact"/>
        <w:rPr>
          <w:sz w:val="20"/>
          <w:szCs w:val="20"/>
          <w:color w:val="auto"/>
        </w:rPr>
      </w:pPr>
    </w:p>
    <w:p>
      <w:pPr>
        <w:jc w:val="both"/>
        <w:ind w:firstLine="872"/>
        <w:spacing w:after="0" w:line="270" w:lineRule="auto"/>
        <w:tabs>
          <w:tab w:leader="none" w:pos="1711" w:val="left"/>
        </w:tabs>
        <w:numPr>
          <w:ilvl w:val="0"/>
          <w:numId w:val="59"/>
        </w:numPr>
        <w:rPr>
          <w:rFonts w:ascii="Arial" w:cs="Arial" w:eastAsia="Arial" w:hAnsi="Arial"/>
          <w:sz w:val="18"/>
          <w:szCs w:val="18"/>
          <w:u w:val="single" w:color="auto"/>
          <w:color w:val="FF0000"/>
          <w:strike w:val="1"/>
        </w:rPr>
      </w:pPr>
      <w:r>
        <w:rPr>
          <w:rFonts w:ascii="Arial" w:cs="Arial" w:eastAsia="Arial" w:hAnsi="Arial"/>
          <w:sz w:val="18"/>
          <w:szCs w:val="18"/>
          <w:u w:val="single" w:color="auto"/>
          <w:color w:val="FF0000"/>
          <w:strike w:val="1"/>
        </w:rPr>
        <w:t>If</w:t>
      </w:r>
      <w:r>
        <w:rPr>
          <w:rFonts w:ascii="Arial" w:cs="Arial" w:eastAsia="Arial" w:hAnsi="Arial"/>
          <w:sz w:val="18"/>
          <w:szCs w:val="18"/>
          <w:color w:val="FF0000"/>
        </w:rPr>
        <w:t xml:space="preserve"> </w:t>
      </w:r>
      <w:r>
        <w:rPr>
          <w:rFonts w:ascii="Arial" w:cs="Arial" w:eastAsia="Arial" w:hAnsi="Arial"/>
          <w:sz w:val="18"/>
          <w:szCs w:val="18"/>
          <w:color w:val="00C000"/>
        </w:rPr>
        <w:t>the Administrative Agent determines</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(which determination shall be final and conclusive, absent manifest error) that either (i) (A)</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the circumstances set forth in Section 5.04 have arisen and are unlikely to be temporary, or (B) the circumstances set forth in Section 5.04 have not arisen but the applicable supervisor or administrator (if any) of Adjusted LIBOR or LMIR</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or a Governmental Authority having jurisdiction over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C000"/>
          <w:strike w:val="1"/>
        </w:rPr>
        <w:t>Administrative Agent</w:t>
      </w:r>
      <w:r>
        <w:rPr>
          <w:rFonts w:ascii="Arial" w:cs="Arial" w:eastAsia="Arial" w:hAnsi="Arial"/>
          <w:sz w:val="18"/>
          <w:szCs w:val="18"/>
          <w:color w:val="00C000"/>
          <w:strike w:val="1"/>
        </w:rPr>
        <w:t xml:space="preserve"> </w:t>
      </w:r>
      <w:r>
        <w:rPr>
          <w:rFonts w:ascii="Arial" w:cs="Arial" w:eastAsia="Arial" w:hAnsi="Arial"/>
          <w:sz w:val="18"/>
          <w:szCs w:val="18"/>
          <w:color w:val="FF0000"/>
          <w:strike w:val="1"/>
        </w:rPr>
        <w:t>has made a public statement identifying the specific date after which Adjusted LIBOR or LMIR shall no longer be used for</w:t>
      </w:r>
      <w:r>
        <w:rPr>
          <w:rFonts w:ascii="Arial" w:cs="Arial" w:eastAsia="Arial" w:hAnsi="Arial"/>
          <w:sz w:val="18"/>
          <w:szCs w:val="18"/>
          <w:color w:val="00C000"/>
          <w:strike w:val="1"/>
        </w:rPr>
        <w:t xml:space="preserve"> </w:t>
      </w:r>
      <w:r>
        <w:rPr>
          <w:rFonts w:ascii="Arial" w:cs="Arial" w:eastAsia="Arial" w:hAnsi="Arial"/>
          <w:sz w:val="18"/>
          <w:szCs w:val="18"/>
          <w:u w:val="single" w:color="auto"/>
          <w:color w:val="FF0000"/>
          <w:strike w:val="1"/>
        </w:rPr>
        <w:t>determining interest rates for loans (either such date, a “LIBOR Termination Date”), or (ii) a rate other than Adjusted LIBOR or LMIR, as applicable, has become a widely recognized benchmark rate for newly originated loans in Dollars in the U.S. market, then the Administrative Agent may (in consultation with the Borrowers) choose a replacement index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-913765</wp:posOffset>
            </wp:positionV>
            <wp:extent cx="1719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1719580" cy="8255"/>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-956945</wp:posOffset>
            </wp:positionV>
            <wp:extent cx="1719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1719580" cy="8255"/>
                    </a:xfrm>
                    <a:prstGeom prst="rect">
                      <a:avLst/>
                    </a:prstGeom>
                    <a:noFill/>
                  </pic:spPr>
                </pic:pic>
              </a:graphicData>
            </a:graphic>
          </wp:anchor>
        </w:drawing>
        <w:drawing>
          <wp:anchor simplePos="0" relativeHeight="251657728" behindDoc="1" locked="0" layoutInCell="0" allowOverlap="1">
            <wp:simplePos x="0" y="0"/>
            <wp:positionH relativeFrom="column">
              <wp:posOffset>4219575</wp:posOffset>
            </wp:positionH>
            <wp:positionV relativeFrom="paragraph">
              <wp:posOffset>-622300</wp:posOffset>
            </wp:positionV>
            <wp:extent cx="29121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2912110" cy="8255"/>
                    </a:xfrm>
                    <a:prstGeom prst="rect">
                      <a:avLst/>
                    </a:prstGeom>
                    <a:noFill/>
                  </pic:spPr>
                </pic:pic>
              </a:graphicData>
            </a:graphic>
          </wp:anchor>
        </w:drawing>
        <w:drawing>
          <wp:anchor simplePos="0" relativeHeight="251657728" behindDoc="1" locked="0" layoutInCell="0" allowOverlap="1">
            <wp:simplePos x="0" y="0"/>
            <wp:positionH relativeFrom="column">
              <wp:posOffset>4219575</wp:posOffset>
            </wp:positionH>
            <wp:positionV relativeFrom="paragraph">
              <wp:posOffset>-665480</wp:posOffset>
            </wp:positionV>
            <wp:extent cx="29121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2912110" cy="8255"/>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-476885</wp:posOffset>
            </wp:positionV>
            <wp:extent cx="61201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6120130" cy="8255"/>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-519430</wp:posOffset>
            </wp:positionV>
            <wp:extent cx="61201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6120130" cy="8255"/>
                    </a:xfrm>
                    <a:prstGeom prst="rect">
                      <a:avLst/>
                    </a:prstGeom>
                    <a:noFill/>
                  </pic:spPr>
                </pic:pic>
              </a:graphicData>
            </a:graphic>
          </wp:anchor>
        </w:drawing>
      </w:r>
    </w:p>
    <w:p>
      <w:pPr>
        <w:spacing w:after="0" w:line="173"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8"/>
          <w:szCs w:val="18"/>
          <w:u w:val="single" w:color="auto"/>
          <w:color w:val="FF0000"/>
          <w:strike w:val="1"/>
        </w:rPr>
        <w:t>Adjusted LIBOR or LMIR, as applicable, and make adjustments to applicable margins and related amendments to this Agreement as referred to below such that, to the extent practicable, the all in Interest based on the replacement index will be substantially equivalent to the all in Interest based on Adjusted LIBOR or LMIR, as applicable, in effect prior to its replacement.</w:t>
      </w:r>
    </w:p>
    <w:p>
      <w:pPr>
        <w:spacing w:after="0" w:line="183" w:lineRule="exact"/>
        <w:rPr>
          <w:sz w:val="20"/>
          <w:szCs w:val="20"/>
          <w:color w:val="auto"/>
        </w:rPr>
      </w:pPr>
    </w:p>
    <w:p>
      <w:pPr>
        <w:ind w:left="1720" w:hanging="848"/>
        <w:spacing w:after="0"/>
        <w:tabs>
          <w:tab w:leader="none" w:pos="1720" w:val="left"/>
        </w:tabs>
        <w:numPr>
          <w:ilvl w:val="0"/>
          <w:numId w:val="60"/>
        </w:numPr>
        <w:rPr>
          <w:rFonts w:ascii="Arial" w:cs="Arial" w:eastAsia="Arial" w:hAnsi="Arial"/>
          <w:sz w:val="18"/>
          <w:szCs w:val="18"/>
          <w:u w:val="single" w:color="auto"/>
          <w:color w:val="0000FF"/>
        </w:rPr>
      </w:pPr>
      <w:r>
        <w:rPr>
          <w:rFonts w:ascii="Arial" w:cs="Arial" w:eastAsia="Arial" w:hAnsi="Arial"/>
          <w:sz w:val="18"/>
          <w:szCs w:val="18"/>
          <w:color w:val="FF0000"/>
          <w:strike w:val="1"/>
        </w:rPr>
        <w:t xml:space="preserve">(b) </w:t>
      </w:r>
      <w:r>
        <w:rPr>
          <w:rFonts w:ascii="Arial" w:cs="Arial" w:eastAsia="Arial" w:hAnsi="Arial"/>
          <w:sz w:val="18"/>
          <w:szCs w:val="18"/>
          <w:color w:val="00C000"/>
          <w:strike w:val="1"/>
        </w:rPr>
        <w:t>The Administrative Agent</w:t>
      </w:r>
      <w:r>
        <w:rPr>
          <w:rFonts w:ascii="Arial" w:cs="Arial" w:eastAsia="Arial" w:hAnsi="Arial"/>
          <w:sz w:val="18"/>
          <w:szCs w:val="18"/>
          <w:color w:val="FF0000"/>
          <w:strike w:val="1"/>
        </w:rPr>
        <w:t xml:space="preserve"> and the Borrowers shall enter into an amendment to</w:t>
      </w:r>
    </w:p>
    <w:p>
      <w:pPr>
        <w:spacing w:after="0" w:line="239"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FF0000"/>
          <w:strike w:val="1"/>
        </w:rPr>
        <w:t xml:space="preserve">this Agreement to reflect the replacement index, the adjusted margins and such other related amendments as may be appropriate, in the discretion of </w:t>
      </w:r>
      <w:r>
        <w:rPr>
          <w:rFonts w:ascii="Arial" w:cs="Arial" w:eastAsia="Arial" w:hAnsi="Arial"/>
          <w:sz w:val="18"/>
          <w:szCs w:val="18"/>
          <w:color w:val="00C000"/>
          <w:strike w:val="1"/>
        </w:rPr>
        <w:t>the Administrative Agent,</w:t>
      </w:r>
      <w:r>
        <w:rPr>
          <w:rFonts w:ascii="Arial" w:cs="Arial" w:eastAsia="Arial" w:hAnsi="Arial"/>
          <w:sz w:val="18"/>
          <w:szCs w:val="18"/>
          <w:color w:val="FF0000"/>
          <w:strike w:val="1"/>
        </w:rPr>
        <w:t xml:space="preserve"> for the implementation and administration of the replacement index based rate</w:t>
      </w:r>
      <w:r>
        <w:rPr>
          <w:rFonts w:ascii="Arial" w:cs="Arial" w:eastAsia="Arial" w:hAnsi="Arial"/>
          <w:sz w:val="18"/>
          <w:szCs w:val="18"/>
          <w:u w:val="single" w:color="auto"/>
          <w:color w:val="0000FF"/>
          <w:strike w:val="1"/>
        </w:rPr>
        <w:t>Benchmark Replacement</w:t>
      </w:r>
      <w:r>
        <w:rPr>
          <w:rFonts w:ascii="Arial" w:cs="Arial" w:eastAsia="Arial" w:hAnsi="Arial"/>
          <w:sz w:val="18"/>
          <w:szCs w:val="18"/>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Notwithstanding anything to the contrary </w:t>
      </w:r>
      <w:r>
        <w:rPr>
          <w:rFonts w:ascii="Arial" w:cs="Arial" w:eastAsia="Arial" w:hAnsi="Arial"/>
          <w:sz w:val="18"/>
          <w:szCs w:val="18"/>
          <w:color w:val="FF0000"/>
          <w:strike w:val="1"/>
        </w:rPr>
        <w:t>in this Agreement or the other Transaction Documents (including, without limitation, Section 14.01), such</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amendment shall </w:t>
      </w:r>
      <w:r>
        <w:rPr>
          <w:rFonts w:ascii="Arial" w:cs="Arial" w:eastAsia="Arial" w:hAnsi="Arial"/>
          <w:sz w:val="18"/>
          <w:szCs w:val="18"/>
          <w:u w:val="single" w:color="auto"/>
          <w:color w:val="00C000"/>
          <w:strike w:val="1"/>
        </w:rPr>
        <w:t>b</w:t>
      </w:r>
      <w:r>
        <w:rPr>
          <w:rFonts w:ascii="Arial" w:cs="Arial" w:eastAsia="Arial" w:hAnsi="Arial"/>
          <w:sz w:val="18"/>
          <w:szCs w:val="18"/>
          <w:color w:val="00C000"/>
          <w:strike w:val="1"/>
        </w:rPr>
        <w:t>ecome e</w:t>
      </w:r>
      <w:r>
        <w:rPr>
          <w:rFonts w:ascii="Arial" w:cs="Arial" w:eastAsia="Arial" w:hAnsi="Arial"/>
          <w:sz w:val="18"/>
          <w:szCs w:val="18"/>
          <w:u w:val="single" w:color="auto"/>
          <w:color w:val="00C000"/>
          <w:strike w:val="1"/>
        </w:rPr>
        <w:t>ff</w:t>
      </w:r>
      <w:r>
        <w:rPr>
          <w:rFonts w:ascii="Arial" w:cs="Arial" w:eastAsia="Arial" w:hAnsi="Arial"/>
          <w:sz w:val="18"/>
          <w:szCs w:val="18"/>
          <w:color w:val="00C000"/>
          <w:strike w:val="1"/>
        </w:rPr>
        <w:t>ect</w:t>
      </w:r>
      <w:r>
        <w:rPr>
          <w:rFonts w:ascii="Arial" w:cs="Arial" w:eastAsia="Arial" w:hAnsi="Arial"/>
          <w:sz w:val="18"/>
          <w:szCs w:val="18"/>
          <w:u w:val="single" w:color="auto"/>
          <w:color w:val="00C000"/>
          <w:strike w:val="1"/>
        </w:rPr>
        <w:t>i</w:t>
      </w:r>
      <w:r>
        <w:rPr>
          <w:rFonts w:ascii="Arial" w:cs="Arial" w:eastAsia="Arial" w:hAnsi="Arial"/>
          <w:sz w:val="18"/>
          <w:szCs w:val="18"/>
          <w:color w:val="00C000"/>
          <w:strike w:val="1"/>
        </w:rPr>
        <w:t>ve w</w:t>
      </w:r>
      <w:r>
        <w:rPr>
          <w:rFonts w:ascii="Arial" w:cs="Arial" w:eastAsia="Arial" w:hAnsi="Arial"/>
          <w:sz w:val="18"/>
          <w:szCs w:val="18"/>
          <w:u w:val="single" w:color="auto"/>
          <w:color w:val="00C000"/>
          <w:strike w:val="1"/>
        </w:rPr>
        <w:t>i</w:t>
      </w:r>
      <w:r>
        <w:rPr>
          <w:rFonts w:ascii="Arial" w:cs="Arial" w:eastAsia="Arial" w:hAnsi="Arial"/>
          <w:sz w:val="18"/>
          <w:szCs w:val="18"/>
          <w:color w:val="00C000"/>
          <w:strike w:val="1"/>
        </w:rPr>
        <w:t>t</w:t>
      </w:r>
      <w:r>
        <w:rPr>
          <w:rFonts w:ascii="Arial" w:cs="Arial" w:eastAsia="Arial" w:hAnsi="Arial"/>
          <w:sz w:val="18"/>
          <w:szCs w:val="18"/>
          <w:u w:val="single" w:color="auto"/>
          <w:color w:val="00C000"/>
          <w:strike w:val="1"/>
        </w:rPr>
        <w:t>h</w:t>
      </w:r>
      <w:r>
        <w:rPr>
          <w:rFonts w:ascii="Arial" w:cs="Arial" w:eastAsia="Arial" w:hAnsi="Arial"/>
          <w:sz w:val="18"/>
          <w:szCs w:val="18"/>
          <w:color w:val="00C000"/>
          <w:strike w:val="1"/>
        </w:rPr>
        <w:t>out an</w:t>
      </w:r>
      <w:r>
        <w:rPr>
          <w:rFonts w:ascii="Arial" w:cs="Arial" w:eastAsia="Arial" w:hAnsi="Arial"/>
          <w:sz w:val="18"/>
          <w:szCs w:val="18"/>
          <w:u w:val="single" w:color="auto"/>
          <w:color w:val="00C000"/>
          <w:strike w:val="1"/>
        </w:rPr>
        <w:t>y f</w:t>
      </w:r>
      <w:r>
        <w:rPr>
          <w:rFonts w:ascii="Arial" w:cs="Arial" w:eastAsia="Arial" w:hAnsi="Arial"/>
          <w:sz w:val="18"/>
          <w:szCs w:val="18"/>
          <w:color w:val="00C000"/>
          <w:strike w:val="1"/>
        </w:rPr>
        <w:t>ur</w:t>
      </w:r>
      <w:r>
        <w:rPr>
          <w:rFonts w:ascii="Arial" w:cs="Arial" w:eastAsia="Arial" w:hAnsi="Arial"/>
          <w:sz w:val="18"/>
          <w:szCs w:val="18"/>
          <w:u w:val="single" w:color="auto"/>
          <w:color w:val="00C000"/>
          <w:strike w:val="1"/>
        </w:rPr>
        <w:t>th</w:t>
      </w:r>
      <w:r>
        <w:rPr>
          <w:rFonts w:ascii="Arial" w:cs="Arial" w:eastAsia="Arial" w:hAnsi="Arial"/>
          <w:sz w:val="18"/>
          <w:szCs w:val="18"/>
          <w:color w:val="00C000"/>
          <w:strike w:val="1"/>
        </w:rPr>
        <w:t>er ac</w:t>
      </w:r>
      <w:r>
        <w:rPr>
          <w:rFonts w:ascii="Arial" w:cs="Arial" w:eastAsia="Arial" w:hAnsi="Arial"/>
          <w:sz w:val="18"/>
          <w:szCs w:val="18"/>
          <w:u w:val="single" w:color="auto"/>
          <w:color w:val="00C000"/>
          <w:strike w:val="1"/>
        </w:rPr>
        <w:t>ti</w:t>
      </w:r>
      <w:r>
        <w:rPr>
          <w:rFonts w:ascii="Arial" w:cs="Arial" w:eastAsia="Arial" w:hAnsi="Arial"/>
          <w:sz w:val="18"/>
          <w:szCs w:val="18"/>
          <w:color w:val="00C000"/>
          <w:strike w:val="1"/>
        </w:rPr>
        <w:t>on or consen</w:t>
      </w:r>
      <w:r>
        <w:rPr>
          <w:rFonts w:ascii="Arial" w:cs="Arial" w:eastAsia="Arial" w:hAnsi="Arial"/>
          <w:sz w:val="18"/>
          <w:szCs w:val="18"/>
          <w:u w:val="single" w:color="auto"/>
          <w:color w:val="00C000"/>
          <w:strike w:val="1"/>
        </w:rPr>
        <w:t>t</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o</w:t>
      </w:r>
      <w:r>
        <w:rPr>
          <w:rFonts w:ascii="Arial" w:cs="Arial" w:eastAsia="Arial" w:hAnsi="Arial"/>
          <w:sz w:val="18"/>
          <w:szCs w:val="18"/>
          <w:u w:val="single" w:color="auto"/>
          <w:color w:val="00C000"/>
          <w:strike w:val="1"/>
        </w:rPr>
        <w:t>f</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an</w:t>
      </w:r>
      <w:r>
        <w:rPr>
          <w:rFonts w:ascii="Arial" w:cs="Arial" w:eastAsia="Arial" w:hAnsi="Arial"/>
          <w:sz w:val="18"/>
          <w:szCs w:val="18"/>
          <w:u w:val="single" w:color="auto"/>
          <w:color w:val="00C000"/>
          <w:strike w:val="1"/>
        </w:rPr>
        <w:t>y</w:t>
      </w:r>
      <w:r>
        <w:rPr>
          <w:rFonts w:ascii="Arial" w:cs="Arial" w:eastAsia="Arial" w:hAnsi="Arial"/>
          <w:sz w:val="18"/>
          <w:szCs w:val="18"/>
          <w:color w:val="FF0000"/>
          <w:strike w:val="1"/>
        </w:rPr>
        <w:t xml:space="preserve"> </w:t>
      </w:r>
      <w:r>
        <w:rPr>
          <w:rFonts w:ascii="Arial" w:cs="Arial" w:eastAsia="Arial" w:hAnsi="Arial"/>
          <w:sz w:val="18"/>
          <w:szCs w:val="18"/>
          <w:color w:val="00C000"/>
          <w:strike w:val="1"/>
        </w:rPr>
        <w:t>o</w:t>
      </w:r>
      <w:r>
        <w:rPr>
          <w:rFonts w:ascii="Arial" w:cs="Arial" w:eastAsia="Arial" w:hAnsi="Arial"/>
          <w:sz w:val="18"/>
          <w:szCs w:val="18"/>
          <w:u w:val="single" w:color="auto"/>
          <w:color w:val="00C000"/>
          <w:strike w:val="1"/>
        </w:rPr>
        <w:t>th</w:t>
      </w:r>
      <w:r>
        <w:rPr>
          <w:rFonts w:ascii="Arial" w:cs="Arial" w:eastAsia="Arial" w:hAnsi="Arial"/>
          <w:sz w:val="18"/>
          <w:szCs w:val="18"/>
          <w:color w:val="00C000"/>
          <w:strike w:val="1"/>
        </w:rPr>
        <w:t>er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C000"/>
          <w:strike w:val="1"/>
        </w:rPr>
        <w:t>p</w:t>
      </w:r>
      <w:r>
        <w:rPr>
          <w:rFonts w:ascii="Arial" w:cs="Arial" w:eastAsia="Arial" w:hAnsi="Arial"/>
          <w:sz w:val="18"/>
          <w:szCs w:val="18"/>
          <w:color w:val="00C000"/>
          <w:strike w:val="1"/>
        </w:rPr>
        <w:t>ar</w:t>
      </w:r>
      <w:r>
        <w:rPr>
          <w:rFonts w:ascii="Arial" w:cs="Arial" w:eastAsia="Arial" w:hAnsi="Arial"/>
          <w:sz w:val="18"/>
          <w:szCs w:val="18"/>
          <w:u w:val="single" w:color="auto"/>
          <w:color w:val="00C000"/>
          <w:strike w:val="1"/>
        </w:rPr>
        <w:t>ty t</w:t>
      </w:r>
      <w:r>
        <w:rPr>
          <w:rFonts w:ascii="Arial" w:cs="Arial" w:eastAsia="Arial" w:hAnsi="Arial"/>
          <w:sz w:val="18"/>
          <w:szCs w:val="18"/>
          <w:color w:val="00C000"/>
          <w:strike w:val="1"/>
        </w:rPr>
        <w:t>o this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B050"/>
          <w:strike w:val="1"/>
        </w:rPr>
        <w:t>Ag</w:t>
      </w:r>
      <w:r>
        <w:rPr>
          <w:rFonts w:ascii="Arial" w:cs="Arial" w:eastAsia="Arial" w:hAnsi="Arial"/>
          <w:sz w:val="18"/>
          <w:szCs w:val="18"/>
          <w:color w:val="00B050"/>
          <w:strike w:val="1"/>
        </w:rPr>
        <w:t>reemen</w:t>
      </w:r>
      <w:r>
        <w:rPr>
          <w:rFonts w:ascii="Arial" w:cs="Arial" w:eastAsia="Arial" w:hAnsi="Arial"/>
          <w:sz w:val="18"/>
          <w:szCs w:val="18"/>
          <w:u w:val="single" w:color="auto"/>
          <w:color w:val="00B050"/>
          <w:strike w:val="1"/>
        </w:rPr>
        <w:t>t</w:t>
      </w:r>
      <w:r>
        <w:rPr>
          <w:rFonts w:ascii="Arial" w:cs="Arial" w:eastAsia="Arial" w:hAnsi="Arial"/>
          <w:sz w:val="18"/>
          <w:szCs w:val="18"/>
          <w:u w:val="single" w:color="auto"/>
          <w:color w:val="0000FF"/>
          <w:strike w:val="1"/>
        </w:rPr>
        <w:t>herein or in any other Transaction Document,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if</w:t>
      </w:r>
      <w:r>
        <w:rPr>
          <w:rFonts w:ascii="Arial" w:cs="Arial" w:eastAsia="Arial" w:hAnsi="Arial"/>
          <w:sz w:val="18"/>
          <w:szCs w:val="18"/>
          <w:color w:val="0000FF"/>
          <w:strike w:val="1"/>
        </w:rPr>
        <w:t xml:space="preserve"> </w:t>
      </w:r>
      <w:r>
        <w:rPr>
          <w:rFonts w:ascii="Arial" w:cs="Arial" w:eastAsia="Arial" w:hAnsi="Arial"/>
          <w:sz w:val="18"/>
          <w:szCs w:val="18"/>
          <w:color w:val="00C000"/>
          <w:strike w:val="1"/>
        </w:rPr>
        <w:t>the Administrative Agent determines</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that a Benchmark Transition Event or an Early Opt-in Event has occurred,</w:t>
      </w:r>
      <w:r>
        <w:rPr>
          <w:rFonts w:ascii="Arial" w:cs="Arial" w:eastAsia="Arial" w:hAnsi="Arial"/>
          <w:sz w:val="18"/>
          <w:szCs w:val="18"/>
          <w:color w:val="0000FF"/>
          <w:strike w:val="1"/>
        </w:rPr>
        <w:t xml:space="preserve"> </w:t>
      </w:r>
      <w:r>
        <w:rPr>
          <w:rFonts w:ascii="Arial" w:cs="Arial" w:eastAsia="Arial" w:hAnsi="Arial"/>
          <w:sz w:val="18"/>
          <w:szCs w:val="18"/>
          <w:color w:val="00C000"/>
          <w:strike w:val="1"/>
        </w:rPr>
        <w:t>the Administrative Agent</w:t>
      </w:r>
      <w:r>
        <w:rPr>
          <w:rFonts w:ascii="Arial" w:cs="Arial" w:eastAsia="Arial" w:hAnsi="Arial"/>
          <w:sz w:val="18"/>
          <w:szCs w:val="18"/>
          <w:color w:val="0000FF"/>
          <w:strike w:val="1"/>
        </w:rPr>
        <w:t xml:space="preserve"> and the </w:t>
      </w:r>
      <w:r>
        <w:rPr>
          <w:rFonts w:ascii="Arial" w:cs="Arial" w:eastAsia="Arial" w:hAnsi="Arial"/>
          <w:sz w:val="18"/>
          <w:szCs w:val="18"/>
          <w:u w:val="single" w:color="auto"/>
          <w:color w:val="0000FF"/>
          <w:strike w:val="1"/>
        </w:rPr>
        <w:t>Borrowers may amend this Agreement to replace Adjusted LIBOR or LMIR with a Benchmark Replacement; and any such amendment will become effective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at 5:00 p.m. New York City time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-810895</wp:posOffset>
            </wp:positionV>
            <wp:extent cx="53054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5305425" cy="8255"/>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-622300</wp:posOffset>
            </wp:positionV>
            <wp:extent cx="457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45720" cy="825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-476885</wp:posOffset>
            </wp:positionV>
            <wp:extent cx="149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149225" cy="8255"/>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-330835</wp:posOffset>
            </wp:positionV>
            <wp:extent cx="1771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1771015"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-330835</wp:posOffset>
            </wp:positionV>
            <wp:extent cx="16198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3"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8"/>
          <w:szCs w:val="18"/>
          <w:color w:val="FF0000"/>
          <w:strike w:val="1"/>
        </w:rPr>
        <w:t>tenth</w:t>
      </w:r>
      <w:r>
        <w:rPr>
          <w:rFonts w:ascii="Arial" w:cs="Arial" w:eastAsia="Arial" w:hAnsi="Arial"/>
          <w:sz w:val="18"/>
          <w:szCs w:val="18"/>
          <w:color w:val="0000FF"/>
        </w:rPr>
        <w:t>fifth</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10</w:t>
      </w:r>
      <w:r>
        <w:rPr>
          <w:rFonts w:ascii="Arial" w:cs="Arial" w:eastAsia="Arial" w:hAnsi="Arial"/>
          <w:sz w:val="18"/>
          <w:szCs w:val="18"/>
          <w:color w:val="0000FF"/>
        </w:rPr>
        <w:t>5</w:t>
      </w:r>
      <w:r>
        <w:rPr>
          <w:rFonts w:ascii="Arial" w:cs="Arial" w:eastAsia="Arial" w:hAnsi="Arial"/>
          <w:sz w:val="18"/>
          <w:szCs w:val="18"/>
          <w:color w:val="000000"/>
        </w:rPr>
        <w:t>th) Business Day after the</w:t>
      </w:r>
      <w:r>
        <w:rPr>
          <w:rFonts w:ascii="Arial" w:cs="Arial" w:eastAsia="Arial" w:hAnsi="Arial"/>
          <w:sz w:val="18"/>
          <w:szCs w:val="18"/>
          <w:color w:val="FF0000"/>
        </w:rPr>
        <w:t xml:space="preserve"> date a draft of </w:t>
      </w:r>
      <w:r>
        <w:rPr>
          <w:rFonts w:ascii="Arial" w:cs="Arial" w:eastAsia="Arial" w:hAnsi="Arial"/>
          <w:sz w:val="18"/>
          <w:szCs w:val="18"/>
          <w:u w:val="single" w:color="auto"/>
          <w:color w:val="FF0000"/>
        </w:rPr>
        <w:t>th</w:t>
      </w:r>
      <w:r>
        <w:rPr>
          <w:rFonts w:ascii="Arial" w:cs="Arial" w:eastAsia="Arial" w:hAnsi="Arial"/>
          <w:sz w:val="18"/>
          <w:szCs w:val="18"/>
          <w:color w:val="FF0000"/>
        </w:rPr>
        <w:t>e</w:t>
      </w:r>
      <w:r>
        <w:rPr>
          <w:rFonts w:ascii="Arial" w:cs="Arial" w:eastAsia="Arial" w:hAnsi="Arial"/>
          <w:sz w:val="18"/>
          <w:szCs w:val="18"/>
          <w:u w:val="single" w:color="auto"/>
          <w:color w:val="0000FF"/>
        </w:rPr>
        <w:t>Administrative Agent has provided such proposed</w:t>
      </w:r>
      <w:r>
        <w:rPr>
          <w:rFonts w:ascii="Arial" w:cs="Arial" w:eastAsia="Arial" w:hAnsi="Arial"/>
          <w:sz w:val="18"/>
          <w:szCs w:val="18"/>
          <w:color w:val="FF0000"/>
        </w:rPr>
        <w:t xml:space="preserve"> </w:t>
      </w:r>
      <w:r>
        <w:rPr>
          <w:rFonts w:ascii="Arial" w:cs="Arial" w:eastAsia="Arial" w:hAnsi="Arial"/>
          <w:sz w:val="18"/>
          <w:szCs w:val="18"/>
          <w:color w:val="000000"/>
        </w:rPr>
        <w:t>amendment</w:t>
      </w:r>
      <w:r>
        <w:rPr>
          <w:rFonts w:ascii="Arial" w:cs="Arial" w:eastAsia="Arial" w:hAnsi="Arial"/>
          <w:sz w:val="18"/>
          <w:szCs w:val="18"/>
          <w:color w:val="FF0000"/>
        </w:rPr>
        <w:t xml:space="preserve"> </w:t>
      </w:r>
      <w:r>
        <w:rPr>
          <w:rFonts w:ascii="Arial" w:cs="Arial" w:eastAsia="Arial" w:hAnsi="Arial"/>
          <w:sz w:val="18"/>
          <w:szCs w:val="18"/>
          <w:color w:val="FF0000"/>
          <w:strike w:val="1"/>
        </w:rPr>
        <w:t>is provided</w:t>
      </w:r>
      <w:r>
        <w:rPr>
          <w:rFonts w:ascii="Arial" w:cs="Arial" w:eastAsia="Arial" w:hAnsi="Arial"/>
          <w:sz w:val="18"/>
          <w:szCs w:val="18"/>
          <w:color w:val="FF0000"/>
        </w:rPr>
        <w:t xml:space="preserve"> </w:t>
      </w:r>
      <w:r>
        <w:rPr>
          <w:rFonts w:ascii="Arial" w:cs="Arial" w:eastAsia="Arial" w:hAnsi="Arial"/>
          <w:sz w:val="18"/>
          <w:szCs w:val="18"/>
          <w:color w:val="000000"/>
        </w:rPr>
        <w:t>to</w:t>
      </w:r>
      <w:r>
        <w:rPr>
          <w:rFonts w:ascii="Arial" w:cs="Arial" w:eastAsia="Arial" w:hAnsi="Arial"/>
          <w:sz w:val="18"/>
          <w:szCs w:val="18"/>
          <w:color w:val="FF0000"/>
        </w:rPr>
        <w:t xml:space="preserve"> </w:t>
      </w:r>
      <w:r>
        <w:rPr>
          <w:rFonts w:ascii="Arial" w:cs="Arial" w:eastAsia="Arial" w:hAnsi="Arial"/>
          <w:sz w:val="18"/>
          <w:szCs w:val="18"/>
          <w:color w:val="FF0000"/>
          <w:strike w:val="1"/>
        </w:rPr>
        <w:t>the</w:t>
      </w:r>
      <w:r>
        <w:rPr>
          <w:rFonts w:ascii="Arial" w:cs="Arial" w:eastAsia="Arial" w:hAnsi="Arial"/>
          <w:sz w:val="18"/>
          <w:szCs w:val="18"/>
          <w:color w:val="0000FF"/>
        </w:rPr>
        <w:t>all</w:t>
      </w:r>
      <w:r>
        <w:rPr>
          <w:rFonts w:ascii="Arial" w:cs="Arial" w:eastAsia="Arial" w:hAnsi="Arial"/>
          <w:sz w:val="18"/>
          <w:szCs w:val="18"/>
          <w:color w:val="FF0000"/>
        </w:rPr>
        <w:t xml:space="preserve"> </w:t>
      </w:r>
      <w:r>
        <w:rPr>
          <w:rFonts w:ascii="Arial" w:cs="Arial" w:eastAsia="Arial" w:hAnsi="Arial"/>
          <w:sz w:val="18"/>
          <w:szCs w:val="18"/>
          <w:color w:val="000000"/>
        </w:rPr>
        <w:t xml:space="preserve">Lenders, </w:t>
      </w:r>
      <w:r>
        <w:rPr>
          <w:rFonts w:ascii="Arial" w:cs="Arial" w:eastAsia="Arial" w:hAnsi="Arial"/>
          <w:sz w:val="18"/>
          <w:szCs w:val="18"/>
          <w:color w:val="FF0000"/>
          <w:strike w:val="1"/>
        </w:rPr>
        <w:t>un</w:t>
      </w:r>
      <w:r>
        <w:rPr>
          <w:rFonts w:ascii="Arial" w:cs="Arial" w:eastAsia="Arial" w:hAnsi="Arial"/>
          <w:sz w:val="18"/>
          <w:szCs w:val="18"/>
          <w:u w:val="single" w:color="auto"/>
          <w:color w:val="FF0000"/>
          <w:strike w:val="1"/>
        </w:rPr>
        <w:t>l</w:t>
      </w:r>
      <w:r>
        <w:rPr>
          <w:rFonts w:ascii="Arial" w:cs="Arial" w:eastAsia="Arial" w:hAnsi="Arial"/>
          <w:sz w:val="18"/>
          <w:szCs w:val="18"/>
          <w:color w:val="FF0000"/>
          <w:strike w:val="1"/>
        </w:rPr>
        <w:t>ess</w:t>
      </w:r>
      <w:r>
        <w:rPr>
          <w:rFonts w:ascii="Arial" w:cs="Arial" w:eastAsia="Arial" w:hAnsi="Arial"/>
          <w:sz w:val="18"/>
          <w:szCs w:val="18"/>
          <w:u w:val="single" w:color="auto"/>
          <w:color w:val="0000FF"/>
        </w:rPr>
        <w:t>so long as</w:t>
      </w:r>
      <w:r>
        <w:rPr>
          <w:rFonts w:ascii="Arial" w:cs="Arial" w:eastAsia="Arial" w:hAnsi="Arial"/>
          <w:sz w:val="18"/>
          <w:szCs w:val="18"/>
          <w:color w:val="000000"/>
        </w:rPr>
        <w:t xml:space="preserve"> the Administrative Agent </w:t>
      </w:r>
      <w:r>
        <w:rPr>
          <w:rFonts w:ascii="Arial" w:cs="Arial" w:eastAsia="Arial" w:hAnsi="Arial"/>
          <w:sz w:val="18"/>
          <w:szCs w:val="18"/>
          <w:color w:val="FF0000"/>
          <w:strike w:val="1"/>
        </w:rPr>
        <w:t>receives, on or before such tenth (10th) Business Day, a</w:t>
      </w:r>
      <w:r>
        <w:rPr>
          <w:rFonts w:ascii="Arial" w:cs="Arial" w:eastAsia="Arial" w:hAnsi="Arial"/>
          <w:sz w:val="18"/>
          <w:szCs w:val="18"/>
          <w:u w:val="single" w:color="auto"/>
          <w:color w:val="0000FF"/>
        </w:rPr>
        <w:t>has not received, by such time,</w:t>
      </w:r>
      <w:r>
        <w:rPr>
          <w:rFonts w:ascii="Arial" w:cs="Arial" w:eastAsia="Arial" w:hAnsi="Arial"/>
          <w:sz w:val="18"/>
          <w:szCs w:val="18"/>
          <w:color w:val="000000"/>
        </w:rPr>
        <w:t xml:space="preserve"> written notice </w:t>
      </w:r>
      <w:r>
        <w:rPr>
          <w:rFonts w:ascii="Arial" w:cs="Arial" w:eastAsia="Arial" w:hAnsi="Arial"/>
          <w:sz w:val="18"/>
          <w:szCs w:val="18"/>
          <w:color w:val="FF0000"/>
          <w:strike w:val="1"/>
        </w:rPr>
        <w:t>from the Majority Lenders stating that such Majority Lenders object</w:t>
      </w:r>
      <w:r>
        <w:rPr>
          <w:rFonts w:ascii="Arial" w:cs="Arial" w:eastAsia="Arial" w:hAnsi="Arial"/>
          <w:sz w:val="18"/>
          <w:szCs w:val="18"/>
          <w:u w:val="single" w:color="auto"/>
          <w:color w:val="0000FF"/>
        </w:rPr>
        <w:t>of objection</w:t>
      </w:r>
      <w:r>
        <w:rPr>
          <w:rFonts w:ascii="Arial" w:cs="Arial" w:eastAsia="Arial" w:hAnsi="Arial"/>
          <w:sz w:val="18"/>
          <w:szCs w:val="18"/>
          <w:color w:val="FF0000"/>
        </w:rPr>
        <w:t xml:space="preserve"> </w:t>
      </w:r>
      <w:r>
        <w:rPr>
          <w:rFonts w:ascii="Arial" w:cs="Arial" w:eastAsia="Arial" w:hAnsi="Arial"/>
          <w:sz w:val="18"/>
          <w:szCs w:val="18"/>
          <w:color w:val="000000"/>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-380365</wp:posOffset>
            </wp:positionV>
            <wp:extent cx="8515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such amendment </w:t>
      </w:r>
      <w:r>
        <w:rPr>
          <w:rFonts w:ascii="Arial" w:cs="Arial" w:eastAsia="Arial" w:hAnsi="Arial"/>
          <w:sz w:val="18"/>
          <w:szCs w:val="18"/>
          <w:u w:val="single" w:color="auto"/>
          <w:color w:val="0000FF"/>
        </w:rPr>
        <w:t>from Lenders comprising the Majority Lenders</w:t>
      </w:r>
      <w:r>
        <w:rPr>
          <w:rFonts w:ascii="Arial" w:cs="Arial" w:eastAsia="Arial" w:hAnsi="Arial"/>
          <w:sz w:val="18"/>
          <w:szCs w:val="18"/>
          <w:color w:val="0000FF"/>
        </w:rPr>
        <w:t>.</w:t>
      </w:r>
    </w:p>
    <w:p>
      <w:pPr>
        <w:spacing w:after="0" w:line="225" w:lineRule="exact"/>
        <w:rPr>
          <w:sz w:val="20"/>
          <w:szCs w:val="20"/>
          <w:color w:val="auto"/>
        </w:rPr>
      </w:pPr>
    </w:p>
    <w:p>
      <w:pPr>
        <w:ind w:left="1380" w:hanging="508"/>
        <w:spacing w:after="0"/>
        <w:tabs>
          <w:tab w:leader="none" w:pos="1380" w:val="left"/>
        </w:tabs>
        <w:numPr>
          <w:ilvl w:val="0"/>
          <w:numId w:val="61"/>
        </w:numPr>
        <w:rPr>
          <w:rFonts w:ascii="Arial" w:cs="Arial" w:eastAsia="Arial" w:hAnsi="Arial"/>
          <w:sz w:val="18"/>
          <w:szCs w:val="18"/>
          <w:color w:val="FF0000"/>
          <w:strike w:val="1"/>
        </w:rPr>
      </w:pPr>
      <w:r>
        <w:rPr>
          <w:rFonts w:ascii="Arial" w:cs="Arial" w:eastAsia="Arial" w:hAnsi="Arial"/>
          <w:sz w:val="18"/>
          <w:szCs w:val="18"/>
          <w:color w:val="FF0000"/>
          <w:strike w:val="1"/>
        </w:rPr>
        <w:t>Selection of the replacement index, adjustments to the applicable margins,</w:t>
      </w:r>
    </w:p>
    <w:p>
      <w:pPr>
        <w:spacing w:after="0" w:line="239" w:lineRule="exact"/>
        <w:rPr>
          <w:sz w:val="20"/>
          <w:szCs w:val="20"/>
          <w:color w:val="auto"/>
        </w:rPr>
      </w:pPr>
    </w:p>
    <w:p>
      <w:pPr>
        <w:jc w:val="both"/>
        <w:ind w:firstLine="864"/>
        <w:spacing w:after="0" w:line="299" w:lineRule="auto"/>
        <w:rPr>
          <w:sz w:val="20"/>
          <w:szCs w:val="20"/>
          <w:color w:val="auto"/>
        </w:rPr>
      </w:pPr>
      <w:r>
        <w:rPr>
          <w:rFonts w:ascii="Arial" w:cs="Arial" w:eastAsia="Arial" w:hAnsi="Arial"/>
          <w:sz w:val="16"/>
          <w:szCs w:val="16"/>
          <w:color w:val="FF0000"/>
          <w:strike w:val="1"/>
        </w:rPr>
        <w:t xml:space="preserve">and amendments to this Agreement (i) will be determined with due consideration to the then current market practices for determining and implementing a rate of interest for newly originated loans in the United States and loans converted from a rate based on Adjusted LIBOR or LMIR to a replacement index based rate, and (ii) </w:t>
      </w:r>
      <w:r>
        <w:rPr>
          <w:rFonts w:ascii="Arial" w:cs="Arial" w:eastAsia="Arial" w:hAnsi="Arial"/>
          <w:sz w:val="16"/>
          <w:szCs w:val="16"/>
          <w:color w:val="00C000"/>
          <w:strike w:val="1"/>
        </w:rPr>
        <w:t>ma</w:t>
      </w:r>
      <w:r>
        <w:rPr>
          <w:rFonts w:ascii="Arial" w:cs="Arial" w:eastAsia="Arial" w:hAnsi="Arial"/>
          <w:sz w:val="16"/>
          <w:szCs w:val="16"/>
          <w:u w:val="single" w:color="auto"/>
          <w:color w:val="00C000"/>
          <w:strike w:val="1"/>
        </w:rPr>
        <w:t>y</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a</w:t>
      </w:r>
      <w:r>
        <w:rPr>
          <w:rFonts w:ascii="Arial" w:cs="Arial" w:eastAsia="Arial" w:hAnsi="Arial"/>
          <w:sz w:val="16"/>
          <w:szCs w:val="16"/>
          <w:u w:val="single" w:color="auto"/>
          <w:color w:val="00C000"/>
          <w:strike w:val="1"/>
        </w:rPr>
        <w:t>l</w:t>
      </w:r>
      <w:r>
        <w:rPr>
          <w:rFonts w:ascii="Arial" w:cs="Arial" w:eastAsia="Arial" w:hAnsi="Arial"/>
          <w:sz w:val="16"/>
          <w:szCs w:val="16"/>
          <w:color w:val="00C000"/>
          <w:strike w:val="1"/>
        </w:rPr>
        <w:t>so re</w:t>
      </w:r>
      <w:r>
        <w:rPr>
          <w:rFonts w:ascii="Arial" w:cs="Arial" w:eastAsia="Arial" w:hAnsi="Arial"/>
          <w:sz w:val="16"/>
          <w:szCs w:val="16"/>
          <w:u w:val="single" w:color="auto"/>
          <w:color w:val="00C000"/>
          <w:strike w:val="1"/>
        </w:rPr>
        <w:t>fl</w:t>
      </w:r>
      <w:r>
        <w:rPr>
          <w:rFonts w:ascii="Arial" w:cs="Arial" w:eastAsia="Arial" w:hAnsi="Arial"/>
          <w:sz w:val="16"/>
          <w:szCs w:val="16"/>
          <w:color w:val="00C000"/>
          <w:strike w:val="1"/>
        </w:rPr>
        <w:t>ec</w:t>
      </w:r>
      <w:r>
        <w:rPr>
          <w:rFonts w:ascii="Arial" w:cs="Arial" w:eastAsia="Arial" w:hAnsi="Arial"/>
          <w:sz w:val="16"/>
          <w:szCs w:val="16"/>
          <w:u w:val="single" w:color="auto"/>
          <w:color w:val="00C000"/>
          <w:strike w:val="1"/>
        </w:rPr>
        <w:t>t</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a</w:t>
      </w:r>
      <w:r>
        <w:rPr>
          <w:rFonts w:ascii="Arial" w:cs="Arial" w:eastAsia="Arial" w:hAnsi="Arial"/>
          <w:sz w:val="16"/>
          <w:szCs w:val="16"/>
          <w:u w:val="single" w:color="auto"/>
          <w:color w:val="00C000"/>
          <w:strike w:val="1"/>
        </w:rPr>
        <w:t>dj</w:t>
      </w:r>
      <w:r>
        <w:rPr>
          <w:rFonts w:ascii="Arial" w:cs="Arial" w:eastAsia="Arial" w:hAnsi="Arial"/>
          <w:sz w:val="16"/>
          <w:szCs w:val="16"/>
          <w:color w:val="00C000"/>
          <w:strike w:val="1"/>
        </w:rPr>
        <w:t>us</w:t>
      </w:r>
      <w:r>
        <w:rPr>
          <w:rFonts w:ascii="Arial" w:cs="Arial" w:eastAsia="Arial" w:hAnsi="Arial"/>
          <w:sz w:val="16"/>
          <w:szCs w:val="16"/>
          <w:u w:val="single" w:color="auto"/>
          <w:color w:val="00C000"/>
          <w:strike w:val="1"/>
        </w:rPr>
        <w:t>t</w:t>
      </w:r>
      <w:r>
        <w:rPr>
          <w:rFonts w:ascii="Arial" w:cs="Arial" w:eastAsia="Arial" w:hAnsi="Arial"/>
          <w:sz w:val="16"/>
          <w:szCs w:val="16"/>
          <w:color w:val="00C000"/>
          <w:strike w:val="1"/>
        </w:rPr>
        <w:t>men</w:t>
      </w:r>
      <w:r>
        <w:rPr>
          <w:rFonts w:ascii="Arial" w:cs="Arial" w:eastAsia="Arial" w:hAnsi="Arial"/>
          <w:sz w:val="16"/>
          <w:szCs w:val="16"/>
          <w:u w:val="single" w:color="auto"/>
          <w:color w:val="00C000"/>
          <w:strike w:val="1"/>
        </w:rPr>
        <w:t>t</w:t>
      </w:r>
      <w:r>
        <w:rPr>
          <w:rFonts w:ascii="Arial" w:cs="Arial" w:eastAsia="Arial" w:hAnsi="Arial"/>
          <w:sz w:val="16"/>
          <w:szCs w:val="16"/>
          <w:color w:val="00C000"/>
          <w:strike w:val="1"/>
        </w:rPr>
        <w:t>s to accoun</w:t>
      </w:r>
      <w:r>
        <w:rPr>
          <w:rFonts w:ascii="Arial" w:cs="Arial" w:eastAsia="Arial" w:hAnsi="Arial"/>
          <w:sz w:val="16"/>
          <w:szCs w:val="16"/>
          <w:u w:val="single" w:color="auto"/>
          <w:color w:val="00C000"/>
          <w:strike w:val="1"/>
        </w:rPr>
        <w:t>t f</w:t>
      </w:r>
      <w:r>
        <w:rPr>
          <w:rFonts w:ascii="Arial" w:cs="Arial" w:eastAsia="Arial" w:hAnsi="Arial"/>
          <w:sz w:val="16"/>
          <w:szCs w:val="16"/>
          <w:color w:val="00C000"/>
          <w:strike w:val="1"/>
        </w:rPr>
        <w:t>or</w:t>
      </w:r>
      <w:r>
        <w:rPr>
          <w:rFonts w:ascii="Arial" w:cs="Arial" w:eastAsia="Arial" w:hAnsi="Arial"/>
          <w:sz w:val="16"/>
          <w:szCs w:val="16"/>
          <w:color w:val="FF0000"/>
          <w:strike w:val="1"/>
        </w:rPr>
        <w:t xml:space="preserve"> </w:t>
      </w:r>
      <w:r>
        <w:rPr>
          <w:rFonts w:ascii="Arial" w:cs="Arial" w:eastAsia="Arial" w:hAnsi="Arial"/>
          <w:sz w:val="16"/>
          <w:szCs w:val="16"/>
          <w:color w:val="00B050"/>
          <w:strike w:val="1"/>
        </w:rPr>
        <w:t>(A</w:t>
      </w:r>
      <w:r>
        <w:rPr>
          <w:rFonts w:ascii="Arial" w:cs="Arial" w:eastAsia="Arial" w:hAnsi="Arial"/>
          <w:sz w:val="16"/>
          <w:szCs w:val="16"/>
          <w:u w:val="single" w:color="auto"/>
          <w:color w:val="00B050"/>
          <w:strike w:val="1"/>
        </w:rPr>
        <w:t>)</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the e</w:t>
      </w:r>
      <w:r>
        <w:rPr>
          <w:rFonts w:ascii="Arial" w:cs="Arial" w:eastAsia="Arial" w:hAnsi="Arial"/>
          <w:sz w:val="16"/>
          <w:szCs w:val="16"/>
          <w:u w:val="single" w:color="auto"/>
          <w:color w:val="00C000"/>
          <w:strike w:val="1"/>
        </w:rPr>
        <w:t>ff</w:t>
      </w:r>
      <w:r>
        <w:rPr>
          <w:rFonts w:ascii="Arial" w:cs="Arial" w:eastAsia="Arial" w:hAnsi="Arial"/>
          <w:sz w:val="16"/>
          <w:szCs w:val="16"/>
          <w:color w:val="00C000"/>
          <w:strike w:val="1"/>
        </w:rPr>
        <w:t>ec</w:t>
      </w:r>
      <w:r>
        <w:rPr>
          <w:rFonts w:ascii="Arial" w:cs="Arial" w:eastAsia="Arial" w:hAnsi="Arial"/>
          <w:sz w:val="16"/>
          <w:szCs w:val="16"/>
          <w:u w:val="single" w:color="auto"/>
          <w:color w:val="00C000"/>
          <w:strike w:val="1"/>
        </w:rPr>
        <w:t>t</w:t>
      </w:r>
      <w:r>
        <w:rPr>
          <w:rFonts w:ascii="Arial" w:cs="Arial" w:eastAsia="Arial" w:hAnsi="Arial"/>
          <w:sz w:val="16"/>
          <w:szCs w:val="16"/>
          <w:color w:val="00C000"/>
          <w:strike w:val="1"/>
        </w:rPr>
        <w:t>s o</w:t>
      </w:r>
      <w:r>
        <w:rPr>
          <w:rFonts w:ascii="Arial" w:cs="Arial" w:eastAsia="Arial" w:hAnsi="Arial"/>
          <w:sz w:val="16"/>
          <w:szCs w:val="16"/>
          <w:u w:val="single" w:color="auto"/>
          <w:color w:val="00C000"/>
          <w:strike w:val="1"/>
        </w:rPr>
        <w:t>f th</w:t>
      </w:r>
      <w:r>
        <w:rPr>
          <w:rFonts w:ascii="Arial" w:cs="Arial" w:eastAsia="Arial" w:hAnsi="Arial"/>
          <w:sz w:val="16"/>
          <w:szCs w:val="16"/>
          <w:color w:val="00C000"/>
          <w:strike w:val="1"/>
        </w:rPr>
        <w:t>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t</w:t>
      </w:r>
      <w:r>
        <w:rPr>
          <w:rFonts w:ascii="Arial" w:cs="Arial" w:eastAsia="Arial" w:hAnsi="Arial"/>
          <w:sz w:val="16"/>
          <w:szCs w:val="16"/>
          <w:color w:val="00C000"/>
          <w:strike w:val="1"/>
        </w:rPr>
        <w:t>rans</w:t>
      </w:r>
      <w:r>
        <w:rPr>
          <w:rFonts w:ascii="Arial" w:cs="Arial" w:eastAsia="Arial" w:hAnsi="Arial"/>
          <w:sz w:val="16"/>
          <w:szCs w:val="16"/>
          <w:u w:val="single" w:color="auto"/>
          <w:color w:val="00C000"/>
          <w:strike w:val="1"/>
        </w:rPr>
        <w:t>iti</w:t>
      </w:r>
      <w:r>
        <w:rPr>
          <w:rFonts w:ascii="Arial" w:cs="Arial" w:eastAsia="Arial" w:hAnsi="Arial"/>
          <w:sz w:val="16"/>
          <w:szCs w:val="16"/>
          <w:color w:val="00C000"/>
          <w:strike w:val="1"/>
        </w:rPr>
        <w:t>on from</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Adj</w:t>
      </w:r>
      <w:r>
        <w:rPr>
          <w:rFonts w:ascii="Arial" w:cs="Arial" w:eastAsia="Arial" w:hAnsi="Arial"/>
          <w:sz w:val="16"/>
          <w:szCs w:val="16"/>
          <w:color w:val="00C000"/>
          <w:strike w:val="1"/>
        </w:rPr>
        <w:t>us</w:t>
      </w:r>
      <w:r>
        <w:rPr>
          <w:rFonts w:ascii="Arial" w:cs="Arial" w:eastAsia="Arial" w:hAnsi="Arial"/>
          <w:sz w:val="16"/>
          <w:szCs w:val="16"/>
          <w:u w:val="single" w:color="auto"/>
          <w:color w:val="00C000"/>
          <w:strike w:val="1"/>
        </w:rPr>
        <w:t>t</w:t>
      </w:r>
      <w:r>
        <w:rPr>
          <w:rFonts w:ascii="Arial" w:cs="Arial" w:eastAsia="Arial" w:hAnsi="Arial"/>
          <w:sz w:val="16"/>
          <w:szCs w:val="16"/>
          <w:color w:val="00C000"/>
          <w:strike w:val="1"/>
        </w:rPr>
        <w:t>e</w:t>
      </w:r>
      <w:r>
        <w:rPr>
          <w:rFonts w:ascii="Arial" w:cs="Arial" w:eastAsia="Arial" w:hAnsi="Arial"/>
          <w:sz w:val="16"/>
          <w:szCs w:val="16"/>
          <w:u w:val="single" w:color="auto"/>
          <w:color w:val="00C000"/>
          <w:strike w:val="1"/>
        </w:rPr>
        <w:t>d LIBOR</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or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LMIR</w:t>
      </w:r>
      <w:r>
        <w:rPr>
          <w:rFonts w:ascii="Arial" w:cs="Arial" w:eastAsia="Arial" w:hAnsi="Arial"/>
          <w:sz w:val="16"/>
          <w:szCs w:val="16"/>
          <w:color w:val="00C000"/>
          <w:strike w:val="1"/>
        </w:rPr>
        <w:t>,</w:t>
      </w:r>
      <w:r>
        <w:rPr>
          <w:rFonts w:ascii="Arial" w:cs="Arial" w:eastAsia="Arial" w:hAnsi="Arial"/>
          <w:sz w:val="16"/>
          <w:szCs w:val="16"/>
          <w:color w:val="FF0000"/>
          <w:strike w:val="1"/>
        </w:rPr>
        <w:t xml:space="preserve"> as a</w:t>
      </w:r>
      <w:r>
        <w:rPr>
          <w:rFonts w:ascii="Arial" w:cs="Arial" w:eastAsia="Arial" w:hAnsi="Arial"/>
          <w:sz w:val="16"/>
          <w:szCs w:val="16"/>
          <w:u w:val="single" w:color="auto"/>
          <w:color w:val="FF0000"/>
          <w:strike w:val="1"/>
        </w:rPr>
        <w:t>ppli</w:t>
      </w:r>
      <w:r>
        <w:rPr>
          <w:rFonts w:ascii="Arial" w:cs="Arial" w:eastAsia="Arial" w:hAnsi="Arial"/>
          <w:sz w:val="16"/>
          <w:szCs w:val="16"/>
          <w:color w:val="FF0000"/>
          <w:strike w:val="1"/>
        </w:rPr>
        <w:t>ca</w:t>
      </w:r>
      <w:r>
        <w:rPr>
          <w:rFonts w:ascii="Arial" w:cs="Arial" w:eastAsia="Arial" w:hAnsi="Arial"/>
          <w:sz w:val="16"/>
          <w:szCs w:val="16"/>
          <w:u w:val="single" w:color="auto"/>
          <w:color w:val="FF0000"/>
          <w:strike w:val="1"/>
        </w:rPr>
        <w:t>bl</w:t>
      </w:r>
      <w:r>
        <w:rPr>
          <w:rFonts w:ascii="Arial" w:cs="Arial" w:eastAsia="Arial" w:hAnsi="Arial"/>
          <w:sz w:val="16"/>
          <w:szCs w:val="16"/>
          <w:color w:val="FF0000"/>
          <w:strike w:val="1"/>
        </w:rPr>
        <w:t>e, to the re</w:t>
      </w:r>
      <w:r>
        <w:rPr>
          <w:rFonts w:ascii="Arial" w:cs="Arial" w:eastAsia="Arial" w:hAnsi="Arial"/>
          <w:sz w:val="16"/>
          <w:szCs w:val="16"/>
          <w:u w:val="single" w:color="auto"/>
          <w:color w:val="FF0000"/>
          <w:strike w:val="1"/>
        </w:rPr>
        <w:t>pl</w:t>
      </w:r>
      <w:r>
        <w:rPr>
          <w:rFonts w:ascii="Arial" w:cs="Arial" w:eastAsia="Arial" w:hAnsi="Arial"/>
          <w:sz w:val="16"/>
          <w:szCs w:val="16"/>
          <w:color w:val="FF0000"/>
          <w:strike w:val="1"/>
        </w:rPr>
        <w:t>acemen</w:t>
      </w:r>
      <w:r>
        <w:rPr>
          <w:rFonts w:ascii="Arial" w:cs="Arial" w:eastAsia="Arial" w:hAnsi="Arial"/>
          <w:sz w:val="16"/>
          <w:szCs w:val="16"/>
          <w:u w:val="single" w:color="auto"/>
          <w:color w:val="FF0000"/>
          <w:strike w:val="1"/>
        </w:rPr>
        <w:t>t i</w:t>
      </w:r>
      <w:r>
        <w:rPr>
          <w:rFonts w:ascii="Arial" w:cs="Arial" w:eastAsia="Arial" w:hAnsi="Arial"/>
          <w:sz w:val="16"/>
          <w:szCs w:val="16"/>
          <w:color w:val="FF0000"/>
          <w:strike w:val="1"/>
        </w:rPr>
        <w:t>n</w:t>
      </w:r>
      <w:r>
        <w:rPr>
          <w:rFonts w:ascii="Arial" w:cs="Arial" w:eastAsia="Arial" w:hAnsi="Arial"/>
          <w:sz w:val="16"/>
          <w:szCs w:val="16"/>
          <w:u w:val="single" w:color="auto"/>
          <w:color w:val="FF0000"/>
          <w:strike w:val="1"/>
        </w:rPr>
        <w:t>d</w:t>
      </w:r>
      <w:r>
        <w:rPr>
          <w:rFonts w:ascii="Arial" w:cs="Arial" w:eastAsia="Arial" w:hAnsi="Arial"/>
          <w:sz w:val="16"/>
          <w:szCs w:val="16"/>
          <w:color w:val="FF0000"/>
          <w:strike w:val="1"/>
        </w:rPr>
        <w:t>ex an</w:t>
      </w:r>
      <w:r>
        <w:rPr>
          <w:rFonts w:ascii="Arial" w:cs="Arial" w:eastAsia="Arial" w:hAnsi="Arial"/>
          <w:sz w:val="16"/>
          <w:szCs w:val="16"/>
          <w:u w:val="single" w:color="auto"/>
          <w:color w:val="FF0000"/>
          <w:strike w:val="1"/>
        </w:rPr>
        <w:t>d (B)</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yi</w:t>
      </w:r>
      <w:r>
        <w:rPr>
          <w:rFonts w:ascii="Arial" w:cs="Arial" w:eastAsia="Arial" w:hAnsi="Arial"/>
          <w:sz w:val="16"/>
          <w:szCs w:val="16"/>
          <w:color w:val="00C000"/>
          <w:strike w:val="1"/>
        </w:rPr>
        <w:t>e</w:t>
      </w:r>
      <w:r>
        <w:rPr>
          <w:rFonts w:ascii="Arial" w:cs="Arial" w:eastAsia="Arial" w:hAnsi="Arial"/>
          <w:sz w:val="16"/>
          <w:szCs w:val="16"/>
          <w:u w:val="single" w:color="auto"/>
          <w:color w:val="00C000"/>
          <w:strike w:val="1"/>
        </w:rPr>
        <w:t>ld</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or r</w:t>
      </w:r>
      <w:r>
        <w:rPr>
          <w:rFonts w:ascii="Arial" w:cs="Arial" w:eastAsia="Arial" w:hAnsi="Arial"/>
          <w:sz w:val="16"/>
          <w:szCs w:val="16"/>
          <w:u w:val="single" w:color="auto"/>
          <w:color w:val="00C000"/>
          <w:strike w:val="1"/>
        </w:rPr>
        <w:t>i</w:t>
      </w:r>
      <w:r>
        <w:rPr>
          <w:rFonts w:ascii="Arial" w:cs="Arial" w:eastAsia="Arial" w:hAnsi="Arial"/>
          <w:sz w:val="16"/>
          <w:szCs w:val="16"/>
          <w:color w:val="00C000"/>
          <w:strike w:val="1"/>
        </w:rPr>
        <w:t>s</w:t>
      </w:r>
      <w:r>
        <w:rPr>
          <w:rFonts w:ascii="Arial" w:cs="Arial" w:eastAsia="Arial" w:hAnsi="Arial"/>
          <w:sz w:val="16"/>
          <w:szCs w:val="16"/>
          <w:u w:val="single" w:color="auto"/>
          <w:color w:val="00C000"/>
          <w:strike w:val="1"/>
        </w:rPr>
        <w:t>k b</w:t>
      </w:r>
      <w:r>
        <w:rPr>
          <w:rFonts w:ascii="Arial" w:cs="Arial" w:eastAsia="Arial" w:hAnsi="Arial"/>
          <w:sz w:val="16"/>
          <w:szCs w:val="16"/>
          <w:color w:val="00C000"/>
          <w:strike w:val="1"/>
        </w:rPr>
        <w:t>ase</w:t>
      </w:r>
      <w:r>
        <w:rPr>
          <w:rFonts w:ascii="Arial" w:cs="Arial" w:eastAsia="Arial" w:hAnsi="Arial"/>
          <w:sz w:val="16"/>
          <w:szCs w:val="16"/>
          <w:u w:val="single" w:color="auto"/>
          <w:color w:val="00C000"/>
          <w:strike w:val="1"/>
        </w:rPr>
        <w:t>d diff</w:t>
      </w:r>
      <w:r>
        <w:rPr>
          <w:rFonts w:ascii="Arial" w:cs="Arial" w:eastAsia="Arial" w:hAnsi="Arial"/>
          <w:sz w:val="16"/>
          <w:szCs w:val="16"/>
          <w:color w:val="00C000"/>
          <w:strike w:val="1"/>
        </w:rPr>
        <w:t>erences</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b</w:t>
      </w:r>
      <w:r>
        <w:rPr>
          <w:rFonts w:ascii="Arial" w:cs="Arial" w:eastAsia="Arial" w:hAnsi="Arial"/>
          <w:sz w:val="16"/>
          <w:szCs w:val="16"/>
          <w:color w:val="00C000"/>
          <w:strike w:val="1"/>
        </w:rPr>
        <w:t>e</w:t>
      </w:r>
      <w:r>
        <w:rPr>
          <w:rFonts w:ascii="Arial" w:cs="Arial" w:eastAsia="Arial" w:hAnsi="Arial"/>
          <w:sz w:val="16"/>
          <w:szCs w:val="16"/>
          <w:u w:val="single" w:color="auto"/>
          <w:color w:val="00C000"/>
          <w:strike w:val="1"/>
        </w:rPr>
        <w:t>t</w:t>
      </w:r>
      <w:r>
        <w:rPr>
          <w:rFonts w:ascii="Arial" w:cs="Arial" w:eastAsia="Arial" w:hAnsi="Arial"/>
          <w:sz w:val="16"/>
          <w:szCs w:val="16"/>
          <w:color w:val="00C000"/>
          <w:strike w:val="1"/>
        </w:rPr>
        <w:t>ween</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Adj</w:t>
      </w:r>
      <w:r>
        <w:rPr>
          <w:rFonts w:ascii="Arial" w:cs="Arial" w:eastAsia="Arial" w:hAnsi="Arial"/>
          <w:sz w:val="16"/>
          <w:szCs w:val="16"/>
          <w:color w:val="00C000"/>
          <w:strike w:val="1"/>
        </w:rPr>
        <w:t>us</w:t>
      </w:r>
      <w:r>
        <w:rPr>
          <w:rFonts w:ascii="Arial" w:cs="Arial" w:eastAsia="Arial" w:hAnsi="Arial"/>
          <w:sz w:val="16"/>
          <w:szCs w:val="16"/>
          <w:u w:val="single" w:color="auto"/>
          <w:color w:val="00C000"/>
          <w:strike w:val="1"/>
        </w:rPr>
        <w:t>t</w:t>
      </w:r>
      <w:r>
        <w:rPr>
          <w:rFonts w:ascii="Arial" w:cs="Arial" w:eastAsia="Arial" w:hAnsi="Arial"/>
          <w:sz w:val="16"/>
          <w:szCs w:val="16"/>
          <w:color w:val="00C000"/>
          <w:strike w:val="1"/>
        </w:rPr>
        <w:t>e</w:t>
      </w:r>
      <w:r>
        <w:rPr>
          <w:rFonts w:ascii="Arial" w:cs="Arial" w:eastAsia="Arial" w:hAnsi="Arial"/>
          <w:sz w:val="16"/>
          <w:szCs w:val="16"/>
          <w:u w:val="single" w:color="auto"/>
          <w:color w:val="00C000"/>
          <w:strike w:val="1"/>
        </w:rPr>
        <w:t>d LIBOR</w:t>
      </w:r>
      <w:r>
        <w:rPr>
          <w:rFonts w:ascii="Arial" w:cs="Arial" w:eastAsia="Arial" w:hAnsi="Arial"/>
          <w:sz w:val="16"/>
          <w:szCs w:val="16"/>
          <w:color w:val="FF0000"/>
          <w:strike w:val="1"/>
        </w:rPr>
        <w:t xml:space="preserve"> </w:t>
      </w:r>
      <w:r>
        <w:rPr>
          <w:rFonts w:ascii="Arial" w:cs="Arial" w:eastAsia="Arial" w:hAnsi="Arial"/>
          <w:sz w:val="16"/>
          <w:szCs w:val="16"/>
          <w:color w:val="00C000"/>
          <w:strike w:val="1"/>
        </w:rPr>
        <w:t>or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C000"/>
          <w:strike w:val="1"/>
        </w:rPr>
        <w:t>LMIR</w:t>
      </w:r>
      <w:r>
        <w:rPr>
          <w:rFonts w:ascii="Arial" w:cs="Arial" w:eastAsia="Arial" w:hAnsi="Arial"/>
          <w:sz w:val="16"/>
          <w:szCs w:val="16"/>
          <w:color w:val="00C000"/>
          <w:strike w:val="1"/>
        </w:rPr>
        <w:t>,</w:t>
      </w:r>
      <w:r>
        <w:rPr>
          <w:rFonts w:ascii="Arial" w:cs="Arial" w:eastAsia="Arial" w:hAnsi="Arial"/>
          <w:sz w:val="16"/>
          <w:szCs w:val="16"/>
          <w:color w:val="FF0000"/>
          <w:strike w:val="1"/>
        </w:rPr>
        <w:t xml:space="preserve"> as a</w:t>
      </w:r>
      <w:r>
        <w:rPr>
          <w:rFonts w:ascii="Arial" w:cs="Arial" w:eastAsia="Arial" w:hAnsi="Arial"/>
          <w:sz w:val="16"/>
          <w:szCs w:val="16"/>
          <w:u w:val="single" w:color="auto"/>
          <w:color w:val="FF0000"/>
          <w:strike w:val="1"/>
        </w:rPr>
        <w:t>ppli</w:t>
      </w:r>
      <w:r>
        <w:rPr>
          <w:rFonts w:ascii="Arial" w:cs="Arial" w:eastAsia="Arial" w:hAnsi="Arial"/>
          <w:sz w:val="16"/>
          <w:szCs w:val="16"/>
          <w:color w:val="FF0000"/>
          <w:strike w:val="1"/>
        </w:rPr>
        <w:t>ca</w:t>
      </w:r>
      <w:r>
        <w:rPr>
          <w:rFonts w:ascii="Arial" w:cs="Arial" w:eastAsia="Arial" w:hAnsi="Arial"/>
          <w:sz w:val="16"/>
          <w:szCs w:val="16"/>
          <w:u w:val="single" w:color="auto"/>
          <w:color w:val="FF0000"/>
          <w:strike w:val="1"/>
        </w:rPr>
        <w:t>bl</w:t>
      </w:r>
      <w:r>
        <w:rPr>
          <w:rFonts w:ascii="Arial" w:cs="Arial" w:eastAsia="Arial" w:hAnsi="Arial"/>
          <w:sz w:val="16"/>
          <w:szCs w:val="16"/>
          <w:color w:val="FF0000"/>
          <w:strike w:val="1"/>
        </w:rPr>
        <w:t>e, an</w:t>
      </w:r>
      <w:r>
        <w:rPr>
          <w:rFonts w:ascii="Arial" w:cs="Arial" w:eastAsia="Arial" w:hAnsi="Arial"/>
          <w:sz w:val="16"/>
          <w:szCs w:val="16"/>
          <w:u w:val="single" w:color="auto"/>
          <w:color w:val="FF0000"/>
          <w:strike w:val="1"/>
        </w:rPr>
        <w:t>d th</w:t>
      </w:r>
      <w:r>
        <w:rPr>
          <w:rFonts w:ascii="Arial" w:cs="Arial" w:eastAsia="Arial" w:hAnsi="Arial"/>
          <w:sz w:val="16"/>
          <w:szCs w:val="16"/>
          <w:color w:val="FF0000"/>
          <w:strike w:val="1"/>
        </w:rPr>
        <w:t>e re</w:t>
      </w:r>
      <w:r>
        <w:rPr>
          <w:rFonts w:ascii="Arial" w:cs="Arial" w:eastAsia="Arial" w:hAnsi="Arial"/>
          <w:sz w:val="16"/>
          <w:szCs w:val="16"/>
          <w:u w:val="single" w:color="auto"/>
          <w:color w:val="FF0000"/>
          <w:strike w:val="1"/>
        </w:rPr>
        <w:t>pl</w:t>
      </w:r>
      <w:r>
        <w:rPr>
          <w:rFonts w:ascii="Arial" w:cs="Arial" w:eastAsia="Arial" w:hAnsi="Arial"/>
          <w:sz w:val="16"/>
          <w:szCs w:val="16"/>
          <w:color w:val="FF0000"/>
          <w:strike w:val="1"/>
        </w:rPr>
        <w:t>acemen</w:t>
      </w:r>
      <w:r>
        <w:rPr>
          <w:rFonts w:ascii="Arial" w:cs="Arial" w:eastAsia="Arial" w:hAnsi="Arial"/>
          <w:sz w:val="16"/>
          <w:szCs w:val="16"/>
          <w:u w:val="single" w:color="auto"/>
          <w:color w:val="FF0000"/>
          <w:strike w:val="1"/>
        </w:rPr>
        <w:t>t i</w:t>
      </w:r>
      <w:r>
        <w:rPr>
          <w:rFonts w:ascii="Arial" w:cs="Arial" w:eastAsia="Arial" w:hAnsi="Arial"/>
          <w:sz w:val="16"/>
          <w:szCs w:val="16"/>
          <w:color w:val="FF0000"/>
          <w:strike w:val="1"/>
        </w:rPr>
        <w:t>n</w:t>
      </w:r>
      <w:r>
        <w:rPr>
          <w:rFonts w:ascii="Arial" w:cs="Arial" w:eastAsia="Arial" w:hAnsi="Arial"/>
          <w:sz w:val="16"/>
          <w:szCs w:val="16"/>
          <w:u w:val="single" w:color="auto"/>
          <w:color w:val="FF0000"/>
          <w:strike w:val="1"/>
        </w:rPr>
        <w:t>d</w:t>
      </w:r>
      <w:r>
        <w:rPr>
          <w:rFonts w:ascii="Arial" w:cs="Arial" w:eastAsia="Arial" w:hAnsi="Arial"/>
          <w:sz w:val="16"/>
          <w:szCs w:val="16"/>
          <w:color w:val="FF0000"/>
          <w:strike w:val="1"/>
        </w:rPr>
        <w: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-169545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1784350</wp:posOffset>
            </wp:positionH>
            <wp:positionV relativeFrom="paragraph">
              <wp:posOffset>-212725</wp:posOffset>
            </wp:positionV>
            <wp:extent cx="534987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5349875" cy="5143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-24130</wp:posOffset>
            </wp:positionV>
            <wp:extent cx="2349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23495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-66675</wp:posOffset>
            </wp:positionV>
            <wp:extent cx="19602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1960245" cy="8890"/>
                    </a:xfrm>
                    <a:prstGeom prst="rect">
                      <a:avLst/>
                    </a:prstGeom>
                    <a:noFill/>
                  </pic:spPr>
                </pic:pic>
              </a:graphicData>
            </a:graphic>
          </wp:anchor>
        </w:drawing>
      </w:r>
    </w:p>
    <w:p>
      <w:pPr>
        <w:ind w:firstLine="8"/>
        <w:spacing w:after="0" w:line="292" w:lineRule="auto"/>
        <w:tabs>
          <w:tab w:leader="none" w:pos="268" w:val="left"/>
        </w:tabs>
        <w:numPr>
          <w:ilvl w:val="0"/>
          <w:numId w:val="62"/>
        </w:numPr>
        <w:rPr>
          <w:rFonts w:ascii="Arial" w:cs="Arial" w:eastAsia="Arial" w:hAnsi="Arial"/>
          <w:sz w:val="18"/>
          <w:szCs w:val="18"/>
          <w:u w:val="single" w:color="auto"/>
          <w:color w:val="FF0000"/>
          <w:strike w:val="1"/>
        </w:rPr>
      </w:pPr>
      <w:r>
        <w:rPr>
          <w:rFonts w:ascii="Arial" w:cs="Arial" w:eastAsia="Arial" w:hAnsi="Arial"/>
          <w:sz w:val="18"/>
          <w:szCs w:val="18"/>
          <w:u w:val="single" w:color="auto"/>
          <w:color w:val="FF0000"/>
          <w:strike w:val="1"/>
        </w:rPr>
        <w:t>U</w:t>
      </w:r>
      <w:r>
        <w:rPr>
          <w:rFonts w:ascii="Arial" w:cs="Arial" w:eastAsia="Arial" w:hAnsi="Arial"/>
          <w:sz w:val="18"/>
          <w:szCs w:val="18"/>
          <w:color w:val="FF0000"/>
          <w:strike w:val="1"/>
        </w:rPr>
        <w:t>ntil an amen</w:t>
      </w:r>
      <w:r>
        <w:rPr>
          <w:rFonts w:ascii="Arial" w:cs="Arial" w:eastAsia="Arial" w:hAnsi="Arial"/>
          <w:sz w:val="18"/>
          <w:szCs w:val="18"/>
          <w:u w:val="single" w:color="auto"/>
          <w:color w:val="FF0000"/>
          <w:strike w:val="1"/>
        </w:rPr>
        <w:t>d</w:t>
      </w:r>
      <w:r>
        <w:rPr>
          <w:rFonts w:ascii="Arial" w:cs="Arial" w:eastAsia="Arial" w:hAnsi="Arial"/>
          <w:sz w:val="18"/>
          <w:szCs w:val="18"/>
          <w:color w:val="FF0000"/>
          <w:strike w:val="1"/>
        </w:rPr>
        <w:t>men</w:t>
      </w:r>
      <w:r>
        <w:rPr>
          <w:rFonts w:ascii="Arial" w:cs="Arial" w:eastAsia="Arial" w:hAnsi="Arial"/>
          <w:sz w:val="18"/>
          <w:szCs w:val="18"/>
          <w:u w:val="single" w:color="auto"/>
          <w:color w:val="FF0000"/>
          <w:strike w:val="1"/>
        </w:rPr>
        <w:t xml:space="preserve">t </w:t>
      </w:r>
      <w:r>
        <w:rPr>
          <w:rFonts w:ascii="Arial" w:cs="Arial" w:eastAsia="Arial" w:hAnsi="Arial"/>
          <w:sz w:val="18"/>
          <w:szCs w:val="18"/>
          <w:color w:val="FF0000"/>
          <w:strike w:val="1"/>
        </w:rPr>
        <w:t>re</w:t>
      </w:r>
      <w:r>
        <w:rPr>
          <w:rFonts w:ascii="Arial" w:cs="Arial" w:eastAsia="Arial" w:hAnsi="Arial"/>
          <w:sz w:val="18"/>
          <w:szCs w:val="18"/>
          <w:u w:val="single" w:color="auto"/>
          <w:color w:val="FF0000"/>
          <w:strike w:val="1"/>
        </w:rPr>
        <w:t>fl</w:t>
      </w:r>
      <w:r>
        <w:rPr>
          <w:rFonts w:ascii="Arial" w:cs="Arial" w:eastAsia="Arial" w:hAnsi="Arial"/>
          <w:sz w:val="18"/>
          <w:szCs w:val="18"/>
          <w:color w:val="FF0000"/>
          <w:strike w:val="1"/>
        </w:rPr>
        <w:t>ec</w:t>
      </w:r>
      <w:r>
        <w:rPr>
          <w:rFonts w:ascii="Arial" w:cs="Arial" w:eastAsia="Arial" w:hAnsi="Arial"/>
          <w:sz w:val="18"/>
          <w:szCs w:val="18"/>
          <w:u w:val="single" w:color="auto"/>
          <w:color w:val="FF0000"/>
          <w:strike w:val="1"/>
        </w:rPr>
        <w:t>ti</w:t>
      </w:r>
      <w:r>
        <w:rPr>
          <w:rFonts w:ascii="Arial" w:cs="Arial" w:eastAsia="Arial" w:hAnsi="Arial"/>
          <w:sz w:val="18"/>
          <w:szCs w:val="18"/>
          <w:color w:val="FF0000"/>
          <w:strike w:val="1"/>
        </w:rPr>
        <w:t>n</w:t>
      </w:r>
      <w:r>
        <w:rPr>
          <w:rFonts w:ascii="Arial" w:cs="Arial" w:eastAsia="Arial" w:hAnsi="Arial"/>
          <w:sz w:val="18"/>
          <w:szCs w:val="18"/>
          <w:u w:val="single" w:color="auto"/>
          <w:color w:val="FF0000"/>
          <w:strike w:val="1"/>
        </w:rPr>
        <w:t xml:space="preserve">g </w:t>
      </w:r>
      <w:r>
        <w:rPr>
          <w:rFonts w:ascii="Arial" w:cs="Arial" w:eastAsia="Arial" w:hAnsi="Arial"/>
          <w:sz w:val="18"/>
          <w:szCs w:val="18"/>
          <w:color w:val="FF0000"/>
          <w:strike w:val="1"/>
        </w:rPr>
        <w:t>a new re</w:t>
      </w:r>
      <w:r>
        <w:rPr>
          <w:rFonts w:ascii="Arial" w:cs="Arial" w:eastAsia="Arial" w:hAnsi="Arial"/>
          <w:sz w:val="18"/>
          <w:szCs w:val="18"/>
          <w:u w:val="single" w:color="auto"/>
          <w:color w:val="FF0000"/>
          <w:strike w:val="1"/>
        </w:rPr>
        <w:t>pl</w:t>
      </w:r>
      <w:r>
        <w:rPr>
          <w:rFonts w:ascii="Arial" w:cs="Arial" w:eastAsia="Arial" w:hAnsi="Arial"/>
          <w:sz w:val="18"/>
          <w:szCs w:val="18"/>
          <w:color w:val="FF0000"/>
          <w:strike w:val="1"/>
        </w:rPr>
        <w:t>acemen</w:t>
      </w:r>
      <w:r>
        <w:rPr>
          <w:rFonts w:ascii="Arial" w:cs="Arial" w:eastAsia="Arial" w:hAnsi="Arial"/>
          <w:sz w:val="18"/>
          <w:szCs w:val="18"/>
          <w:u w:val="single" w:color="auto"/>
          <w:color w:val="FF0000"/>
          <w:strike w:val="1"/>
        </w:rPr>
        <w:t>t i</w:t>
      </w:r>
      <w:r>
        <w:rPr>
          <w:rFonts w:ascii="Arial" w:cs="Arial" w:eastAsia="Arial" w:hAnsi="Arial"/>
          <w:sz w:val="18"/>
          <w:szCs w:val="18"/>
          <w:color w:val="FF0000"/>
          <w:strike w:val="1"/>
        </w:rPr>
        <w:t>n</w:t>
      </w:r>
      <w:r>
        <w:rPr>
          <w:rFonts w:ascii="Arial" w:cs="Arial" w:eastAsia="Arial" w:hAnsi="Arial"/>
          <w:sz w:val="18"/>
          <w:szCs w:val="18"/>
          <w:u w:val="single" w:color="auto"/>
          <w:color w:val="FF0000"/>
          <w:strike w:val="1"/>
        </w:rPr>
        <w:t>d</w:t>
      </w:r>
      <w:r>
        <w:rPr>
          <w:rFonts w:ascii="Arial" w:cs="Arial" w:eastAsia="Arial" w:hAnsi="Arial"/>
          <w:sz w:val="18"/>
          <w:szCs w:val="18"/>
          <w:color w:val="FF0000"/>
          <w:strike w:val="1"/>
        </w:rPr>
        <w:t>ex in accor</w:t>
      </w:r>
      <w:r>
        <w:rPr>
          <w:rFonts w:ascii="Arial" w:cs="Arial" w:eastAsia="Arial" w:hAnsi="Arial"/>
          <w:sz w:val="18"/>
          <w:szCs w:val="18"/>
          <w:u w:val="single" w:color="auto"/>
          <w:color w:val="FF0000"/>
          <w:strike w:val="1"/>
        </w:rPr>
        <w:t>d</w:t>
      </w:r>
      <w:r>
        <w:rPr>
          <w:rFonts w:ascii="Arial" w:cs="Arial" w:eastAsia="Arial" w:hAnsi="Arial"/>
          <w:sz w:val="18"/>
          <w:szCs w:val="18"/>
          <w:color w:val="FF0000"/>
          <w:strike w:val="1"/>
        </w:rPr>
        <w:t>ance w</w:t>
      </w:r>
      <w:r>
        <w:rPr>
          <w:rFonts w:ascii="Arial" w:cs="Arial" w:eastAsia="Arial" w:hAnsi="Arial"/>
          <w:sz w:val="18"/>
          <w:szCs w:val="18"/>
          <w:u w:val="single" w:color="auto"/>
          <w:color w:val="FF0000"/>
          <w:strike w:val="1"/>
        </w:rPr>
        <w:t>ith thi</w:t>
      </w:r>
      <w:r>
        <w:rPr>
          <w:rFonts w:ascii="Arial" w:cs="Arial" w:eastAsia="Arial" w:hAnsi="Arial"/>
          <w:sz w:val="18"/>
          <w:szCs w:val="18"/>
          <w:color w:val="FF0000"/>
          <w:strike w:val="1"/>
        </w:rPr>
        <w:t>s</w:t>
      </w:r>
      <w:r>
        <w:rPr>
          <w:rFonts w:ascii="Arial" w:cs="Arial" w:eastAsia="Arial" w:hAnsi="Arial"/>
          <w:sz w:val="18"/>
          <w:szCs w:val="18"/>
          <w:u w:val="single" w:color="auto"/>
          <w:color w:val="FF0000"/>
          <w:strike w:val="1"/>
        </w:rPr>
        <w:t xml:space="preserve"> Section 5.06 i</w:t>
      </w:r>
      <w:r>
        <w:rPr>
          <w:rFonts w:ascii="Arial" w:cs="Arial" w:eastAsia="Arial" w:hAnsi="Arial"/>
          <w:sz w:val="18"/>
          <w:szCs w:val="18"/>
          <w:color w:val="FF0000"/>
          <w:strike w:val="1"/>
        </w:rPr>
        <w:t>s e</w:t>
      </w:r>
      <w:r>
        <w:rPr>
          <w:rFonts w:ascii="Arial" w:cs="Arial" w:eastAsia="Arial" w:hAnsi="Arial"/>
          <w:sz w:val="18"/>
          <w:szCs w:val="18"/>
          <w:u w:val="single" w:color="auto"/>
          <w:color w:val="FF0000"/>
          <w:strike w:val="1"/>
        </w:rPr>
        <w:t>ff</w:t>
      </w:r>
      <w:r>
        <w:rPr>
          <w:rFonts w:ascii="Arial" w:cs="Arial" w:eastAsia="Arial" w:hAnsi="Arial"/>
          <w:sz w:val="18"/>
          <w:szCs w:val="18"/>
          <w:color w:val="FF0000"/>
          <w:strike w:val="1"/>
        </w:rPr>
        <w:t>ec</w:t>
      </w:r>
      <w:r>
        <w:rPr>
          <w:rFonts w:ascii="Arial" w:cs="Arial" w:eastAsia="Arial" w:hAnsi="Arial"/>
          <w:sz w:val="18"/>
          <w:szCs w:val="18"/>
          <w:u w:val="single" w:color="auto"/>
          <w:color w:val="FF0000"/>
          <w:strike w:val="1"/>
        </w:rPr>
        <w:t>ti</w:t>
      </w:r>
      <w:r>
        <w:rPr>
          <w:rFonts w:ascii="Arial" w:cs="Arial" w:eastAsia="Arial" w:hAnsi="Arial"/>
          <w:sz w:val="18"/>
          <w:szCs w:val="18"/>
          <w:color w:val="FF0000"/>
          <w:strike w:val="1"/>
        </w:rPr>
        <w:t>ve, eac</w:t>
      </w:r>
      <w:r>
        <w:rPr>
          <w:rFonts w:ascii="Arial" w:cs="Arial" w:eastAsia="Arial" w:hAnsi="Arial"/>
          <w:sz w:val="18"/>
          <w:szCs w:val="18"/>
          <w:u w:val="single" w:color="auto"/>
          <w:color w:val="FF0000"/>
          <w:strike w:val="1"/>
        </w:rPr>
        <w:t>h P</w:t>
      </w:r>
      <w:r>
        <w:rPr>
          <w:rFonts w:ascii="Arial" w:cs="Arial" w:eastAsia="Arial" w:hAnsi="Arial"/>
          <w:sz w:val="18"/>
          <w:szCs w:val="18"/>
          <w:color w:val="FF0000"/>
          <w:strike w:val="1"/>
        </w:rPr>
        <w:t>or</w:t>
      </w:r>
      <w:r>
        <w:rPr>
          <w:rFonts w:ascii="Arial" w:cs="Arial" w:eastAsia="Arial" w:hAnsi="Arial"/>
          <w:sz w:val="18"/>
          <w:szCs w:val="18"/>
          <w:u w:val="single" w:color="auto"/>
          <w:color w:val="FF0000"/>
          <w:strike w:val="1"/>
        </w:rPr>
        <w:t>ti</w:t>
      </w:r>
      <w:r>
        <w:rPr>
          <w:rFonts w:ascii="Arial" w:cs="Arial" w:eastAsia="Arial" w:hAnsi="Arial"/>
          <w:sz w:val="18"/>
          <w:szCs w:val="18"/>
          <w:color w:val="FF0000"/>
          <w:strike w:val="1"/>
        </w:rPr>
        <w:t>on o</w:t>
      </w:r>
      <w:r>
        <w:rPr>
          <w:rFonts w:ascii="Arial" w:cs="Arial" w:eastAsia="Arial" w:hAnsi="Arial"/>
          <w:sz w:val="18"/>
          <w:szCs w:val="18"/>
          <w:u w:val="single" w:color="auto"/>
          <w:color w:val="FF0000"/>
          <w:strike w:val="1"/>
        </w:rPr>
        <w:t>f C</w:t>
      </w:r>
      <w:r>
        <w:rPr>
          <w:rFonts w:ascii="Arial" w:cs="Arial" w:eastAsia="Arial" w:hAnsi="Arial"/>
          <w:sz w:val="18"/>
          <w:szCs w:val="18"/>
          <w:color w:val="FF0000"/>
          <w:strike w:val="1"/>
        </w:rPr>
        <w:t>a</w:t>
      </w:r>
      <w:r>
        <w:rPr>
          <w:rFonts w:ascii="Arial" w:cs="Arial" w:eastAsia="Arial" w:hAnsi="Arial"/>
          <w:sz w:val="18"/>
          <w:szCs w:val="18"/>
          <w:u w:val="single" w:color="auto"/>
          <w:color w:val="FF0000"/>
          <w:strike w:val="1"/>
        </w:rPr>
        <w:t>pit</w:t>
      </w:r>
      <w:r>
        <w:rPr>
          <w:rFonts w:ascii="Arial" w:cs="Arial" w:eastAsia="Arial" w:hAnsi="Arial"/>
          <w:sz w:val="18"/>
          <w:szCs w:val="18"/>
          <w:color w:val="FF0000"/>
          <w:strike w:val="1"/>
        </w:rPr>
        <w:t>a</w:t>
      </w:r>
      <w:r>
        <w:rPr>
          <w:rFonts w:ascii="Arial" w:cs="Arial" w:eastAsia="Arial" w:hAnsi="Arial"/>
          <w:sz w:val="18"/>
          <w:szCs w:val="18"/>
          <w:u w:val="single" w:color="auto"/>
          <w:color w:val="FF0000"/>
          <w:strike w:val="1"/>
        </w:rPr>
        <w:t xml:space="preserve">l </w:t>
      </w:r>
      <w:r>
        <w:rPr>
          <w:rFonts w:ascii="Arial" w:cs="Arial" w:eastAsia="Arial" w:hAnsi="Arial"/>
          <w:sz w:val="18"/>
          <w:szCs w:val="18"/>
          <w:color w:val="FF0000"/>
          <w:strike w:val="1"/>
        </w:rPr>
        <w:t>accru</w:t>
      </w:r>
      <w:r>
        <w:rPr>
          <w:rFonts w:ascii="Arial" w:cs="Arial" w:eastAsia="Arial" w:hAnsi="Arial"/>
          <w:sz w:val="18"/>
          <w:szCs w:val="18"/>
          <w:u w:val="single" w:color="auto"/>
          <w:color w:val="FF0000"/>
          <w:strike w:val="1"/>
        </w:rPr>
        <w:t>i</w:t>
      </w:r>
      <w:r>
        <w:rPr>
          <w:rFonts w:ascii="Arial" w:cs="Arial" w:eastAsia="Arial" w:hAnsi="Arial"/>
          <w:sz w:val="18"/>
          <w:szCs w:val="18"/>
          <w:color w:val="FF0000"/>
          <w:strike w:val="1"/>
        </w:rPr>
        <w:t>n</w:t>
      </w:r>
      <w:r>
        <w:rPr>
          <w:rFonts w:ascii="Arial" w:cs="Arial" w:eastAsia="Arial" w:hAnsi="Arial"/>
          <w:sz w:val="18"/>
          <w:szCs w:val="18"/>
          <w:u w:val="single" w:color="auto"/>
          <w:color w:val="FF0000"/>
          <w:strike w:val="1"/>
        </w:rPr>
        <w:t>g I</w:t>
      </w:r>
      <w:r>
        <w:rPr>
          <w:rFonts w:ascii="Arial" w:cs="Arial" w:eastAsia="Arial" w:hAnsi="Arial"/>
          <w:sz w:val="18"/>
          <w:szCs w:val="18"/>
          <w:color w:val="FF0000"/>
          <w:strike w:val="1"/>
        </w:rPr>
        <w:t>n</w:t>
      </w:r>
      <w:r>
        <w:rPr>
          <w:rFonts w:ascii="Arial" w:cs="Arial" w:eastAsia="Arial" w:hAnsi="Arial"/>
          <w:sz w:val="18"/>
          <w:szCs w:val="18"/>
          <w:u w:val="single" w:color="auto"/>
          <w:color w:val="FF0000"/>
          <w:strike w:val="1"/>
        </w:rPr>
        <w:t>t</w:t>
      </w:r>
      <w:r>
        <w:rPr>
          <w:rFonts w:ascii="Arial" w:cs="Arial" w:eastAsia="Arial" w:hAnsi="Arial"/>
          <w:sz w:val="18"/>
          <w:szCs w:val="18"/>
          <w:color w:val="FF0000"/>
          <w:strike w:val="1"/>
        </w:rPr>
        <w:t>eres</w:t>
      </w:r>
      <w:r>
        <w:rPr>
          <w:rFonts w:ascii="Arial" w:cs="Arial" w:eastAsia="Arial" w:hAnsi="Arial"/>
          <w:sz w:val="18"/>
          <w:szCs w:val="18"/>
          <w:u w:val="single" w:color="auto"/>
          <w:color w:val="FF0000"/>
          <w:strike w:val="1"/>
        </w:rPr>
        <w:t xml:space="preserve">t </w:t>
      </w:r>
      <w:r>
        <w:rPr>
          <w:rFonts w:ascii="Arial" w:cs="Arial" w:eastAsia="Arial" w:hAnsi="Arial"/>
          <w:sz w:val="18"/>
          <w:szCs w:val="18"/>
          <w:color w:val="FF0000"/>
          <w:strike w:val="1"/>
        </w:rPr>
        <w:t>w</w:t>
      </w:r>
      <w:r>
        <w:rPr>
          <w:rFonts w:ascii="Arial" w:cs="Arial" w:eastAsia="Arial" w:hAnsi="Arial"/>
          <w:sz w:val="18"/>
          <w:szCs w:val="18"/>
          <w:u w:val="single" w:color="auto"/>
          <w:color w:val="FF0000"/>
          <w:strike w:val="1"/>
        </w:rPr>
        <w:t>ith</w:t>
      </w:r>
      <w:r>
        <w:rPr>
          <w:rFonts w:ascii="Arial" w:cs="Arial" w:eastAsia="Arial" w:hAnsi="Arial"/>
          <w:sz w:val="18"/>
          <w:szCs w:val="18"/>
          <w:u w:val="single" w:color="auto"/>
          <w:color w:val="0000FF"/>
          <w:strike w:val="1"/>
        </w:rPr>
        <w:t>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-199390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-199390</wp:posOffset>
            </wp:positionV>
            <wp:extent cx="368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p>
      <w:pPr>
        <w:jc w:val="both"/>
        <w:ind w:firstLine="864"/>
        <w:spacing w:after="0" w:line="301" w:lineRule="auto"/>
        <w:rPr>
          <w:sz w:val="20"/>
          <w:szCs w:val="20"/>
          <w:color w:val="auto"/>
        </w:rPr>
      </w:pPr>
      <w:r>
        <w:rPr>
          <w:rFonts w:ascii="Arial" w:cs="Arial" w:eastAsia="Arial" w:hAnsi="Arial"/>
          <w:sz w:val="16"/>
          <w:szCs w:val="16"/>
          <w:u w:val="single" w:color="auto"/>
          <w:color w:val="0000FF"/>
        </w:rPr>
        <w:t>the Benchmark Replacement is effective, each advance, conversion and renewal of a Loan bearing interest by</w:t>
      </w:r>
      <w:r>
        <w:rPr>
          <w:rFonts w:ascii="Arial" w:cs="Arial" w:eastAsia="Arial" w:hAnsi="Arial"/>
          <w:sz w:val="16"/>
          <w:szCs w:val="16"/>
          <w:color w:val="0000FF"/>
        </w:rPr>
        <w:t xml:space="preserve"> </w:t>
      </w:r>
      <w:r>
        <w:rPr>
          <w:rFonts w:ascii="Arial" w:cs="Arial" w:eastAsia="Arial" w:hAnsi="Arial"/>
          <w:sz w:val="16"/>
          <w:szCs w:val="16"/>
          <w:color w:val="000000"/>
        </w:rPr>
        <w:t>reference to Adjusted LIBOR or</w:t>
      </w:r>
      <w:r>
        <w:rPr>
          <w:rFonts w:ascii="Arial" w:cs="Arial" w:eastAsia="Arial" w:hAnsi="Arial"/>
          <w:sz w:val="16"/>
          <w:szCs w:val="16"/>
          <w:color w:val="0000FF"/>
        </w:rPr>
        <w:t xml:space="preserve"> </w:t>
      </w:r>
      <w:r>
        <w:rPr>
          <w:rFonts w:ascii="Arial" w:cs="Arial" w:eastAsia="Arial" w:hAnsi="Arial"/>
          <w:sz w:val="16"/>
          <w:szCs w:val="16"/>
          <w:color w:val="000000"/>
        </w:rPr>
        <w:t xml:space="preserve">LMIR will continue to bear interest with reference to Adjusted LIBOR or LMIR, (as </w:t>
      </w:r>
      <w:r>
        <w:rPr>
          <w:rFonts w:ascii="Arial" w:cs="Arial" w:eastAsia="Arial" w:hAnsi="Arial"/>
          <w:sz w:val="16"/>
          <w:szCs w:val="16"/>
          <w:color w:val="FF0000"/>
          <w:strike w:val="1"/>
        </w:rPr>
        <w:t>a</w:t>
      </w:r>
      <w:r>
        <w:rPr>
          <w:rFonts w:ascii="Arial" w:cs="Arial" w:eastAsia="Arial" w:hAnsi="Arial"/>
          <w:sz w:val="16"/>
          <w:szCs w:val="16"/>
          <w:u w:val="single" w:color="auto"/>
          <w:color w:val="FF0000"/>
          <w:strike w:val="1"/>
        </w:rPr>
        <w:t>ppli</w:t>
      </w:r>
      <w:r>
        <w:rPr>
          <w:rFonts w:ascii="Arial" w:cs="Arial" w:eastAsia="Arial" w:hAnsi="Arial"/>
          <w:sz w:val="16"/>
          <w:szCs w:val="16"/>
          <w:color w:val="FF0000"/>
          <w:strike w:val="1"/>
        </w:rPr>
        <w:t>ca</w:t>
      </w:r>
      <w:r>
        <w:rPr>
          <w:rFonts w:ascii="Arial" w:cs="Arial" w:eastAsia="Arial" w:hAnsi="Arial"/>
          <w:sz w:val="16"/>
          <w:szCs w:val="16"/>
          <w:u w:val="single" w:color="auto"/>
          <w:color w:val="FF0000"/>
          <w:strike w:val="1"/>
        </w:rPr>
        <w:t>bl</w:t>
      </w:r>
      <w:r>
        <w:rPr>
          <w:rFonts w:ascii="Arial" w:cs="Arial" w:eastAsia="Arial" w:hAnsi="Arial"/>
          <w:sz w:val="16"/>
          <w:szCs w:val="16"/>
          <w:color w:val="FF0000"/>
          <w:strike w:val="1"/>
        </w:rPr>
        <w:t>e</w:t>
      </w:r>
      <w:r>
        <w:rPr>
          <w:rFonts w:ascii="Arial" w:cs="Arial" w:eastAsia="Arial" w:hAnsi="Arial"/>
          <w:sz w:val="16"/>
          <w:szCs w:val="16"/>
          <w:u w:val="single" w:color="auto"/>
          <w:color w:val="FF0000"/>
          <w:strike w:val="1"/>
        </w:rPr>
        <w:t>; provided however</w:t>
      </w:r>
      <w:r>
        <w:rPr>
          <w:rFonts w:ascii="Arial" w:cs="Arial" w:eastAsia="Arial" w:hAnsi="Arial"/>
          <w:sz w:val="16"/>
          <w:szCs w:val="16"/>
          <w:color w:val="FF0000"/>
          <w:strike w:val="1"/>
        </w:rPr>
        <w:t>, tha</w:t>
      </w:r>
      <w:r>
        <w:rPr>
          <w:rFonts w:ascii="Arial" w:cs="Arial" w:eastAsia="Arial" w:hAnsi="Arial"/>
          <w:sz w:val="16"/>
          <w:szCs w:val="16"/>
          <w:u w:val="single" w:color="auto"/>
          <w:color w:val="FF0000"/>
          <w:strike w:val="1"/>
        </w:rPr>
        <w:t>t</w:t>
      </w:r>
      <w:r>
        <w:rPr>
          <w:rFonts w:ascii="Arial" w:cs="Arial" w:eastAsia="Arial" w:hAnsi="Arial"/>
          <w:sz w:val="16"/>
          <w:szCs w:val="16"/>
          <w:color w:val="000000"/>
        </w:rPr>
        <w:t xml:space="preserve"> </w:t>
      </w:r>
      <w:r>
        <w:rPr>
          <w:rFonts w:ascii="Arial" w:cs="Arial" w:eastAsia="Arial" w:hAnsi="Arial"/>
          <w:sz w:val="16"/>
          <w:szCs w:val="16"/>
          <w:color w:val="00C000"/>
        </w:rPr>
        <w:t>if the</w:t>
      </w:r>
      <w:r>
        <w:rPr>
          <w:rFonts w:ascii="Arial" w:cs="Arial" w:eastAsia="Arial" w:hAnsi="Arial"/>
          <w:sz w:val="16"/>
          <w:szCs w:val="16"/>
          <w:color w:val="000000"/>
        </w:rPr>
        <w:t xml:space="preserve"> </w:t>
      </w:r>
      <w:r>
        <w:rPr>
          <w:rFonts w:ascii="Arial" w:cs="Arial" w:eastAsia="Arial" w:hAnsi="Arial"/>
          <w:sz w:val="16"/>
          <w:szCs w:val="16"/>
          <w:u w:val="single" w:color="auto"/>
          <w:color w:val="00C000"/>
        </w:rPr>
        <w:t>Ad</w:t>
      </w:r>
      <w:r>
        <w:rPr>
          <w:rFonts w:ascii="Arial" w:cs="Arial" w:eastAsia="Arial" w:hAnsi="Arial"/>
          <w:sz w:val="16"/>
          <w:szCs w:val="16"/>
          <w:color w:val="00C000"/>
        </w:rPr>
        <w:t>minis</w:t>
      </w:r>
      <w:r>
        <w:rPr>
          <w:rFonts w:ascii="Arial" w:cs="Arial" w:eastAsia="Arial" w:hAnsi="Arial"/>
          <w:sz w:val="16"/>
          <w:szCs w:val="16"/>
          <w:u w:val="single" w:color="auto"/>
          <w:color w:val="00C000"/>
        </w:rPr>
        <w:t>t</w:t>
      </w:r>
      <w:r>
        <w:rPr>
          <w:rFonts w:ascii="Arial" w:cs="Arial" w:eastAsia="Arial" w:hAnsi="Arial"/>
          <w:sz w:val="16"/>
          <w:szCs w:val="16"/>
          <w:color w:val="00C000"/>
        </w:rPr>
        <w:t>ra</w:t>
      </w:r>
      <w:r>
        <w:rPr>
          <w:rFonts w:ascii="Arial" w:cs="Arial" w:eastAsia="Arial" w:hAnsi="Arial"/>
          <w:sz w:val="16"/>
          <w:szCs w:val="16"/>
          <w:u w:val="single" w:color="auto"/>
          <w:color w:val="00C000"/>
        </w:rPr>
        <w:t>ti</w:t>
      </w:r>
      <w:r>
        <w:rPr>
          <w:rFonts w:ascii="Arial" w:cs="Arial" w:eastAsia="Arial" w:hAnsi="Arial"/>
          <w:sz w:val="16"/>
          <w:szCs w:val="16"/>
          <w:color w:val="00C000"/>
        </w:rPr>
        <w:t>ve Agen</w:t>
      </w:r>
      <w:r>
        <w:rPr>
          <w:rFonts w:ascii="Arial" w:cs="Arial" w:eastAsia="Arial" w:hAnsi="Arial"/>
          <w:sz w:val="16"/>
          <w:szCs w:val="16"/>
          <w:u w:val="single" w:color="auto"/>
          <w:color w:val="00C000"/>
        </w:rPr>
        <w:t>t</w:t>
      </w:r>
      <w:r>
        <w:rPr>
          <w:rFonts w:ascii="Arial" w:cs="Arial" w:eastAsia="Arial" w:hAnsi="Arial"/>
          <w:sz w:val="16"/>
          <w:szCs w:val="16"/>
          <w:color w:val="000000"/>
        </w:rPr>
        <w:t xml:space="preserve"> </w:t>
      </w:r>
      <w:r>
        <w:rPr>
          <w:rFonts w:ascii="Arial" w:cs="Arial" w:eastAsia="Arial" w:hAnsi="Arial"/>
          <w:sz w:val="16"/>
          <w:szCs w:val="16"/>
          <w:u w:val="single" w:color="auto"/>
          <w:color w:val="00C000"/>
        </w:rPr>
        <w:t>d</w:t>
      </w:r>
      <w:r>
        <w:rPr>
          <w:rFonts w:ascii="Arial" w:cs="Arial" w:eastAsia="Arial" w:hAnsi="Arial"/>
          <w:sz w:val="16"/>
          <w:szCs w:val="16"/>
          <w:color w:val="00C000"/>
          <w:strike w:val="1"/>
        </w:rPr>
        <w:t>e</w:t>
      </w:r>
      <w:r>
        <w:rPr>
          <w:rFonts w:ascii="Arial" w:cs="Arial" w:eastAsia="Arial" w:hAnsi="Arial"/>
          <w:sz w:val="16"/>
          <w:szCs w:val="16"/>
          <w:u w:val="single" w:color="auto"/>
          <w:color w:val="00C000"/>
          <w:strike w:val="1"/>
        </w:rPr>
        <w:t>t</w:t>
      </w:r>
      <w:r>
        <w:rPr>
          <w:rFonts w:ascii="Arial" w:cs="Arial" w:eastAsia="Arial" w:hAnsi="Arial"/>
          <w:sz w:val="16"/>
          <w:szCs w:val="16"/>
          <w:color w:val="00C000"/>
          <w:strike w:val="1"/>
        </w:rPr>
        <w:t>ermines</w:t>
      </w:r>
      <w:r>
        <w:rPr>
          <w:rFonts w:ascii="Arial" w:cs="Arial" w:eastAsia="Arial" w:hAnsi="Arial"/>
          <w:sz w:val="16"/>
          <w:szCs w:val="16"/>
          <w:u w:val="single" w:color="auto"/>
          <w:color w:val="00C000"/>
        </w:rPr>
        <w:t xml:space="preserve"> </w:t>
      </w:r>
      <w:r>
        <w:rPr>
          <w:rFonts w:ascii="Arial" w:cs="Arial" w:eastAsia="Arial" w:hAnsi="Arial"/>
          <w:sz w:val="16"/>
          <w:szCs w:val="16"/>
          <w:u w:val="single" w:color="auto"/>
          <w:color w:val="FF0000"/>
        </w:rPr>
        <w:t>(</w:t>
      </w:r>
      <w:r>
        <w:rPr>
          <w:rFonts w:ascii="Arial" w:cs="Arial" w:eastAsia="Arial" w:hAnsi="Arial"/>
          <w:sz w:val="16"/>
          <w:szCs w:val="16"/>
          <w:color w:val="FF0000"/>
          <w:strike w:val="1"/>
        </w:rPr>
        <w:t>w</w:t>
      </w:r>
      <w:r>
        <w:rPr>
          <w:rFonts w:ascii="Arial" w:cs="Arial" w:eastAsia="Arial" w:hAnsi="Arial"/>
          <w:sz w:val="16"/>
          <w:szCs w:val="16"/>
          <w:u w:val="single" w:color="auto"/>
          <w:color w:val="FF0000"/>
          <w:strike w:val="1"/>
        </w:rPr>
        <w:t>hi</w:t>
      </w:r>
      <w:r>
        <w:rPr>
          <w:rFonts w:ascii="Arial" w:cs="Arial" w:eastAsia="Arial" w:hAnsi="Arial"/>
          <w:sz w:val="16"/>
          <w:szCs w:val="16"/>
          <w:color w:val="FF0000"/>
          <w:strike w:val="1"/>
        </w:rPr>
        <w:t>c</w:t>
      </w:r>
      <w:r>
        <w:rPr>
          <w:rFonts w:ascii="Arial" w:cs="Arial" w:eastAsia="Arial" w:hAnsi="Arial"/>
          <w:sz w:val="16"/>
          <w:szCs w:val="16"/>
          <w:u w:val="single" w:color="auto"/>
          <w:color w:val="FF0000"/>
          <w:strike w:val="1"/>
        </w:rPr>
        <w:t>h d</w:t>
      </w:r>
      <w:r>
        <w:rPr>
          <w:rFonts w:ascii="Arial" w:cs="Arial" w:eastAsia="Arial" w:hAnsi="Arial"/>
          <w:sz w:val="16"/>
          <w:szCs w:val="16"/>
          <w:color w:val="FF0000"/>
          <w:strike w:val="1"/>
        </w:rPr>
        <w:t>e</w:t>
      </w:r>
      <w:r>
        <w:rPr>
          <w:rFonts w:ascii="Arial" w:cs="Arial" w:eastAsia="Arial" w:hAnsi="Arial"/>
          <w:sz w:val="16"/>
          <w:szCs w:val="16"/>
          <w:u w:val="single" w:color="auto"/>
          <w:color w:val="FF0000"/>
          <w:strike w:val="1"/>
        </w:rPr>
        <w:t>t</w:t>
      </w:r>
      <w:r>
        <w:rPr>
          <w:rFonts w:ascii="Arial" w:cs="Arial" w:eastAsia="Arial" w:hAnsi="Arial"/>
          <w:sz w:val="16"/>
          <w:szCs w:val="16"/>
          <w:color w:val="FF0000"/>
          <w:strike w:val="1"/>
        </w:rPr>
        <w:t>ermina</w:t>
      </w:r>
      <w:r>
        <w:rPr>
          <w:rFonts w:ascii="Arial" w:cs="Arial" w:eastAsia="Arial" w:hAnsi="Arial"/>
          <w:sz w:val="16"/>
          <w:szCs w:val="16"/>
          <w:u w:val="single" w:color="auto"/>
          <w:color w:val="FF0000"/>
          <w:strike w:val="1"/>
        </w:rPr>
        <w:t>ti</w:t>
      </w:r>
      <w:r>
        <w:rPr>
          <w:rFonts w:ascii="Arial" w:cs="Arial" w:eastAsia="Arial" w:hAnsi="Arial"/>
          <w:sz w:val="16"/>
          <w:szCs w:val="16"/>
          <w:color w:val="FF0000"/>
          <w:strike w:val="1"/>
        </w:rPr>
        <w:t>on s</w:t>
      </w:r>
      <w:r>
        <w:rPr>
          <w:rFonts w:ascii="Arial" w:cs="Arial" w:eastAsia="Arial" w:hAnsi="Arial"/>
          <w:sz w:val="16"/>
          <w:szCs w:val="16"/>
          <w:u w:val="single" w:color="auto"/>
          <w:color w:val="FF0000"/>
          <w:strike w:val="1"/>
        </w:rPr>
        <w:t>h</w:t>
      </w:r>
      <w:r>
        <w:rPr>
          <w:rFonts w:ascii="Arial" w:cs="Arial" w:eastAsia="Arial" w:hAnsi="Arial"/>
          <w:sz w:val="16"/>
          <w:szCs w:val="16"/>
          <w:color w:val="FF0000"/>
          <w:strike w:val="1"/>
        </w:rPr>
        <w:t>a</w:t>
      </w:r>
      <w:r>
        <w:rPr>
          <w:rFonts w:ascii="Arial" w:cs="Arial" w:eastAsia="Arial" w:hAnsi="Arial"/>
          <w:sz w:val="16"/>
          <w:szCs w:val="16"/>
          <w:u w:val="single" w:color="auto"/>
          <w:color w:val="FF0000"/>
          <w:strike w:val="1"/>
        </w:rPr>
        <w:t>ll b</w:t>
      </w:r>
      <w:r>
        <w:rPr>
          <w:rFonts w:ascii="Arial" w:cs="Arial" w:eastAsia="Arial" w:hAnsi="Arial"/>
          <w:sz w:val="16"/>
          <w:szCs w:val="16"/>
          <w:color w:val="FF0000"/>
          <w:strike w:val="1"/>
        </w:rPr>
        <w:t>e fina</w:t>
      </w:r>
      <w:r>
        <w:rPr>
          <w:rFonts w:ascii="Arial" w:cs="Arial" w:eastAsia="Arial" w:hAnsi="Arial"/>
          <w:sz w:val="16"/>
          <w:szCs w:val="16"/>
          <w:u w:val="single" w:color="auto"/>
          <w:color w:val="FF0000"/>
          <w:strike w:val="1"/>
        </w:rPr>
        <w:t>l</w:t>
      </w:r>
      <w:r>
        <w:rPr>
          <w:rFonts w:ascii="Arial" w:cs="Arial" w:eastAsia="Arial" w:hAnsi="Arial"/>
          <w:sz w:val="16"/>
          <w:szCs w:val="16"/>
          <w:u w:val="single" w:color="auto"/>
          <w:color w:val="00C000"/>
        </w:rPr>
        <w:t xml:space="preserve"> </w:t>
      </w:r>
      <w:r>
        <w:rPr>
          <w:rFonts w:ascii="Arial" w:cs="Arial" w:eastAsia="Arial" w:hAnsi="Arial"/>
          <w:sz w:val="16"/>
          <w:szCs w:val="16"/>
          <w:color w:val="FF0000"/>
          <w:strike w:val="1"/>
        </w:rPr>
        <w:t>an</w:t>
      </w:r>
      <w:r>
        <w:rPr>
          <w:rFonts w:ascii="Arial" w:cs="Arial" w:eastAsia="Arial" w:hAnsi="Arial"/>
          <w:sz w:val="16"/>
          <w:szCs w:val="16"/>
          <w:u w:val="single" w:color="auto"/>
          <w:color w:val="FF0000"/>
          <w:strike w:val="1"/>
        </w:rPr>
        <w:t>d</w:t>
      </w:r>
      <w:r>
        <w:rPr>
          <w:rFonts w:ascii="Arial" w:cs="Arial" w:eastAsia="Arial" w:hAnsi="Arial"/>
          <w:sz w:val="16"/>
          <w:szCs w:val="16"/>
          <w:u w:val="single" w:color="auto"/>
          <w:color w:val="00C000"/>
        </w:rPr>
        <w:t xml:space="preserve"> </w:t>
      </w:r>
      <w:r>
        <w:rPr>
          <w:rFonts w:ascii="Arial" w:cs="Arial" w:eastAsia="Arial" w:hAnsi="Arial"/>
          <w:sz w:val="16"/>
          <w:szCs w:val="16"/>
          <w:color w:val="FF0000"/>
          <w:strike w:val="1"/>
        </w:rPr>
        <w:t>conc</w:t>
      </w:r>
      <w:r>
        <w:rPr>
          <w:rFonts w:ascii="Arial" w:cs="Arial" w:eastAsia="Arial" w:hAnsi="Arial"/>
          <w:sz w:val="16"/>
          <w:szCs w:val="16"/>
          <w:u w:val="single" w:color="auto"/>
          <w:color w:val="FF0000"/>
          <w:strike w:val="1"/>
        </w:rPr>
        <w:t>l</w:t>
      </w:r>
      <w:r>
        <w:rPr>
          <w:rFonts w:ascii="Arial" w:cs="Arial" w:eastAsia="Arial" w:hAnsi="Arial"/>
          <w:sz w:val="16"/>
          <w:szCs w:val="16"/>
          <w:color w:val="FF0000"/>
          <w:strike w:val="1"/>
        </w:rPr>
        <w:t>us</w:t>
      </w:r>
      <w:r>
        <w:rPr>
          <w:rFonts w:ascii="Arial" w:cs="Arial" w:eastAsia="Arial" w:hAnsi="Arial"/>
          <w:sz w:val="16"/>
          <w:szCs w:val="16"/>
          <w:u w:val="single" w:color="auto"/>
          <w:color w:val="FF0000"/>
          <w:strike w:val="1"/>
        </w:rPr>
        <w:t>i</w:t>
      </w:r>
      <w:r>
        <w:rPr>
          <w:rFonts w:ascii="Arial" w:cs="Arial" w:eastAsia="Arial" w:hAnsi="Arial"/>
          <w:sz w:val="16"/>
          <w:szCs w:val="16"/>
          <w:color w:val="FF0000"/>
          <w:strike w:val="1"/>
        </w:rPr>
        <w:t>ve, a</w:t>
      </w:r>
      <w:r>
        <w:rPr>
          <w:rFonts w:ascii="Arial" w:cs="Arial" w:eastAsia="Arial" w:hAnsi="Arial"/>
          <w:sz w:val="16"/>
          <w:szCs w:val="16"/>
          <w:u w:val="single" w:color="auto"/>
          <w:color w:val="FF0000"/>
          <w:strike w:val="1"/>
        </w:rPr>
        <w:t>b</w:t>
      </w:r>
      <w:r>
        <w:rPr>
          <w:rFonts w:ascii="Arial" w:cs="Arial" w:eastAsia="Arial" w:hAnsi="Arial"/>
          <w:sz w:val="16"/>
          <w:szCs w:val="16"/>
          <w:color w:val="FF0000"/>
          <w:strike w:val="1"/>
        </w:rPr>
        <w:t>sen</w:t>
      </w:r>
      <w:r>
        <w:rPr>
          <w:rFonts w:ascii="Arial" w:cs="Arial" w:eastAsia="Arial" w:hAnsi="Arial"/>
          <w:sz w:val="16"/>
          <w:szCs w:val="16"/>
          <w:u w:val="single" w:color="auto"/>
          <w:color w:val="FF0000"/>
          <w:strike w:val="1"/>
        </w:rPr>
        <w:t>t</w:t>
      </w:r>
      <w:r>
        <w:rPr>
          <w:rFonts w:ascii="Arial" w:cs="Arial" w:eastAsia="Arial" w:hAnsi="Arial"/>
          <w:sz w:val="16"/>
          <w:szCs w:val="16"/>
          <w:u w:val="single" w:color="auto"/>
          <w:color w:val="00C000"/>
        </w:rPr>
        <w:t xml:space="preserve"> </w:t>
      </w:r>
      <w:r>
        <w:rPr>
          <w:rFonts w:ascii="Arial" w:cs="Arial" w:eastAsia="Arial" w:hAnsi="Arial"/>
          <w:sz w:val="16"/>
          <w:szCs w:val="16"/>
          <w:color w:val="FF0000"/>
          <w:strike w:val="1"/>
        </w:rPr>
        <w:t>man</w:t>
      </w:r>
      <w:r>
        <w:rPr>
          <w:rFonts w:ascii="Arial" w:cs="Arial" w:eastAsia="Arial" w:hAnsi="Arial"/>
          <w:sz w:val="16"/>
          <w:szCs w:val="16"/>
          <w:u w:val="single" w:color="auto"/>
          <w:color w:val="FF0000"/>
          <w:strike w:val="1"/>
        </w:rPr>
        <w:t>if</w:t>
      </w:r>
      <w:r>
        <w:rPr>
          <w:rFonts w:ascii="Arial" w:cs="Arial" w:eastAsia="Arial" w:hAnsi="Arial"/>
          <w:sz w:val="16"/>
          <w:szCs w:val="16"/>
          <w:color w:val="FF0000"/>
          <w:strike w:val="1"/>
        </w:rPr>
        <w:t>es</w:t>
      </w:r>
      <w:r>
        <w:rPr>
          <w:rFonts w:ascii="Arial" w:cs="Arial" w:eastAsia="Arial" w:hAnsi="Arial"/>
          <w:sz w:val="16"/>
          <w:szCs w:val="16"/>
          <w:u w:val="single" w:color="auto"/>
          <w:color w:val="FF0000"/>
          <w:strike w:val="1"/>
        </w:rPr>
        <w:t>t</w:t>
      </w:r>
      <w:r>
        <w:rPr>
          <w:rFonts w:ascii="Arial" w:cs="Arial" w:eastAsia="Arial" w:hAnsi="Arial"/>
          <w:sz w:val="16"/>
          <w:szCs w:val="16"/>
          <w:u w:val="single" w:color="auto"/>
          <w:color w:val="00C000"/>
        </w:rPr>
        <w:t xml:space="preserve"> </w:t>
      </w:r>
      <w:r>
        <w:rPr>
          <w:rFonts w:ascii="Arial" w:cs="Arial" w:eastAsia="Arial" w:hAnsi="Arial"/>
          <w:sz w:val="16"/>
          <w:szCs w:val="16"/>
          <w:color w:val="FF0000"/>
          <w:strike w:val="1"/>
        </w:rPr>
        <w:t>error</w:t>
      </w:r>
      <w:r>
        <w:rPr>
          <w:rFonts w:ascii="Arial" w:cs="Arial" w:eastAsia="Arial" w:hAnsi="Arial"/>
          <w:sz w:val="16"/>
          <w:szCs w:val="16"/>
          <w:u w:val="single" w:color="auto"/>
          <w:color w:val="FF0000"/>
          <w:strike w:val="1"/>
        </w:rPr>
        <w:t>) th</w:t>
      </w:r>
      <w:r>
        <w:rPr>
          <w:rFonts w:ascii="Arial" w:cs="Arial" w:eastAsia="Arial" w:hAnsi="Arial"/>
          <w:sz w:val="16"/>
          <w:szCs w:val="16"/>
          <w:color w:val="FF0000"/>
          <w:strike w:val="1"/>
        </w:rPr>
        <w:t>a</w:t>
      </w:r>
      <w:r>
        <w:rPr>
          <w:rFonts w:ascii="Arial" w:cs="Arial" w:eastAsia="Arial" w:hAnsi="Arial"/>
          <w:sz w:val="16"/>
          <w:szCs w:val="16"/>
          <w:u w:val="single" w:color="auto"/>
          <w:color w:val="FF0000"/>
          <w:strike w:val="1"/>
        </w:rPr>
        <w:t>t</w:t>
      </w:r>
      <w:r>
        <w:rPr>
          <w:rFonts w:ascii="Arial" w:cs="Arial" w:eastAsia="Arial" w:hAnsi="Arial"/>
          <w:sz w:val="16"/>
          <w:szCs w:val="16"/>
          <w:u w:val="single" w:color="auto"/>
          <w:color w:val="00C000"/>
        </w:rPr>
        <w:t xml:space="preserve"> </w:t>
      </w:r>
      <w:r>
        <w:rPr>
          <w:rFonts w:ascii="Arial" w:cs="Arial" w:eastAsia="Arial" w:hAnsi="Arial"/>
          <w:sz w:val="16"/>
          <w:szCs w:val="16"/>
          <w:color w:val="FF0000"/>
          <w:strike w:val="1"/>
        </w:rPr>
        <w:t>a</w:t>
      </w:r>
      <w:r>
        <w:rPr>
          <w:rFonts w:ascii="Arial" w:cs="Arial" w:eastAsia="Arial" w:hAnsi="Arial"/>
          <w:sz w:val="16"/>
          <w:szCs w:val="16"/>
          <w:u w:val="single" w:color="auto"/>
          <w:color w:val="00C000"/>
        </w:rPr>
        <w:t xml:space="preserve"> </w:t>
      </w:r>
      <w:r>
        <w:rPr>
          <w:rFonts w:ascii="Arial" w:cs="Arial" w:eastAsia="Arial" w:hAnsi="Arial"/>
          <w:sz w:val="16"/>
          <w:szCs w:val="16"/>
          <w:u w:val="single" w:color="auto"/>
          <w:color w:val="FF0000"/>
          <w:strike w:val="1"/>
        </w:rPr>
        <w:t>LIBOR T</w:t>
      </w:r>
      <w:r>
        <w:rPr>
          <w:rFonts w:ascii="Arial" w:cs="Arial" w:eastAsia="Arial" w:hAnsi="Arial"/>
          <w:sz w:val="16"/>
          <w:szCs w:val="16"/>
          <w:color w:val="FF0000"/>
          <w:strike w:val="1"/>
        </w:rPr>
        <w:t>ermina</w:t>
      </w:r>
      <w:r>
        <w:rPr>
          <w:rFonts w:ascii="Arial" w:cs="Arial" w:eastAsia="Arial" w:hAnsi="Arial"/>
          <w:sz w:val="16"/>
          <w:szCs w:val="16"/>
          <w:u w:val="single" w:color="auto"/>
          <w:color w:val="FF0000"/>
          <w:strike w:val="1"/>
        </w:rPr>
        <w:t>ti</w:t>
      </w:r>
      <w:r>
        <w:rPr>
          <w:rFonts w:ascii="Arial" w:cs="Arial" w:eastAsia="Arial" w:hAnsi="Arial"/>
          <w:sz w:val="16"/>
          <w:szCs w:val="16"/>
          <w:color w:val="FF0000"/>
          <w:strike w:val="1"/>
        </w:rPr>
        <w:t>on Da</w:t>
      </w:r>
      <w:r>
        <w:rPr>
          <w:rFonts w:ascii="Arial" w:cs="Arial" w:eastAsia="Arial" w:hAnsi="Arial"/>
          <w:sz w:val="16"/>
          <w:szCs w:val="16"/>
          <w:u w:val="single" w:color="auto"/>
          <w:color w:val="FF0000"/>
          <w:strike w:val="1"/>
        </w:rPr>
        <w:t>t</w:t>
      </w:r>
      <w:r>
        <w:rPr>
          <w:rFonts w:ascii="Arial" w:cs="Arial" w:eastAsia="Arial" w:hAnsi="Arial"/>
          <w:sz w:val="16"/>
          <w:szCs w:val="16"/>
          <w:color w:val="FF0000"/>
          <w:strike w:val="1"/>
        </w:rPr>
        <w:t>e has occurre</w:t>
      </w:r>
      <w:r>
        <w:rPr>
          <w:rFonts w:ascii="Arial" w:cs="Arial" w:eastAsia="Arial" w:hAnsi="Arial"/>
          <w:sz w:val="16"/>
          <w:szCs w:val="16"/>
          <w:u w:val="single" w:color="auto"/>
          <w:color w:val="FF0000"/>
          <w:strike w:val="1"/>
        </w:rPr>
        <w:t>d</w:t>
      </w:r>
      <w:r>
        <w:rPr>
          <w:rFonts w:ascii="Arial" w:cs="Arial" w:eastAsia="Arial" w:hAnsi="Arial"/>
          <w:sz w:val="16"/>
          <w:szCs w:val="16"/>
          <w:color w:val="FF0000"/>
          <w:strike w:val="1"/>
        </w:rPr>
        <w:t>, then</w:t>
      </w:r>
      <w:r>
        <w:rPr>
          <w:rFonts w:ascii="Arial" w:cs="Arial" w:eastAsia="Arial" w:hAnsi="Arial"/>
          <w:sz w:val="16"/>
          <w:szCs w:val="16"/>
          <w:u w:val="single" w:color="auto"/>
          <w:color w:val="00C000"/>
        </w:rPr>
        <w:t xml:space="preserve"> </w:t>
      </w:r>
      <w:r>
        <w:rPr>
          <w:rFonts w:ascii="Arial" w:cs="Arial" w:eastAsia="Arial" w:hAnsi="Arial"/>
          <w:sz w:val="16"/>
          <w:szCs w:val="16"/>
          <w:u w:val="single" w:color="auto"/>
          <w:color w:val="FF0000"/>
          <w:strike w:val="1"/>
        </w:rPr>
        <w:t>f</w:t>
      </w:r>
      <w:r>
        <w:rPr>
          <w:rFonts w:ascii="Arial" w:cs="Arial" w:eastAsia="Arial" w:hAnsi="Arial"/>
          <w:sz w:val="16"/>
          <w:szCs w:val="16"/>
          <w:color w:val="FF0000"/>
          <w:strike w:val="1"/>
        </w:rPr>
        <w:t>o</w:t>
      </w:r>
      <w:r>
        <w:rPr>
          <w:rFonts w:ascii="Arial" w:cs="Arial" w:eastAsia="Arial" w:hAnsi="Arial"/>
          <w:sz w:val="16"/>
          <w:szCs w:val="16"/>
          <w:u w:val="single" w:color="auto"/>
          <w:color w:val="FF0000"/>
          <w:strike w:val="1"/>
        </w:rPr>
        <w:t>ll</w:t>
      </w:r>
      <w:r>
        <w:rPr>
          <w:rFonts w:ascii="Arial" w:cs="Arial" w:eastAsia="Arial" w:hAnsi="Arial"/>
          <w:sz w:val="16"/>
          <w:szCs w:val="16"/>
          <w:color w:val="FF0000"/>
          <w:strike w:val="1"/>
        </w:rPr>
        <w:t>ow</w:t>
      </w:r>
      <w:r>
        <w:rPr>
          <w:rFonts w:ascii="Arial" w:cs="Arial" w:eastAsia="Arial" w:hAnsi="Arial"/>
          <w:sz w:val="16"/>
          <w:szCs w:val="16"/>
          <w:u w:val="single" w:color="auto"/>
          <w:color w:val="FF0000"/>
          <w:strike w:val="1"/>
        </w:rPr>
        <w:t>i</w:t>
      </w:r>
      <w:r>
        <w:rPr>
          <w:rFonts w:ascii="Arial" w:cs="Arial" w:eastAsia="Arial" w:hAnsi="Arial"/>
          <w:sz w:val="16"/>
          <w:szCs w:val="16"/>
          <w:color w:val="FF0000"/>
          <w:strike w:val="1"/>
        </w:rPr>
        <w:t>n</w:t>
      </w:r>
      <w:r>
        <w:rPr>
          <w:rFonts w:ascii="Arial" w:cs="Arial" w:eastAsia="Arial" w:hAnsi="Arial"/>
          <w:sz w:val="16"/>
          <w:szCs w:val="16"/>
          <w:u w:val="single" w:color="auto"/>
          <w:color w:val="FF0000"/>
          <w:strike w:val="1"/>
        </w:rPr>
        <w:t>g th</w:t>
      </w:r>
      <w:r>
        <w:rPr>
          <w:rFonts w:ascii="Arial" w:cs="Arial" w:eastAsia="Arial" w:hAnsi="Arial"/>
          <w:sz w:val="16"/>
          <w:szCs w:val="16"/>
          <w:color w:val="FF0000"/>
          <w:strike w:val="1"/>
        </w:rPr>
        <w:t>e</w:t>
      </w:r>
      <w:r>
        <w:rPr>
          <w:rFonts w:ascii="Arial" w:cs="Arial" w:eastAsia="Arial" w:hAnsi="Arial"/>
          <w:sz w:val="16"/>
          <w:szCs w:val="16"/>
          <w:u w:val="single" w:color="auto"/>
          <w:color w:val="00C000"/>
        </w:rPr>
        <w:t xml:space="preserve"> </w:t>
      </w:r>
      <w:r>
        <w:rPr>
          <w:rFonts w:ascii="Arial" w:cs="Arial" w:eastAsia="Arial" w:hAnsi="Arial"/>
          <w:sz w:val="16"/>
          <w:szCs w:val="16"/>
          <w:u w:val="single" w:color="auto"/>
          <w:color w:val="FF0000"/>
          <w:strike w:val="1"/>
        </w:rPr>
        <w:t>LIBOR T</w:t>
      </w:r>
      <w:r>
        <w:rPr>
          <w:rFonts w:ascii="Arial" w:cs="Arial" w:eastAsia="Arial" w:hAnsi="Arial"/>
          <w:sz w:val="16"/>
          <w:szCs w:val="16"/>
          <w:color w:val="FF0000"/>
          <w:strike w:val="1"/>
        </w:rPr>
        <w:t>erm</w:t>
      </w:r>
      <w:r>
        <w:rPr>
          <w:rFonts w:ascii="Arial" w:cs="Arial" w:eastAsia="Arial" w:hAnsi="Arial"/>
          <w:sz w:val="16"/>
          <w:szCs w:val="16"/>
          <w:u w:val="single" w:color="auto"/>
          <w:color w:val="FF0000"/>
          <w:strike w:val="1"/>
        </w:rPr>
        <w:t>i</w:t>
      </w:r>
      <w:r>
        <w:rPr>
          <w:rFonts w:ascii="Arial" w:cs="Arial" w:eastAsia="Arial" w:hAnsi="Arial"/>
          <w:sz w:val="16"/>
          <w:szCs w:val="16"/>
          <w:color w:val="FF0000"/>
          <w:strike w:val="1"/>
        </w:rPr>
        <w:t>na</w:t>
      </w:r>
      <w:r>
        <w:rPr>
          <w:rFonts w:ascii="Arial" w:cs="Arial" w:eastAsia="Arial" w:hAnsi="Arial"/>
          <w:sz w:val="16"/>
          <w:szCs w:val="16"/>
          <w:u w:val="single" w:color="auto"/>
          <w:color w:val="FF0000"/>
          <w:strike w:val="1"/>
        </w:rPr>
        <w:t>ti</w:t>
      </w:r>
      <w:r>
        <w:rPr>
          <w:rFonts w:ascii="Arial" w:cs="Arial" w:eastAsia="Arial" w:hAnsi="Arial"/>
          <w:sz w:val="16"/>
          <w:szCs w:val="16"/>
          <w:color w:val="FF0000"/>
          <w:strike w:val="1"/>
        </w:rPr>
        <w:t>on Da</w:t>
      </w:r>
      <w:r>
        <w:rPr>
          <w:rFonts w:ascii="Arial" w:cs="Arial" w:eastAsia="Arial" w:hAnsi="Arial"/>
          <w:sz w:val="16"/>
          <w:szCs w:val="16"/>
          <w:u w:val="single" w:color="auto"/>
          <w:color w:val="FF0000"/>
          <w:strike w:val="1"/>
        </w:rPr>
        <w:t>t</w:t>
      </w:r>
      <w:r>
        <w:rPr>
          <w:rFonts w:ascii="Arial" w:cs="Arial" w:eastAsia="Arial" w:hAnsi="Arial"/>
          <w:sz w:val="16"/>
          <w:szCs w:val="16"/>
          <w:color w:val="FF0000"/>
          <w:strike w:val="1"/>
        </w:rPr>
        <w:t>e, eac</w:t>
      </w:r>
      <w:r>
        <w:rPr>
          <w:rFonts w:ascii="Arial" w:cs="Arial" w:eastAsia="Arial" w:hAnsi="Arial"/>
          <w:sz w:val="16"/>
          <w:szCs w:val="16"/>
          <w:u w:val="single" w:color="auto"/>
          <w:color w:val="FF0000"/>
          <w:strike w:val="1"/>
        </w:rPr>
        <w:t>h P</w:t>
      </w:r>
      <w:r>
        <w:rPr>
          <w:rFonts w:ascii="Arial" w:cs="Arial" w:eastAsia="Arial" w:hAnsi="Arial"/>
          <w:sz w:val="16"/>
          <w:szCs w:val="16"/>
          <w:color w:val="FF0000"/>
          <w:strike w:val="1"/>
        </w:rPr>
        <w:t>or</w:t>
      </w:r>
      <w:r>
        <w:rPr>
          <w:rFonts w:ascii="Arial" w:cs="Arial" w:eastAsia="Arial" w:hAnsi="Arial"/>
          <w:sz w:val="16"/>
          <w:szCs w:val="16"/>
          <w:u w:val="single" w:color="auto"/>
          <w:color w:val="FF0000"/>
          <w:strike w:val="1"/>
        </w:rPr>
        <w:t>ti</w:t>
      </w:r>
      <w:r>
        <w:rPr>
          <w:rFonts w:ascii="Arial" w:cs="Arial" w:eastAsia="Arial" w:hAnsi="Arial"/>
          <w:sz w:val="16"/>
          <w:szCs w:val="16"/>
          <w:color w:val="FF0000"/>
          <w:strike w:val="1"/>
        </w:rPr>
        <w:t>on o</w:t>
      </w:r>
      <w:r>
        <w:rPr>
          <w:rFonts w:ascii="Arial" w:cs="Arial" w:eastAsia="Arial" w:hAnsi="Arial"/>
          <w:sz w:val="16"/>
          <w:szCs w:val="16"/>
          <w:u w:val="single" w:color="auto"/>
          <w:color w:val="FF0000"/>
          <w:strike w:val="1"/>
        </w:rPr>
        <w:t>f C</w:t>
      </w:r>
      <w:r>
        <w:rPr>
          <w:rFonts w:ascii="Arial" w:cs="Arial" w:eastAsia="Arial" w:hAnsi="Arial"/>
          <w:sz w:val="16"/>
          <w:szCs w:val="16"/>
          <w:color w:val="FF0000"/>
          <w:strike w:val="1"/>
        </w:rPr>
        <w:t>a</w:t>
      </w:r>
      <w:r>
        <w:rPr>
          <w:rFonts w:ascii="Arial" w:cs="Arial" w:eastAsia="Arial" w:hAnsi="Arial"/>
          <w:sz w:val="16"/>
          <w:szCs w:val="16"/>
          <w:u w:val="single" w:color="auto"/>
          <w:color w:val="FF0000"/>
          <w:strike w:val="1"/>
        </w:rPr>
        <w:t>pit</w:t>
      </w:r>
      <w:r>
        <w:rPr>
          <w:rFonts w:ascii="Arial" w:cs="Arial" w:eastAsia="Arial" w:hAnsi="Arial"/>
          <w:sz w:val="16"/>
          <w:szCs w:val="16"/>
          <w:color w:val="FF0000"/>
          <w:strike w:val="1"/>
        </w:rPr>
        <w:t>a</w:t>
      </w:r>
      <w:r>
        <w:rPr>
          <w:rFonts w:ascii="Arial" w:cs="Arial" w:eastAsia="Arial" w:hAnsi="Arial"/>
          <w:sz w:val="16"/>
          <w:szCs w:val="16"/>
          <w:u w:val="single" w:color="auto"/>
          <w:color w:val="FF0000"/>
          <w:strike w:val="1"/>
        </w:rPr>
        <w:t>l th</w:t>
      </w:r>
      <w:r>
        <w:rPr>
          <w:rFonts w:ascii="Arial" w:cs="Arial" w:eastAsia="Arial" w:hAnsi="Arial"/>
          <w:sz w:val="16"/>
          <w:szCs w:val="16"/>
          <w:color w:val="FF0000"/>
          <w:strike w:val="1"/>
        </w:rPr>
        <w:t>a</w:t>
      </w:r>
      <w:r>
        <w:rPr>
          <w:rFonts w:ascii="Arial" w:cs="Arial" w:eastAsia="Arial" w:hAnsi="Arial"/>
          <w:sz w:val="16"/>
          <w:szCs w:val="16"/>
          <w:u w:val="single" w:color="auto"/>
          <w:color w:val="FF0000"/>
          <w:strike w:val="1"/>
        </w:rPr>
        <w:t xml:space="preserve">t </w:t>
      </w:r>
      <w:r>
        <w:rPr>
          <w:rFonts w:ascii="Arial" w:cs="Arial" w:eastAsia="Arial" w:hAnsi="Arial"/>
          <w:sz w:val="16"/>
          <w:szCs w:val="16"/>
          <w:color w:val="FF0000"/>
          <w:strike w:val="1"/>
        </w:rPr>
        <w:t>wou</w:t>
      </w:r>
      <w:r>
        <w:rPr>
          <w:rFonts w:ascii="Arial" w:cs="Arial" w:eastAsia="Arial" w:hAnsi="Arial"/>
          <w:sz w:val="16"/>
          <w:szCs w:val="16"/>
          <w:u w:val="single" w:color="auto"/>
          <w:color w:val="FF0000"/>
          <w:strike w:val="1"/>
        </w:rPr>
        <w:t xml:space="preserve">ld </w:t>
      </w:r>
      <w:r>
        <w:rPr>
          <w:rFonts w:ascii="Arial" w:cs="Arial" w:eastAsia="Arial" w:hAnsi="Arial"/>
          <w:sz w:val="16"/>
          <w:szCs w:val="16"/>
          <w:color w:val="FF0000"/>
          <w:strike w:val="1"/>
        </w:rPr>
        <w:t>o</w:t>
      </w:r>
      <w:r>
        <w:rPr>
          <w:rFonts w:ascii="Arial" w:cs="Arial" w:eastAsia="Arial" w:hAnsi="Arial"/>
          <w:sz w:val="16"/>
          <w:szCs w:val="16"/>
          <w:u w:val="single" w:color="auto"/>
          <w:color w:val="FF0000"/>
          <w:strike w:val="1"/>
        </w:rPr>
        <w:t>th</w:t>
      </w:r>
      <w:r>
        <w:rPr>
          <w:rFonts w:ascii="Arial" w:cs="Arial" w:eastAsia="Arial" w:hAnsi="Arial"/>
          <w:sz w:val="16"/>
          <w:szCs w:val="16"/>
          <w:color w:val="FF0000"/>
          <w:strike w:val="1"/>
        </w:rPr>
        <w:t>erw</w:t>
      </w:r>
      <w:r>
        <w:rPr>
          <w:rFonts w:ascii="Arial" w:cs="Arial" w:eastAsia="Arial" w:hAnsi="Arial"/>
          <w:sz w:val="16"/>
          <w:szCs w:val="16"/>
          <w:u w:val="single" w:color="auto"/>
          <w:color w:val="FF0000"/>
          <w:strike w:val="1"/>
        </w:rPr>
        <w:t>i</w:t>
      </w:r>
      <w:r>
        <w:rPr>
          <w:rFonts w:ascii="Arial" w:cs="Arial" w:eastAsia="Arial" w:hAnsi="Arial"/>
          <w:sz w:val="16"/>
          <w:szCs w:val="16"/>
          <w:color w:val="FF0000"/>
          <w:strike w:val="1"/>
        </w:rPr>
        <w:t>se accrue In</w:t>
      </w:r>
      <w:r>
        <w:rPr>
          <w:rFonts w:ascii="Arial" w:cs="Arial" w:eastAsia="Arial" w:hAnsi="Arial"/>
          <w:sz w:val="16"/>
          <w:szCs w:val="16"/>
          <w:u w:val="single" w:color="auto"/>
          <w:color w:val="FF0000"/>
          <w:strike w:val="1"/>
        </w:rPr>
        <w:t>t</w:t>
      </w:r>
      <w:r>
        <w:rPr>
          <w:rFonts w:ascii="Arial" w:cs="Arial" w:eastAsia="Arial" w:hAnsi="Arial"/>
          <w:sz w:val="16"/>
          <w:szCs w:val="16"/>
          <w:color w:val="FF0000"/>
          <w:strike w:val="1"/>
        </w:rPr>
        <w:t>eres</w:t>
      </w:r>
      <w:r>
        <w:rPr>
          <w:rFonts w:ascii="Arial" w:cs="Arial" w:eastAsia="Arial" w:hAnsi="Arial"/>
          <w:sz w:val="16"/>
          <w:szCs w:val="16"/>
          <w:u w:val="single" w:color="auto"/>
          <w:color w:val="FF0000"/>
          <w:strike w:val="1"/>
        </w:rPr>
        <w:t xml:space="preserve">t </w:t>
      </w:r>
      <w:r>
        <w:rPr>
          <w:rFonts w:ascii="Arial" w:cs="Arial" w:eastAsia="Arial" w:hAnsi="Arial"/>
          <w:sz w:val="16"/>
          <w:szCs w:val="16"/>
          <w:color w:val="FF0000"/>
          <w:strike w:val="1"/>
        </w:rPr>
        <w:t>w</w:t>
      </w:r>
      <w:r>
        <w:rPr>
          <w:rFonts w:ascii="Arial" w:cs="Arial" w:eastAsia="Arial" w:hAnsi="Arial"/>
          <w:sz w:val="16"/>
          <w:szCs w:val="16"/>
          <w:u w:val="single" w:color="auto"/>
          <w:color w:val="FF0000"/>
          <w:strike w:val="1"/>
        </w:rPr>
        <w:t>ith</w:t>
      </w:r>
      <w:r>
        <w:rPr>
          <w:rFonts w:ascii="Arial" w:cs="Arial" w:eastAsia="Arial" w:hAnsi="Arial"/>
          <w:sz w:val="16"/>
          <w:szCs w:val="16"/>
          <w:u w:val="single" w:color="auto"/>
          <w:color w:val="0000FF"/>
          <w:strike w:val="1"/>
        </w:rPr>
        <w:t>the case may be); provided, however, that during a</w:t>
      </w:r>
      <w:r>
        <w:rPr>
          <w:rFonts w:ascii="Arial" w:cs="Arial" w:eastAsia="Arial" w:hAnsi="Arial"/>
          <w:sz w:val="16"/>
          <w:szCs w:val="16"/>
          <w:u w:val="single" w:color="auto"/>
          <w:color w:val="FF0000"/>
          <w:strike w:val="1"/>
        </w:rPr>
        <w:t xml:space="preserve"> </w:t>
      </w:r>
      <w:r>
        <w:rPr>
          <w:rFonts w:ascii="Arial" w:cs="Arial" w:eastAsia="Arial" w:hAnsi="Arial"/>
          <w:sz w:val="16"/>
          <w:szCs w:val="16"/>
          <w:u w:val="single" w:color="auto"/>
          <w:color w:val="0000FF"/>
          <w:strike w:val="1"/>
        </w:rPr>
        <w:t>Benchmark Unavailability Period (i) any pending selection of, conversion to or renewal of a Loan bearing interest by reference to Adjusted LIBOR or LMIR that has not yet gone into effect shall be deemed to be a selection of, conversion to or renewal of the Base Rate with respect to such Loan, and such Loan shall bear interest by reference to the Base Rate (rather than by reference to Adjusted LIBOR or LMIR), and (ii) all outstanding Loans bearing interest by</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reference to Adjusted LIBOR or LMIR shall automatically</w:t>
      </w:r>
      <w:r>
        <w:rPr>
          <w:rFonts w:ascii="Arial" w:cs="Arial" w:eastAsia="Arial" w:hAnsi="Arial"/>
          <w:sz w:val="16"/>
          <w:szCs w:val="16"/>
          <w:color w:val="0000FF"/>
          <w:strike w:val="1"/>
        </w:rPr>
        <w:t xml:space="preserve"> </w:t>
      </w:r>
      <w:r>
        <w:rPr>
          <w:rFonts w:ascii="Arial" w:cs="Arial" w:eastAsia="Arial" w:hAnsi="Arial"/>
          <w:sz w:val="16"/>
          <w:szCs w:val="16"/>
          <w:color w:val="FF0000"/>
          <w:strike w:val="1"/>
        </w:rPr>
        <w:t>begin accruing Interest with</w:t>
      </w:r>
      <w:r>
        <w:rPr>
          <w:rFonts w:ascii="Arial" w:cs="Arial" w:eastAsia="Arial" w:hAnsi="Arial"/>
          <w:sz w:val="16"/>
          <w:szCs w:val="16"/>
          <w:u w:val="single" w:color="auto"/>
          <w:color w:val="0000FF"/>
          <w:strike w:val="1"/>
        </w:rPr>
        <w:t>be converted to bear interest by</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reference to the Base</w:t>
      </w:r>
      <w:r>
        <w:rPr>
          <w:rFonts w:ascii="Arial" w:cs="Arial" w:eastAsia="Arial" w:hAnsi="Arial"/>
          <w:sz w:val="16"/>
          <w:szCs w:val="16"/>
          <w:color w:val="0000FF"/>
          <w:strike w:val="1"/>
        </w:rPr>
        <w:t xml:space="preserve"> </w:t>
      </w:r>
      <w:r>
        <w:rPr>
          <w:rFonts w:ascii="Arial" w:cs="Arial" w:eastAsia="Arial" w:hAnsi="Arial"/>
          <w:sz w:val="16"/>
          <w:szCs w:val="16"/>
          <w:color w:val="000000"/>
          <w:strike w:val="1"/>
        </w:rPr>
        <w:t xml:space="preserve">Rate </w:t>
      </w:r>
      <w:r>
        <w:rPr>
          <w:rFonts w:ascii="Arial" w:cs="Arial" w:eastAsia="Arial" w:hAnsi="Arial"/>
          <w:sz w:val="16"/>
          <w:szCs w:val="16"/>
          <w:color w:val="FF0000"/>
          <w:strike w:val="1"/>
        </w:rPr>
        <w:t>until such time as an amendment reflecting a replacement index and related matters as described above is implemented.</w:t>
      </w:r>
      <w:r>
        <w:rPr>
          <w:rFonts w:ascii="Arial" w:cs="Arial" w:eastAsia="Arial" w:hAnsi="Arial"/>
          <w:sz w:val="16"/>
          <w:szCs w:val="16"/>
          <w:color w:val="000000"/>
          <w:strike w:val="1"/>
        </w:rPr>
        <w:t xml:space="preserve"> </w:t>
      </w:r>
      <w:r>
        <w:rPr>
          <w:rFonts w:ascii="Arial" w:cs="Arial" w:eastAsia="Arial" w:hAnsi="Arial"/>
          <w:sz w:val="16"/>
          <w:szCs w:val="16"/>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-1051560</wp:posOffset>
            </wp:positionV>
            <wp:extent cx="466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466725" cy="8255"/>
                    </a:xfrm>
                    <a:prstGeom prst="rect">
                      <a:avLst/>
                    </a:prstGeom>
                    <a:noFill/>
                  </pic:spPr>
                </pic:pic>
              </a:graphicData>
            </a:graphic>
          </wp:anchor>
        </w:drawing>
        <w:drawing>
          <wp:anchor simplePos="0" relativeHeight="251657728" behindDoc="1" locked="0" layoutInCell="0" allowOverlap="1">
            <wp:simplePos x="0" y="0"/>
            <wp:positionH relativeFrom="column">
              <wp:posOffset>6806565</wp:posOffset>
            </wp:positionH>
            <wp:positionV relativeFrom="paragraph">
              <wp:posOffset>-1051560</wp:posOffset>
            </wp:positionV>
            <wp:extent cx="185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-1094740</wp:posOffset>
            </wp:positionV>
            <wp:extent cx="135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1355725" cy="8890"/>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-906145</wp:posOffset>
            </wp:positionV>
            <wp:extent cx="1066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1066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-906145</wp:posOffset>
            </wp:positionV>
            <wp:extent cx="1193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11938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-906145</wp:posOffset>
            </wp:positionV>
            <wp:extent cx="93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-906145</wp:posOffset>
            </wp:positionV>
            <wp:extent cx="134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134620" cy="889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-760095</wp:posOffset>
            </wp:positionV>
            <wp:extent cx="136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-760095</wp:posOffset>
            </wp:positionV>
            <wp:extent cx="920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-177165</wp:posOffset>
            </wp:positionV>
            <wp:extent cx="285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-74295</wp:posOffset>
            </wp:positionV>
            <wp:extent cx="285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1300" w:hanging="428"/>
        <w:spacing w:after="0"/>
        <w:tabs>
          <w:tab w:leader="none" w:pos="1300" w:val="left"/>
        </w:tabs>
        <w:numPr>
          <w:ilvl w:val="0"/>
          <w:numId w:val="63"/>
        </w:numPr>
        <w:rPr>
          <w:rFonts w:ascii="Arial" w:cs="Arial" w:eastAsia="Arial" w:hAnsi="Arial"/>
          <w:sz w:val="18"/>
          <w:szCs w:val="18"/>
          <w:color w:val="FF0000"/>
          <w:strike w:val="1"/>
        </w:rPr>
      </w:pPr>
      <w:r>
        <w:rPr>
          <w:rFonts w:ascii="Arial" w:cs="Arial" w:eastAsia="Arial" w:hAnsi="Arial"/>
          <w:sz w:val="18"/>
          <w:szCs w:val="18"/>
          <w:color w:val="FF0000"/>
          <w:strike w:val="1"/>
        </w:rPr>
        <w:t>Notwithstanding</w:t>
      </w:r>
    </w:p>
    <w:p>
      <w:pPr>
        <w:spacing w:after="0" w:line="239" w:lineRule="exact"/>
        <w:rPr>
          <w:sz w:val="20"/>
          <w:szCs w:val="20"/>
          <w:color w:val="auto"/>
        </w:rPr>
      </w:pPr>
    </w:p>
    <w:p>
      <w:pPr>
        <w:jc w:val="both"/>
        <w:ind w:firstLine="872"/>
        <w:spacing w:after="0" w:line="272" w:lineRule="auto"/>
        <w:tabs>
          <w:tab w:leader="none" w:pos="1721" w:val="left"/>
        </w:tabs>
        <w:numPr>
          <w:ilvl w:val="0"/>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Benchmark Replacement Conforming Changes. In connection with the implementation of a Benchmark Replacement, the Administrative Agent will have the right to make Benchmark Replacement Conforming Changes from time to time and, notwithstanding</w:t>
      </w:r>
      <w:r>
        <w:rPr>
          <w:rFonts w:ascii="Arial" w:cs="Arial" w:eastAsia="Arial" w:hAnsi="Arial"/>
          <w:sz w:val="18"/>
          <w:szCs w:val="18"/>
          <w:color w:val="0000FF"/>
        </w:rPr>
        <w:t xml:space="preserve"> </w:t>
      </w:r>
      <w:r>
        <w:rPr>
          <w:rFonts w:ascii="Arial" w:cs="Arial" w:eastAsia="Arial" w:hAnsi="Arial"/>
          <w:sz w:val="18"/>
          <w:szCs w:val="18"/>
          <w:color w:val="000000"/>
        </w:rPr>
        <w:t>anything to the</w:t>
      </w:r>
      <w:r>
        <w:rPr>
          <w:rFonts w:ascii="Arial" w:cs="Arial" w:eastAsia="Arial" w:hAnsi="Arial"/>
          <w:sz w:val="18"/>
          <w:szCs w:val="18"/>
          <w:color w:val="0000FF"/>
        </w:rPr>
        <w:t xml:space="preserve"> </w:t>
      </w:r>
      <w:r>
        <w:rPr>
          <w:rFonts w:ascii="Arial" w:cs="Arial" w:eastAsia="Arial" w:hAnsi="Arial"/>
          <w:sz w:val="18"/>
          <w:szCs w:val="18"/>
          <w:color w:val="000000"/>
        </w:rPr>
        <w:t xml:space="preserve">contrary </w:t>
      </w:r>
      <w:r>
        <w:rPr>
          <w:rFonts w:ascii="Arial" w:cs="Arial" w:eastAsia="Arial" w:hAnsi="Arial"/>
          <w:sz w:val="18"/>
          <w:szCs w:val="18"/>
          <w:color w:val="FF0000"/>
          <w:strike w:val="1"/>
        </w:rPr>
        <w:t>con</w:t>
      </w:r>
      <w:r>
        <w:rPr>
          <w:rFonts w:ascii="Arial" w:cs="Arial" w:eastAsia="Arial" w:hAnsi="Arial"/>
          <w:sz w:val="18"/>
          <w:szCs w:val="18"/>
          <w:u w:val="single" w:color="auto"/>
          <w:color w:val="FF0000"/>
          <w:strike w:val="1"/>
        </w:rPr>
        <w:t>t</w:t>
      </w:r>
      <w:r>
        <w:rPr>
          <w:rFonts w:ascii="Arial" w:cs="Arial" w:eastAsia="Arial" w:hAnsi="Arial"/>
          <w:sz w:val="18"/>
          <w:szCs w:val="18"/>
          <w:color w:val="FF0000"/>
          <w:strike w:val="1"/>
        </w:rPr>
        <w:t>a</w:t>
      </w:r>
      <w:r>
        <w:rPr>
          <w:rFonts w:ascii="Arial" w:cs="Arial" w:eastAsia="Arial" w:hAnsi="Arial"/>
          <w:sz w:val="18"/>
          <w:szCs w:val="18"/>
          <w:u w:val="single" w:color="auto"/>
          <w:color w:val="FF0000"/>
          <w:strike w:val="1"/>
        </w:rPr>
        <w:t>i</w:t>
      </w:r>
      <w:r>
        <w:rPr>
          <w:rFonts w:ascii="Arial" w:cs="Arial" w:eastAsia="Arial" w:hAnsi="Arial"/>
          <w:sz w:val="18"/>
          <w:szCs w:val="18"/>
          <w:color w:val="FF0000"/>
          <w:strike w:val="1"/>
        </w:rPr>
        <w:t>ne</w:t>
      </w:r>
      <w:r>
        <w:rPr>
          <w:rFonts w:ascii="Arial" w:cs="Arial" w:eastAsia="Arial" w:hAnsi="Arial"/>
          <w:sz w:val="18"/>
          <w:szCs w:val="18"/>
          <w:u w:val="single" w:color="auto"/>
          <w:color w:val="FF0000"/>
          <w:strike w:val="1"/>
        </w:rPr>
        <w:t>d h</w:t>
      </w:r>
      <w:r>
        <w:rPr>
          <w:rFonts w:ascii="Arial" w:cs="Arial" w:eastAsia="Arial" w:hAnsi="Arial"/>
          <w:sz w:val="18"/>
          <w:szCs w:val="18"/>
          <w:color w:val="FF0000"/>
          <w:strike w:val="1"/>
        </w:rPr>
        <w:t>ere</w:t>
      </w:r>
      <w:r>
        <w:rPr>
          <w:rFonts w:ascii="Arial" w:cs="Arial" w:eastAsia="Arial" w:hAnsi="Arial"/>
          <w:sz w:val="18"/>
          <w:szCs w:val="18"/>
          <w:u w:val="single" w:color="auto"/>
          <w:color w:val="FF0000"/>
          <w:strike w:val="1"/>
        </w:rPr>
        <w:t>i</w:t>
      </w:r>
      <w:r>
        <w:rPr>
          <w:rFonts w:ascii="Arial" w:cs="Arial" w:eastAsia="Arial" w:hAnsi="Arial"/>
          <w:sz w:val="18"/>
          <w:szCs w:val="18"/>
          <w:color w:val="FF0000"/>
          <w:strike w:val="1"/>
        </w:rPr>
        <w:t>n, if a</w:t>
      </w:r>
      <w:r>
        <w:rPr>
          <w:rFonts w:ascii="Arial" w:cs="Arial" w:eastAsia="Arial" w:hAnsi="Arial"/>
          <w:sz w:val="18"/>
          <w:szCs w:val="18"/>
          <w:u w:val="single" w:color="auto"/>
          <w:color w:val="FF0000"/>
          <w:strike w:val="1"/>
        </w:rPr>
        <w:t>t</w:t>
      </w:r>
      <w:r>
        <w:rPr>
          <w:rFonts w:ascii="Arial" w:cs="Arial" w:eastAsia="Arial" w:hAnsi="Arial"/>
          <w:sz w:val="18"/>
          <w:szCs w:val="18"/>
          <w:color w:val="000000"/>
        </w:rPr>
        <w:t xml:space="preserve"> </w:t>
      </w:r>
      <w:r>
        <w:rPr>
          <w:rFonts w:ascii="Arial" w:cs="Arial" w:eastAsia="Arial" w:hAnsi="Arial"/>
          <w:sz w:val="18"/>
          <w:szCs w:val="18"/>
          <w:color w:val="FF0000"/>
          <w:strike w:val="1"/>
        </w:rPr>
        <w:t>an</w:t>
      </w:r>
      <w:r>
        <w:rPr>
          <w:rFonts w:ascii="Arial" w:cs="Arial" w:eastAsia="Arial" w:hAnsi="Arial"/>
          <w:sz w:val="18"/>
          <w:szCs w:val="18"/>
          <w:u w:val="single" w:color="auto"/>
          <w:color w:val="FF0000"/>
          <w:strike w:val="1"/>
        </w:rPr>
        <w:t>y</w:t>
      </w:r>
      <w:r>
        <w:rPr>
          <w:rFonts w:ascii="Arial" w:cs="Arial" w:eastAsia="Arial" w:hAnsi="Arial"/>
          <w:sz w:val="18"/>
          <w:szCs w:val="18"/>
          <w:color w:val="000000"/>
        </w:rPr>
        <w:t xml:space="preserve"> </w:t>
      </w:r>
      <w:r>
        <w:rPr>
          <w:rFonts w:ascii="Arial" w:cs="Arial" w:eastAsia="Arial" w:hAnsi="Arial"/>
          <w:sz w:val="18"/>
          <w:szCs w:val="18"/>
          <w:color w:val="FF0000"/>
          <w:strike w:val="1"/>
        </w:rPr>
        <w:t>time the re</w:t>
      </w:r>
      <w:r>
        <w:rPr>
          <w:rFonts w:ascii="Arial" w:cs="Arial" w:eastAsia="Arial" w:hAnsi="Arial"/>
          <w:sz w:val="18"/>
          <w:szCs w:val="18"/>
          <w:u w:val="single" w:color="auto"/>
          <w:color w:val="FF0000"/>
          <w:strike w:val="1"/>
        </w:rPr>
        <w:t>pl</w:t>
      </w:r>
      <w:r>
        <w:rPr>
          <w:rFonts w:ascii="Arial" w:cs="Arial" w:eastAsia="Arial" w:hAnsi="Arial"/>
          <w:sz w:val="18"/>
          <w:szCs w:val="18"/>
          <w:color w:val="FF0000"/>
          <w:strike w:val="1"/>
        </w:rPr>
        <w:t>acemen</w:t>
      </w:r>
      <w:r>
        <w:rPr>
          <w:rFonts w:ascii="Arial" w:cs="Arial" w:eastAsia="Arial" w:hAnsi="Arial"/>
          <w:sz w:val="18"/>
          <w:szCs w:val="18"/>
          <w:u w:val="single" w:color="auto"/>
          <w:color w:val="FF0000"/>
          <w:strike w:val="1"/>
        </w:rPr>
        <w:t>t i</w:t>
      </w:r>
      <w:r>
        <w:rPr>
          <w:rFonts w:ascii="Arial" w:cs="Arial" w:eastAsia="Arial" w:hAnsi="Arial"/>
          <w:sz w:val="18"/>
          <w:szCs w:val="18"/>
          <w:color w:val="FF0000"/>
          <w:strike w:val="1"/>
        </w:rPr>
        <w:t>n</w:t>
      </w:r>
      <w:r>
        <w:rPr>
          <w:rFonts w:ascii="Arial" w:cs="Arial" w:eastAsia="Arial" w:hAnsi="Arial"/>
          <w:sz w:val="18"/>
          <w:szCs w:val="18"/>
          <w:u w:val="single" w:color="auto"/>
          <w:color w:val="FF0000"/>
          <w:strike w:val="1"/>
        </w:rPr>
        <w:t>d</w:t>
      </w:r>
      <w:r>
        <w:rPr>
          <w:rFonts w:ascii="Arial" w:cs="Arial" w:eastAsia="Arial" w:hAnsi="Arial"/>
          <w:sz w:val="18"/>
          <w:szCs w:val="18"/>
          <w:color w:val="FF0000"/>
          <w:strike w:val="1"/>
        </w:rPr>
        <w:t>ex is less</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th</w:t>
      </w:r>
      <w:r>
        <w:rPr>
          <w:rFonts w:ascii="Arial" w:cs="Arial" w:eastAsia="Arial" w:hAnsi="Arial"/>
          <w:sz w:val="18"/>
          <w:szCs w:val="18"/>
          <w:color w:val="FF0000"/>
          <w:strike w:val="1"/>
        </w:rPr>
        <w:t>an zero, a</w:t>
      </w:r>
      <w:r>
        <w:rPr>
          <w:rFonts w:ascii="Arial" w:cs="Arial" w:eastAsia="Arial" w:hAnsi="Arial"/>
          <w:sz w:val="18"/>
          <w:szCs w:val="18"/>
          <w:u w:val="single" w:color="auto"/>
          <w:color w:val="FF0000"/>
          <w:strike w:val="1"/>
        </w:rPr>
        <w:t>t</w:t>
      </w:r>
      <w:r>
        <w:rPr>
          <w:rFonts w:ascii="Arial" w:cs="Arial" w:eastAsia="Arial" w:hAnsi="Arial"/>
          <w:sz w:val="18"/>
          <w:szCs w:val="18"/>
          <w:color w:val="000000"/>
        </w:rPr>
        <w:t xml:space="preserve"> </w:t>
      </w:r>
      <w:r>
        <w:rPr>
          <w:rFonts w:ascii="Arial" w:cs="Arial" w:eastAsia="Arial" w:hAnsi="Arial"/>
          <w:sz w:val="18"/>
          <w:szCs w:val="18"/>
          <w:color w:val="FF0000"/>
          <w:strike w:val="1"/>
        </w:rPr>
        <w:t>suc</w:t>
      </w:r>
      <w:r>
        <w:rPr>
          <w:rFonts w:ascii="Arial" w:cs="Arial" w:eastAsia="Arial" w:hAnsi="Arial"/>
          <w:sz w:val="18"/>
          <w:szCs w:val="18"/>
          <w:u w:val="single" w:color="auto"/>
          <w:color w:val="FF0000"/>
          <w:strike w:val="1"/>
        </w:rPr>
        <w:t>h</w:t>
      </w:r>
      <w:r>
        <w:rPr>
          <w:rFonts w:ascii="Arial" w:cs="Arial" w:eastAsia="Arial" w:hAnsi="Arial"/>
          <w:sz w:val="18"/>
          <w:szCs w:val="18"/>
          <w:color w:val="000000"/>
        </w:rPr>
        <w:t xml:space="preserve"> </w:t>
      </w:r>
      <w:r>
        <w:rPr>
          <w:rFonts w:ascii="Arial" w:cs="Arial" w:eastAsia="Arial" w:hAnsi="Arial"/>
          <w:sz w:val="18"/>
          <w:szCs w:val="18"/>
          <w:color w:val="FF0000"/>
          <w:strike w:val="1"/>
        </w:rPr>
        <w:t>times, suc</w:t>
      </w:r>
      <w:r>
        <w:rPr>
          <w:rFonts w:ascii="Arial" w:cs="Arial" w:eastAsia="Arial" w:hAnsi="Arial"/>
          <w:sz w:val="18"/>
          <w:szCs w:val="18"/>
          <w:u w:val="single" w:color="auto"/>
          <w:color w:val="FF0000"/>
          <w:strike w:val="1"/>
        </w:rPr>
        <w:t>h i</w:t>
      </w:r>
      <w:r>
        <w:rPr>
          <w:rFonts w:ascii="Arial" w:cs="Arial" w:eastAsia="Arial" w:hAnsi="Arial"/>
          <w:sz w:val="18"/>
          <w:szCs w:val="18"/>
          <w:color w:val="FF0000"/>
          <w:strike w:val="1"/>
        </w:rPr>
        <w:t>n</w:t>
      </w:r>
      <w:r>
        <w:rPr>
          <w:rFonts w:ascii="Arial" w:cs="Arial" w:eastAsia="Arial" w:hAnsi="Arial"/>
          <w:sz w:val="18"/>
          <w:szCs w:val="18"/>
          <w:u w:val="single" w:color="auto"/>
          <w:color w:val="FF0000"/>
          <w:strike w:val="1"/>
        </w:rPr>
        <w:t>d</w:t>
      </w:r>
      <w:r>
        <w:rPr>
          <w:rFonts w:ascii="Arial" w:cs="Arial" w:eastAsia="Arial" w:hAnsi="Arial"/>
          <w:sz w:val="18"/>
          <w:szCs w:val="18"/>
          <w:color w:val="FF0000"/>
          <w:strike w:val="1"/>
        </w:rPr>
        <w:t>ex s</w:t>
      </w:r>
      <w:r>
        <w:rPr>
          <w:rFonts w:ascii="Arial" w:cs="Arial" w:eastAsia="Arial" w:hAnsi="Arial"/>
          <w:sz w:val="18"/>
          <w:szCs w:val="18"/>
          <w:u w:val="single" w:color="auto"/>
          <w:color w:val="FF0000"/>
          <w:strike w:val="1"/>
        </w:rPr>
        <w:t>h</w:t>
      </w:r>
      <w:r>
        <w:rPr>
          <w:rFonts w:ascii="Arial" w:cs="Arial" w:eastAsia="Arial" w:hAnsi="Arial"/>
          <w:sz w:val="18"/>
          <w:szCs w:val="18"/>
          <w:color w:val="FF0000"/>
          <w:strike w:val="1"/>
        </w:rPr>
        <w:t>a</w:t>
      </w:r>
      <w:r>
        <w:rPr>
          <w:rFonts w:ascii="Arial" w:cs="Arial" w:eastAsia="Arial" w:hAnsi="Arial"/>
          <w:sz w:val="18"/>
          <w:szCs w:val="18"/>
          <w:u w:val="single" w:color="auto"/>
          <w:color w:val="FF0000"/>
          <w:strike w:val="1"/>
        </w:rPr>
        <w:t>ll b</w:t>
      </w:r>
      <w:r>
        <w:rPr>
          <w:rFonts w:ascii="Arial" w:cs="Arial" w:eastAsia="Arial" w:hAnsi="Arial"/>
          <w:sz w:val="18"/>
          <w:szCs w:val="18"/>
          <w:color w:val="FF0000"/>
          <w:strike w:val="1"/>
        </w:rPr>
        <w:t>e</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d</w:t>
      </w:r>
      <w:r>
        <w:rPr>
          <w:rFonts w:ascii="Arial" w:cs="Arial" w:eastAsia="Arial" w:hAnsi="Arial"/>
          <w:sz w:val="18"/>
          <w:szCs w:val="18"/>
          <w:color w:val="FF0000"/>
          <w:strike w:val="1"/>
        </w:rPr>
        <w:t>eeme</w:t>
      </w:r>
      <w:r>
        <w:rPr>
          <w:rFonts w:ascii="Arial" w:cs="Arial" w:eastAsia="Arial" w:hAnsi="Arial"/>
          <w:sz w:val="18"/>
          <w:szCs w:val="18"/>
          <w:u w:val="single" w:color="auto"/>
          <w:color w:val="FF0000"/>
          <w:strike w:val="1"/>
        </w:rPr>
        <w:t>d t</w:t>
      </w:r>
      <w:r>
        <w:rPr>
          <w:rFonts w:ascii="Arial" w:cs="Arial" w:eastAsia="Arial" w:hAnsi="Arial"/>
          <w:sz w:val="18"/>
          <w:szCs w:val="18"/>
          <w:color w:val="FF0000"/>
          <w:strike w:val="1"/>
        </w:rPr>
        <w:t>o be zero for</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p</w:t>
      </w:r>
      <w:r>
        <w:rPr>
          <w:rFonts w:ascii="Arial" w:cs="Arial" w:eastAsia="Arial" w:hAnsi="Arial"/>
          <w:sz w:val="18"/>
          <w:szCs w:val="18"/>
          <w:color w:val="FF0000"/>
          <w:strike w:val="1"/>
        </w:rPr>
        <w:t>ur</w:t>
      </w:r>
      <w:r>
        <w:rPr>
          <w:rFonts w:ascii="Arial" w:cs="Arial" w:eastAsia="Arial" w:hAnsi="Arial"/>
          <w:sz w:val="18"/>
          <w:szCs w:val="18"/>
          <w:u w:val="single" w:color="auto"/>
          <w:color w:val="FF0000"/>
          <w:strike w:val="1"/>
        </w:rPr>
        <w:t>p</w:t>
      </w:r>
      <w:r>
        <w:rPr>
          <w:rFonts w:ascii="Arial" w:cs="Arial" w:eastAsia="Arial" w:hAnsi="Arial"/>
          <w:sz w:val="18"/>
          <w:szCs w:val="18"/>
          <w:color w:val="FF0000"/>
          <w:strike w:val="1"/>
        </w:rPr>
        <w:t>oses o</w:t>
      </w:r>
      <w:r>
        <w:rPr>
          <w:rFonts w:ascii="Arial" w:cs="Arial" w:eastAsia="Arial" w:hAnsi="Arial"/>
          <w:sz w:val="18"/>
          <w:szCs w:val="18"/>
          <w:u w:val="single" w:color="auto"/>
          <w:color w:val="FF0000"/>
          <w:strike w:val="1"/>
        </w:rPr>
        <w:t>f thi</w:t>
      </w:r>
      <w:r>
        <w:rPr>
          <w:rFonts w:ascii="Arial" w:cs="Arial" w:eastAsia="Arial" w:hAnsi="Arial"/>
          <w:sz w:val="18"/>
          <w:szCs w:val="18"/>
          <w:color w:val="FF0000"/>
          <w:strike w:val="1"/>
        </w:rPr>
        <w:t>s</w:t>
      </w:r>
      <w:r>
        <w:rPr>
          <w:rFonts w:ascii="Arial" w:cs="Arial" w:eastAsia="Arial" w:hAnsi="Arial"/>
          <w:sz w:val="18"/>
          <w:szCs w:val="18"/>
          <w:color w:val="000000"/>
        </w:rPr>
        <w:t xml:space="preserve"> </w:t>
      </w:r>
      <w:r>
        <w:rPr>
          <w:rFonts w:ascii="Arial" w:cs="Arial" w:eastAsia="Arial" w:hAnsi="Arial"/>
          <w:sz w:val="18"/>
          <w:szCs w:val="18"/>
          <w:u w:val="single" w:color="auto"/>
          <w:color w:val="FF0000"/>
        </w:rPr>
        <w:t>Ag</w:t>
      </w:r>
      <w:r>
        <w:rPr>
          <w:rFonts w:ascii="Arial" w:cs="Arial" w:eastAsia="Arial" w:hAnsi="Arial"/>
          <w:sz w:val="18"/>
          <w:szCs w:val="18"/>
          <w:color w:val="FF0000"/>
        </w:rPr>
        <w:t>reemen</w:t>
      </w:r>
      <w:r>
        <w:rPr>
          <w:rFonts w:ascii="Arial" w:cs="Arial" w:eastAsia="Arial" w:hAnsi="Arial"/>
          <w:sz w:val="18"/>
          <w:szCs w:val="18"/>
          <w:u w:val="single" w:color="auto"/>
          <w:color w:val="FF0000"/>
        </w:rPr>
        <w:t>t</w:t>
      </w:r>
      <w:r>
        <w:rPr>
          <w:rFonts w:ascii="Arial" w:cs="Arial" w:eastAsia="Arial" w:hAnsi="Arial"/>
          <w:sz w:val="18"/>
          <w:szCs w:val="18"/>
          <w:color w:val="FF0000"/>
        </w:rPr>
        <w:t>.</w:t>
      </w:r>
      <w:r>
        <w:rPr>
          <w:rFonts w:ascii="Arial" w:cs="Arial" w:eastAsia="Arial" w:hAnsi="Arial"/>
          <w:sz w:val="18"/>
          <w:szCs w:val="18"/>
          <w:u w:val="single" w:color="auto"/>
          <w:color w:val="FF0000"/>
        </w:rPr>
        <w:t>herein</w:t>
      </w:r>
      <w:r>
        <w:rPr>
          <w:rFonts w:ascii="Arial" w:cs="Arial" w:eastAsia="Arial" w:hAnsi="Arial"/>
          <w:sz w:val="18"/>
          <w:szCs w:val="18"/>
          <w:color w:val="FF0000"/>
        </w:rPr>
        <w:t xml:space="preserve"> </w:t>
      </w:r>
      <w:r>
        <w:rPr>
          <w:rFonts w:ascii="Arial" w:cs="Arial" w:eastAsia="Arial" w:hAnsi="Arial"/>
          <w:sz w:val="18"/>
          <w:szCs w:val="18"/>
          <w:color w:val="0000FF"/>
        </w:rPr>
        <w:t>or in any other Transaction Document, any amendments implementing such Benchmark Replacement Conforming Changes will</w:t>
      </w:r>
      <w:r>
        <w:rPr>
          <w:rFonts w:ascii="Arial" w:cs="Arial" w:eastAsia="Arial" w:hAnsi="Arial"/>
          <w:sz w:val="18"/>
          <w:szCs w:val="18"/>
          <w:color w:val="FF0000"/>
        </w:rPr>
        <w:t xml:space="preserve"> </w:t>
      </w:r>
      <w:r>
        <w:rPr>
          <w:rFonts w:ascii="Arial" w:cs="Arial" w:eastAsia="Arial" w:hAnsi="Arial"/>
          <w:sz w:val="18"/>
          <w:szCs w:val="18"/>
          <w:u w:val="single" w:color="auto"/>
          <w:color w:val="00C000"/>
        </w:rPr>
        <w:t>become effective without any further action or consent of any other party to this Agreement.</w:t>
      </w:r>
    </w:p>
    <w:p>
      <w:pPr>
        <w:spacing w:after="0" w:line="190" w:lineRule="exact"/>
        <w:rPr>
          <w:rFonts w:ascii="Arial" w:cs="Arial" w:eastAsia="Arial" w:hAnsi="Arial"/>
          <w:sz w:val="18"/>
          <w:szCs w:val="18"/>
          <w:u w:val="single" w:color="auto"/>
          <w:color w:val="0000FF"/>
        </w:rPr>
      </w:pPr>
    </w:p>
    <w:p>
      <w:pPr>
        <w:jc w:val="both"/>
        <w:ind w:firstLine="872"/>
        <w:spacing w:after="0" w:line="270" w:lineRule="auto"/>
        <w:tabs>
          <w:tab w:leader="none" w:pos="1711" w:val="left"/>
        </w:tabs>
        <w:numPr>
          <w:ilvl w:val="0"/>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Notices; Standards for Decisions and Determinations.</w:t>
      </w:r>
      <w:r>
        <w:rPr>
          <w:rFonts w:ascii="Arial" w:cs="Arial" w:eastAsia="Arial" w:hAnsi="Arial"/>
          <w:sz w:val="18"/>
          <w:szCs w:val="18"/>
          <w:color w:val="0000FF"/>
        </w:rPr>
        <w:t xml:space="preserve"> </w:t>
      </w:r>
      <w:r>
        <w:rPr>
          <w:rFonts w:ascii="Arial" w:cs="Arial" w:eastAsia="Arial" w:hAnsi="Arial"/>
          <w:sz w:val="18"/>
          <w:szCs w:val="18"/>
          <w:color w:val="00C000"/>
        </w:rPr>
        <w:t>The Administrative Agent</w:t>
      </w:r>
      <w:r>
        <w:rPr>
          <w:rFonts w:ascii="Arial" w:cs="Arial" w:eastAsia="Arial" w:hAnsi="Arial"/>
          <w:sz w:val="18"/>
          <w:szCs w:val="18"/>
          <w:color w:val="0000FF"/>
        </w:rPr>
        <w:t xml:space="preserve"> will promptly notify the Borrowers and the </w:t>
      </w:r>
      <w:r>
        <w:rPr>
          <w:rFonts w:ascii="Arial" w:cs="Arial" w:eastAsia="Arial" w:hAnsi="Arial"/>
          <w:sz w:val="18"/>
          <w:szCs w:val="18"/>
          <w:u w:val="single" w:color="auto"/>
          <w:color w:val="0000FF"/>
        </w:rPr>
        <w:t>Lenders of (i) the implementation of any Benchmark Replacement, (ii) the effectiveness of any Benchmark Replacement Conforming Changes, (iii) the commencement or conclusion of any Benchmark Unavailability Period, and (iv) any occurrence of an Early Opt-in Election. Any determination, decision or election that may be made by the Administrative Agent or the Lenders pursuant to this Section 5.06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-1488440</wp:posOffset>
            </wp:positionV>
            <wp:extent cx="135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-1488440</wp:posOffset>
            </wp:positionV>
            <wp:extent cx="1174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-1488440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-1488440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5803900</wp:posOffset>
            </wp:positionH>
            <wp:positionV relativeFrom="paragraph">
              <wp:posOffset>-1488440</wp:posOffset>
            </wp:positionV>
            <wp:extent cx="93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6182360</wp:posOffset>
            </wp:positionH>
            <wp:positionV relativeFrom="paragraph">
              <wp:posOffset>-1488440</wp:posOffset>
            </wp:positionV>
            <wp:extent cx="749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-1385570</wp:posOffset>
            </wp:positionV>
            <wp:extent cx="8210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821055"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-1342390</wp:posOffset>
            </wp:positionV>
            <wp:extent cx="6308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308725" cy="825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-913765</wp:posOffset>
            </wp:positionV>
            <wp:extent cx="35020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EFFECTIVENESS AND CREDIT EXTENSIONS</w:t>
      </w:r>
    </w:p>
    <w:p>
      <w:pPr>
        <w:spacing w:after="0" w:line="24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Conditions Precedent to Effectiveness and the Initial Credit Extension</w:t>
      </w:r>
      <w:r>
        <w:rPr>
          <w:rFonts w:ascii="Arial" w:cs="Arial" w:eastAsia="Arial" w:hAnsi="Arial"/>
          <w:sz w:val="18"/>
          <w:szCs w:val="18"/>
          <w:color w:val="auto"/>
        </w:rPr>
        <w:t xml:space="preserve">. This Agreement shall become effective as of the Closing Date when (a) the Administrative Agent shall have received each of the documents, agreements (in fully executed form), opinions of counsel, lien search results, UCC filings, certificates and other deliverables listed on the closing memorandum attached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 in each case, in form and substance reasonably acceptable to the Administrative Agent and (b) all fees and expenses payable by the Borrowers on the Closing Date to the Credit Parties have been paid in full in accordance with the terms of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-623570</wp:posOffset>
            </wp:positionV>
            <wp:extent cx="368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71"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Conditions Precedent to All Credit Extensions</w:t>
      </w:r>
      <w:r>
        <w:rPr>
          <w:rFonts w:ascii="Arial" w:cs="Arial" w:eastAsia="Arial" w:hAnsi="Arial"/>
          <w:sz w:val="18"/>
          <w:szCs w:val="18"/>
          <w:color w:val="auto"/>
        </w:rPr>
        <w:t>. Each Credit Extension hereunder on or after the Closing Date shall be subject to the conditions precedent that:</w:t>
      </w:r>
    </w:p>
    <w:p>
      <w:pPr>
        <w:spacing w:after="0" w:line="170" w:lineRule="exact"/>
        <w:rPr>
          <w:sz w:val="20"/>
          <w:szCs w:val="20"/>
          <w:color w:val="auto"/>
        </w:rPr>
      </w:pPr>
    </w:p>
    <w:p>
      <w:pPr>
        <w:ind w:left="1720" w:hanging="848"/>
        <w:spacing w:after="0"/>
        <w:tabs>
          <w:tab w:leader="none" w:pos="1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Borrower shall have delivered to the Administrative Agent and each Lender a Loan Request for such Loan,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0" w:name="page81"/>
    <w:bookmarkEnd w:id="80"/>
    <w:p>
      <w:pPr>
        <w:ind w:firstLine="872"/>
        <w:spacing w:after="0" w:line="293" w:lineRule="auto"/>
        <w:tabs>
          <w:tab w:leader="none" w:pos="17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Servicer shall have delivered to the Administrative Agent and each Lender all Information Packages and Interim Reports, if any, required to be delivered hereunder;</w:t>
      </w:r>
    </w:p>
    <w:p>
      <w:pPr>
        <w:spacing w:after="0" w:line="169" w:lineRule="exact"/>
        <w:rPr>
          <w:rFonts w:ascii="Arial" w:cs="Arial" w:eastAsia="Arial" w:hAnsi="Arial"/>
          <w:sz w:val="18"/>
          <w:szCs w:val="18"/>
          <w:color w:val="auto"/>
        </w:rPr>
      </w:pPr>
    </w:p>
    <w:p>
      <w:pPr>
        <w:jc w:val="both"/>
        <w:ind w:firstLine="872"/>
        <w:spacing w:after="0" w:line="270" w:lineRule="auto"/>
        <w:tabs>
          <w:tab w:leader="none" w:pos="17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conditions precedent to such Credit Extension specified in </w:t>
      </w:r>
      <w:r>
        <w:rPr>
          <w:rFonts w:ascii="Arial" w:cs="Arial" w:eastAsia="Arial" w:hAnsi="Arial"/>
          <w:sz w:val="18"/>
          <w:szCs w:val="18"/>
          <w:u w:val="single" w:color="auto"/>
          <w:color w:val="auto"/>
        </w:rPr>
        <w:t>Section 2.01(i)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shall be satisfied; and appointed by the Majority Lenders as a successor Administrative Agent and has accepted such appointment. If no successor Administrative Agent shall have been so appointed by the Majority Lenders, within thirty (30) days after the departing Administrative Agent’s giving of notice of resignation, the departing Administrative Agent may, on behalf of the Secured Parties, appoint a successor Administrative Agent as successor Administrative Agent. If no successor Administrative Agent shall have been so appointed by the Majority Lenders within sixty (60) days after the departing Administrative Agent’s giving of notice of resignation, the departing Administrative Agent may, on behalf of the Secured Parties, petition a court of competent jurisdiction to appoint a successor Administrative Agent.</w:t>
      </w:r>
    </w:p>
    <w:p>
      <w:pPr>
        <w:spacing w:after="0" w:line="192" w:lineRule="exact"/>
        <w:rPr>
          <w:rFonts w:ascii="Arial" w:cs="Arial" w:eastAsia="Arial" w:hAnsi="Arial"/>
          <w:sz w:val="18"/>
          <w:szCs w:val="18"/>
          <w:color w:val="auto"/>
        </w:rPr>
      </w:pPr>
    </w:p>
    <w:p>
      <w:pPr>
        <w:ind w:left="1740" w:right="180" w:firstLine="726"/>
        <w:spacing w:after="0" w:line="314" w:lineRule="auto"/>
        <w:tabs>
          <w:tab w:leader="none" w:pos="3329"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Upon such acceptance of its appointment as Administrative Agent hereunder by a successor Administrative Agent, such successor Administrative Agent shall succeed to and become vested with all the rights and duties of the resigning Administrative Agent, and the resigning Administrative Agent shall be discharged from its duties and obligations under the Transaction Documents. After any resigning Administrative Agent’s resignation hereunder, the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shall inure to its benefit as to any actions taken or omitted to be taken by it while it was the Administrative Agent.</w:t>
      </w:r>
    </w:p>
    <w:p>
      <w:pPr>
        <w:spacing w:after="0" w:line="16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Structuring Agent</w:t>
      </w:r>
      <w:r>
        <w:rPr>
          <w:rFonts w:ascii="Arial" w:cs="Arial" w:eastAsia="Arial" w:hAnsi="Arial"/>
          <w:sz w:val="18"/>
          <w:szCs w:val="18"/>
          <w:color w:val="auto"/>
        </w:rPr>
        <w:t xml:space="preserve">. Each of the parties hereto hereby acknowledges and agrees that the Structuring Agent shall not have any right, power, obligation, liability, responsibility or duty under this Agreement, other than the Structuring Agent’s right to receive fees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Each Credit Party acknowledges that it has not relied, and will not rely, on the Structuring Agent in deciding to enter into this Agreement and to take, or omit to take, any action under any Transaction Document.</w:t>
      </w:r>
    </w:p>
    <w:p>
      <w:pPr>
        <w:spacing w:after="0" w:line="185" w:lineRule="exact"/>
        <w:rPr>
          <w:sz w:val="20"/>
          <w:szCs w:val="20"/>
          <w:color w:val="auto"/>
        </w:rPr>
      </w:pPr>
    </w:p>
    <w:p>
      <w:pPr>
        <w:ind w:firstLine="864"/>
        <w:spacing w:after="0" w:line="272" w:lineRule="auto"/>
        <w:rPr>
          <w:sz w:val="20"/>
          <w:szCs w:val="20"/>
          <w:color w:val="auto"/>
        </w:rPr>
      </w:pPr>
      <w:r>
        <w:rPr>
          <w:rFonts w:ascii="Arial" w:cs="Arial" w:eastAsia="Arial" w:hAnsi="Arial"/>
          <w:sz w:val="18"/>
          <w:szCs w:val="18"/>
          <w:u w:val="single" w:color="auto"/>
          <w:color w:val="0000FF"/>
        </w:rPr>
        <w:t>SECTION 11.11. LIBOR Notification. Section 5.06 (“</w:t>
      </w:r>
      <w:r>
        <w:rPr>
          <w:rFonts w:ascii="Arial" w:cs="Arial" w:eastAsia="Arial" w:hAnsi="Arial"/>
          <w:sz w:val="18"/>
          <w:szCs w:val="18"/>
          <w:i w:val="1"/>
          <w:iCs w:val="1"/>
          <w:u w:val="single" w:color="auto"/>
          <w:color w:val="0000FF"/>
        </w:rPr>
        <w:t>Successor Adjusted LIBOR or LMIR</w:t>
      </w:r>
      <w:r>
        <w:rPr>
          <w:rFonts w:ascii="Arial" w:cs="Arial" w:eastAsia="Arial" w:hAnsi="Arial"/>
          <w:sz w:val="18"/>
          <w:szCs w:val="18"/>
          <w:u w:val="single" w:color="auto"/>
          <w:color w:val="0000FF"/>
        </w:rPr>
        <w:t>”) provides a mechanism for determining an alternative rate of interest in the event that Adjusted LIBOR or LMIR is no longer available or in certain other circumstances. The Administrative Agent does not warrant or accept any responsibility for and shall not have any liability with respect to, the administration, submission or any other matter related to the London interbank offered rate or other rates in the definition of Adjusted LIBOR or LMIR or with respect to any alternative or successor rate thereto, or replacement rate therefor.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3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INDEMNIFICATION</w:t>
      </w:r>
    </w:p>
    <w:p>
      <w:pPr>
        <w:spacing w:after="0" w:line="243" w:lineRule="exact"/>
        <w:rPr>
          <w:sz w:val="20"/>
          <w:szCs w:val="20"/>
          <w:color w:val="auto"/>
        </w:rPr>
      </w:pPr>
    </w:p>
    <w:p>
      <w:pPr>
        <w:ind w:left="880"/>
        <w:spacing w:after="0"/>
        <w:tabs>
          <w:tab w:leader="none" w:pos="276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u w:val="single" w:color="auto"/>
          <w:color w:val="auto"/>
        </w:rPr>
        <w:t>Indemnities by the Borrowers</w:t>
      </w:r>
      <w:r>
        <w:rPr>
          <w:rFonts w:ascii="Arial" w:cs="Arial" w:eastAsia="Arial" w:hAnsi="Arial"/>
          <w:sz w:val="16"/>
          <w:szCs w:val="16"/>
          <w:color w:val="auto"/>
        </w:rPr>
        <w:t>.</w:t>
      </w:r>
    </w:p>
    <w:p>
      <w:pPr>
        <w:spacing w:after="0" w:line="239" w:lineRule="exact"/>
        <w:rPr>
          <w:sz w:val="20"/>
          <w:szCs w:val="20"/>
          <w:color w:val="auto"/>
        </w:rPr>
      </w:pPr>
    </w:p>
    <w:p>
      <w:pPr>
        <w:jc w:val="both"/>
        <w:ind w:right="20" w:firstLine="872"/>
        <w:spacing w:after="0" w:line="279" w:lineRule="auto"/>
        <w:tabs>
          <w:tab w:leader="none" w:pos="17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Without limiting any other rights that the Administrative Agent, the CreditParties, the Affected Persons and their respective assigns, officers, directors, agents and employees (each, a “</w:t>
      </w:r>
      <w:r>
        <w:rPr>
          <w:rFonts w:ascii="Arial" w:cs="Arial" w:eastAsia="Arial" w:hAnsi="Arial"/>
          <w:sz w:val="18"/>
          <w:szCs w:val="18"/>
          <w:u w:val="single" w:color="auto"/>
          <w:color w:val="auto"/>
        </w:rPr>
        <w:t>Borrower Indemnified Party</w:t>
      </w:r>
      <w:r>
        <w:rPr>
          <w:rFonts w:ascii="Arial" w:cs="Arial" w:eastAsia="Arial" w:hAnsi="Arial"/>
          <w:sz w:val="18"/>
          <w:szCs w:val="18"/>
          <w:color w:val="auto"/>
        </w:rPr>
        <w:t>”) may have hereunder or under Applicable Law, each Borrower, jointly and severally, hereby agrees to indemnify each Borrower</w:t>
      </w:r>
    </w:p>
    <w:p>
      <w:pPr>
        <w:sectPr>
          <w:pgSz w:w="11900" w:h="16838" w:orient="portrait"/>
          <w:cols w:equalWidth="0" w:num="1">
            <w:col w:w="11240"/>
          </w:cols>
          <w:pgMar w:left="320" w:top="57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Exhibit 10.3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21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THIS SECOND AMENDMENT TO THE PURCHASE AND SALE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May 6, 2020, is entered into among each of the entities listed on the signature pages hereto as a New Originator (each, a “</w:t>
      </w:r>
      <w:r>
        <w:rPr>
          <w:rFonts w:ascii="Arial" w:cs="Arial" w:eastAsia="Arial" w:hAnsi="Arial"/>
          <w:sz w:val="18"/>
          <w:szCs w:val="18"/>
          <w:u w:val="single" w:color="auto"/>
          <w:color w:val="auto"/>
        </w:rPr>
        <w:t>New Originator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Originators</w:t>
      </w:r>
      <w:r>
        <w:rPr>
          <w:rFonts w:ascii="Arial" w:cs="Arial" w:eastAsia="Arial" w:hAnsi="Arial"/>
          <w:sz w:val="18"/>
          <w:szCs w:val="18"/>
          <w:color w:val="auto"/>
        </w:rPr>
        <w:t>”) or as an Existing Originator (each, an “</w:t>
      </w:r>
      <w:r>
        <w:rPr>
          <w:rFonts w:ascii="Arial" w:cs="Arial" w:eastAsia="Arial" w:hAnsi="Arial"/>
          <w:sz w:val="18"/>
          <w:szCs w:val="18"/>
          <w:u w:val="single" w:color="auto"/>
          <w:color w:val="auto"/>
        </w:rPr>
        <w:t>Existing Originator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Existing Originators</w:t>
      </w:r>
      <w:r>
        <w:rPr>
          <w:rFonts w:ascii="Arial" w:cs="Arial" w:eastAsia="Arial" w:hAnsi="Arial"/>
          <w:sz w:val="18"/>
          <w:szCs w:val="18"/>
          <w:color w:val="auto"/>
        </w:rPr>
        <w:t>”), LAMAR MEDIA CORP., a Delaware corporation, as servicer (in such capacity, the “</w:t>
      </w:r>
      <w:r>
        <w:rPr>
          <w:rFonts w:ascii="Arial" w:cs="Arial" w:eastAsia="Arial" w:hAnsi="Arial"/>
          <w:sz w:val="18"/>
          <w:szCs w:val="18"/>
          <w:u w:val="single" w:color="auto"/>
          <w:color w:val="auto"/>
        </w:rPr>
        <w:t>Servicer</w:t>
      </w:r>
      <w:r>
        <w:rPr>
          <w:rFonts w:ascii="Arial" w:cs="Arial" w:eastAsia="Arial" w:hAnsi="Arial"/>
          <w:sz w:val="18"/>
          <w:szCs w:val="18"/>
          <w:color w:val="auto"/>
        </w:rPr>
        <w:t>”) and LAMAR QRS RECEIVABLES, LLC (the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187"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Capitalized terms used but not otherwise defined herein (including such terms used above) have the respective meanings assigned thereto in the Purchase and Sale Agreement described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320" w:firstLine="872"/>
        <w:spacing w:after="0" w:line="308" w:lineRule="auto"/>
        <w:tabs>
          <w:tab w:leader="none" w:pos="168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parties hereto (other than the New Originators) have entered into a Purchase and Sale Agreement, dated as of December 18, 2018 (as amended, restated, supplemented or otherwise modified through the date hereof, the “</w:t>
      </w:r>
      <w:r>
        <w:rPr>
          <w:rFonts w:ascii="Arial" w:cs="Arial" w:eastAsia="Arial" w:hAnsi="Arial"/>
          <w:sz w:val="17"/>
          <w:szCs w:val="17"/>
          <w:u w:val="single" w:color="auto"/>
          <w:color w:val="auto"/>
        </w:rPr>
        <w:t>Purchase and Sale Agreement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420" w:firstLine="872"/>
        <w:spacing w:after="0" w:line="263" w:lineRule="auto"/>
        <w:tabs>
          <w:tab w:leader="none" w:pos="16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Concurrently herewith, the Buyer and Lamar TRS Receivables, LLC, as borrowers, the Servicer and PNC Bank, National Association, as administrative agent and as a lender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are entering into that certain Second Amendment to the Receivables Financing Agreement, dated as of the date hereof (the “</w:t>
      </w:r>
      <w:r>
        <w:rPr>
          <w:rFonts w:ascii="Arial" w:cs="Arial" w:eastAsia="Arial" w:hAnsi="Arial"/>
          <w:sz w:val="18"/>
          <w:szCs w:val="18"/>
          <w:u w:val="single" w:color="auto"/>
          <w:color w:val="auto"/>
        </w:rPr>
        <w:t>RFA Amendment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680" w:hanging="808"/>
        <w:spacing w:after="0"/>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New Originators desire to become Originators under the Purchase and Sale Agreement pursuant to Section 4.3 of the Purchase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Sale Agreement.</w:t>
      </w:r>
    </w:p>
    <w:p>
      <w:pPr>
        <w:spacing w:after="0" w:line="210" w:lineRule="exact"/>
        <w:rPr>
          <w:rFonts w:ascii="Arial" w:cs="Arial" w:eastAsia="Arial" w:hAnsi="Arial"/>
          <w:sz w:val="16"/>
          <w:szCs w:val="16"/>
          <w:color w:val="auto"/>
        </w:rPr>
      </w:pPr>
    </w:p>
    <w:p>
      <w:pPr>
        <w:ind w:right="460" w:firstLine="872"/>
        <w:spacing w:after="0" w:line="277" w:lineRule="auto"/>
        <w:tabs>
          <w:tab w:leader="none" w:pos="168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parties hereto desire to join the New Originators to the Purchase and Sale Agreement and to amend the Purchase and Sale Agreement as hereinafter set forth.</w:t>
      </w:r>
    </w:p>
    <w:p>
      <w:pPr>
        <w:spacing w:after="0" w:line="170"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NOW THEREFORE, with the intention of being legally bound hereby, and in consideration of the mutual undertakings expressed herein, each party to this Amendment hereby agrees as follows:</w:t>
      </w:r>
    </w:p>
    <w:p>
      <w:pPr>
        <w:spacing w:after="0" w:line="17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Amendments to the Purchase and Sale Agreement</w:t>
      </w:r>
      <w:r>
        <w:rPr>
          <w:rFonts w:ascii="Arial" w:cs="Arial" w:eastAsia="Arial" w:hAnsi="Arial"/>
          <w:sz w:val="16"/>
          <w:szCs w:val="16"/>
          <w:color w:val="auto"/>
        </w:rPr>
        <w:t>. The Purchase and Sale Agreement is hereby amended as follows:</w:t>
      </w:r>
    </w:p>
    <w:p>
      <w:pPr>
        <w:spacing w:after="0" w:line="225" w:lineRule="exact"/>
        <w:rPr>
          <w:sz w:val="20"/>
          <w:szCs w:val="20"/>
          <w:color w:val="auto"/>
        </w:rPr>
      </w:pPr>
    </w:p>
    <w:p>
      <w:pPr>
        <w:ind w:right="20" w:firstLine="872"/>
        <w:spacing w:after="0" w:line="277" w:lineRule="auto"/>
        <w:tabs>
          <w:tab w:leader="none" w:pos="1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the New Originators, each reference in the Purchase and Sale Agreement to “the Closing Date” or “the date hereof” where applicable to the New Originators shall be deemed to be a reference to “May 6, 2020”.</w:t>
      </w:r>
    </w:p>
    <w:p>
      <w:pPr>
        <w:spacing w:after="0" w:line="170" w:lineRule="exact"/>
        <w:rPr>
          <w:rFonts w:ascii="Arial" w:cs="Arial" w:eastAsia="Arial" w:hAnsi="Arial"/>
          <w:sz w:val="18"/>
          <w:szCs w:val="18"/>
          <w:color w:val="auto"/>
        </w:rPr>
      </w:pPr>
    </w:p>
    <w:p>
      <w:pPr>
        <w:ind w:firstLine="872"/>
        <w:spacing w:after="0" w:line="277" w:lineRule="auto"/>
        <w:tabs>
          <w:tab w:leader="none" w:pos="17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the New Originators, each reference in the Purchase and Sale Agreement to “the Cut-Off Date” when applicable to the New Originators shall be deemed to be a reference to “March 31, 2020”.</w:t>
      </w:r>
    </w:p>
    <w:p>
      <w:pPr>
        <w:spacing w:after="0" w:line="170" w:lineRule="exact"/>
        <w:rPr>
          <w:rFonts w:ascii="Arial" w:cs="Arial" w:eastAsia="Arial" w:hAnsi="Arial"/>
          <w:sz w:val="18"/>
          <w:szCs w:val="18"/>
          <w:color w:val="auto"/>
        </w:rPr>
      </w:pPr>
    </w:p>
    <w:p>
      <w:pPr>
        <w:ind w:left="1720" w:hanging="848"/>
        <w:spacing w:after="0"/>
        <w:tabs>
          <w:tab w:leader="none" w:pos="1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Purchase and Sale Agreement is hereby replaced in its entirety with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1720" w:hanging="848"/>
        <w:spacing w:after="0"/>
        <w:tabs>
          <w:tab w:leader="none" w:pos="1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to the Purchase and Sale Agreement is hereby replaced in its entirety with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1720" w:hanging="848"/>
        <w:spacing w:after="0"/>
        <w:tabs>
          <w:tab w:leader="none" w:pos="1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to the Purchase and Sale Agreement is hereby replaced in its entirety with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jc w:val="both"/>
        <w:ind w:firstLine="864"/>
        <w:spacing w:after="0" w:line="28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Joinder.</w:t>
      </w:r>
      <w:r>
        <w:rPr>
          <w:rFonts w:ascii="Arial" w:cs="Arial" w:eastAsia="Arial" w:hAnsi="Arial"/>
          <w:sz w:val="16"/>
          <w:szCs w:val="16"/>
          <w:color w:val="auto"/>
        </w:rPr>
        <w:t xml:space="preserve"> Each New Originator hereby absolutely and unconditionally agrees to become a party to the Purchase and Sale Agreement as an “Originator” thereunder and to be bound by all of the provisions thereof, including the provisions of Article IX thereof. For greater certainty, each New Originator hereby acknowledges that pursuant to (i)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Purchase and Sale Agreement, on and after the date hereof it hereby sells all of its right, title and interest in, to and under the Receivables, the Related Rights with respect thereto and all proceeds of the foregoing to the Buyer and (ii)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of the Purchase and Sale Agreement, it has granted and hereby grants a security interest to Buyer in, to and under all of the New Originator’s right, title and interest in and to: (A) the Receivables and the Related Rights now existing and hereafter created by the New Originator transferred or purported to be transferred under the Purchase and Sale Agreement, (B) all monies due or to become due and all amounts received with respect thereto and (C) all books and records of the New Originator to the extent related to any of the foregoing, to secure the New Originator’s obligations under the Purchase and Sale Agreement. Upon effectiveness of this Amendment, each New Originator shall be an “Originator” for all purposes of the Purchase and Sale Agreement and each of the other Transaction Documents. Each New Originator further acknowledges that it has received copies of the Purchase and Sale Agreement and the other Transaction Documents. Each of the parties hereto hereby agrees that the provisions of this Amendment are in all material respects equivalent in form to the “Joinder Agreement” set forth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Purchase and Sale Agreement.</w:t>
      </w:r>
    </w:p>
    <w:p>
      <w:pPr>
        <w:spacing w:after="0" w:line="16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the Originators.</w:t>
      </w:r>
      <w:r>
        <w:rPr>
          <w:rFonts w:ascii="Arial" w:cs="Arial" w:eastAsia="Arial" w:hAnsi="Arial"/>
          <w:sz w:val="18"/>
          <w:szCs w:val="18"/>
          <w:color w:val="auto"/>
        </w:rPr>
        <w:t xml:space="preserve"> Each of the New Originators and the Existing Originators hereby represents and warrants as of the date hereof as follows:</w:t>
      </w:r>
    </w:p>
    <w:p>
      <w:pPr>
        <w:spacing w:after="0" w:line="170" w:lineRule="exact"/>
        <w:rPr>
          <w:sz w:val="20"/>
          <w:szCs w:val="20"/>
          <w:color w:val="auto"/>
        </w:rPr>
      </w:pPr>
    </w:p>
    <w:p>
      <w:pPr>
        <w:jc w:val="both"/>
        <w:ind w:firstLine="872"/>
        <w:spacing w:after="0" w:line="311" w:lineRule="auto"/>
        <w:tabs>
          <w:tab w:leader="none" w:pos="1711" w:val="left"/>
        </w:tabs>
        <w:numPr>
          <w:ilvl w:val="0"/>
          <w:numId w:val="70"/>
        </w:numPr>
        <w:rPr>
          <w:rFonts w:ascii="Arial" w:cs="Arial" w:eastAsia="Arial" w:hAnsi="Arial"/>
          <w:sz w:val="16"/>
          <w:szCs w:val="16"/>
          <w:color w:val="auto"/>
        </w:rPr>
      </w:pPr>
      <w:r>
        <w:rPr>
          <w:rFonts w:ascii="Arial" w:cs="Arial" w:eastAsia="Arial" w:hAnsi="Arial"/>
          <w:sz w:val="16"/>
          <w:szCs w:val="16"/>
          <w:i w:val="1"/>
          <w:iCs w:val="1"/>
          <w:u w:val="single" w:color="auto"/>
          <w:color w:val="auto"/>
        </w:rPr>
        <w:t>Representations and Warranties</w:t>
      </w:r>
      <w:r>
        <w:rPr>
          <w:rFonts w:ascii="Arial" w:cs="Arial" w:eastAsia="Arial" w:hAnsi="Arial"/>
          <w:sz w:val="16"/>
          <w:szCs w:val="16"/>
          <w:color w:val="auto"/>
        </w:rPr>
        <w:t>. The representations and warranties made by it in the Purchase and Sale Agreement and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other Transaction Documents to which it is a party are true and correct in all material respects as of the date hereof unless such representations and warranties by their terms refer to an earlier date, in which case they are true and correct in all material respects as of such earlier date.</w:t>
      </w:r>
    </w:p>
    <w:p>
      <w:pPr>
        <w:spacing w:after="0" w:line="148" w:lineRule="exact"/>
        <w:rPr>
          <w:rFonts w:ascii="Arial" w:cs="Arial" w:eastAsia="Arial" w:hAnsi="Arial"/>
          <w:sz w:val="16"/>
          <w:szCs w:val="16"/>
          <w:color w:val="auto"/>
        </w:rPr>
      </w:pPr>
    </w:p>
    <w:p>
      <w:pPr>
        <w:jc w:val="both"/>
        <w:ind w:firstLine="872"/>
        <w:spacing w:after="0" w:line="291" w:lineRule="auto"/>
        <w:tabs>
          <w:tab w:leader="none" w:pos="1721" w:val="left"/>
        </w:tabs>
        <w:numPr>
          <w:ilvl w:val="0"/>
          <w:numId w:val="70"/>
        </w:numPr>
        <w:rPr>
          <w:rFonts w:ascii="Arial" w:cs="Arial" w:eastAsia="Arial" w:hAnsi="Arial"/>
          <w:sz w:val="16"/>
          <w:szCs w:val="16"/>
          <w:color w:val="auto"/>
        </w:rPr>
      </w:pPr>
      <w:r>
        <w:rPr>
          <w:rFonts w:ascii="Arial" w:cs="Arial" w:eastAsia="Arial" w:hAnsi="Arial"/>
          <w:sz w:val="16"/>
          <w:szCs w:val="16"/>
          <w:i w:val="1"/>
          <w:iCs w:val="1"/>
          <w:u w:val="single" w:color="auto"/>
          <w:color w:val="auto"/>
        </w:rPr>
        <w:t>Enforceability</w:t>
      </w:r>
      <w:r>
        <w:rPr>
          <w:rFonts w:ascii="Arial" w:cs="Arial" w:eastAsia="Arial" w:hAnsi="Arial"/>
          <w:sz w:val="16"/>
          <w:szCs w:val="16"/>
          <w:color w:val="auto"/>
        </w:rPr>
        <w:t>. The execution and delivery by it of this Amendment, and the performance of its obligations under this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RFA Amendment, the Purchase and Sale Agreement (as amended hereby) and the other Transaction Documents to which it is a party are within its organizational powers and have been duly authorized by all necessary action on its part, and this Amendment, the RFA Amendment, the Purchase and Sale Agreement (as amended hereby) and the other Transaction Documents to which it is a party are (assuming due authorization and execution by the other parties thereto) its valid and legally binding obligations, enforceable in accordance with their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166" w:lineRule="exact"/>
        <w:rPr>
          <w:rFonts w:ascii="Arial" w:cs="Arial" w:eastAsia="Arial" w:hAnsi="Arial"/>
          <w:sz w:val="16"/>
          <w:szCs w:val="16"/>
          <w:color w:val="auto"/>
        </w:rPr>
      </w:pPr>
    </w:p>
    <w:p>
      <w:pPr>
        <w:jc w:val="both"/>
        <w:ind w:firstLine="872"/>
        <w:spacing w:after="0" w:line="263" w:lineRule="auto"/>
        <w:tabs>
          <w:tab w:leader="none" w:pos="1711"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No Event of Default</w:t>
      </w:r>
      <w:r>
        <w:rPr>
          <w:rFonts w:ascii="Arial" w:cs="Arial" w:eastAsia="Arial" w:hAnsi="Arial"/>
          <w:sz w:val="18"/>
          <w:szCs w:val="18"/>
          <w:color w:val="auto"/>
        </w:rPr>
        <w:t>. No Purchase and Sale Termination Event, Unmatured Purchase and Sale Termination Event, Event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or Unmatured Event of Default has occurred and is continuing, or would occur as a result of this Amendment, the RFA Amendment or the transactions contemplated hereby or thereby.</w:t>
      </w:r>
    </w:p>
    <w:p>
      <w:pPr>
        <w:spacing w:after="0" w:line="184"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Effect of Amendment; Ratification</w:t>
      </w:r>
      <w:r>
        <w:rPr>
          <w:rFonts w:ascii="Arial" w:cs="Arial" w:eastAsia="Arial" w:hAnsi="Arial"/>
          <w:sz w:val="16"/>
          <w:szCs w:val="16"/>
          <w:color w:val="auto"/>
        </w:rPr>
        <w:t>. All provisions of the Purchase and Sale Agreement and the other Transaction Documents, as expressly amended and modified by this Amendment, shall remain in full force and effect. After this Amendment becomes effective, all references in the Purchase and Sale Agreement (or in any other Transaction Document) to “this Agreement”, “hereof”, “herein” or words of similar effect referring to the Purchase and Sale Agreement shall be deemed to be references to the Purchase and Sale Agreement as amended by this Amendment. This Amendment shall not be deemed, either expressly or impliedly, to waive, amend or supplement any provision of the Purchase and Sale Agreement other than as set forth herein. The Purchase and Sale Agreement, as amended by this Amendment, is hereby ratified and confirmed in all respects.</w:t>
      </w:r>
    </w:p>
    <w:p>
      <w:pPr>
        <w:spacing w:after="0" w:line="164"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Effectiveness</w:t>
      </w:r>
      <w:r>
        <w:rPr>
          <w:rFonts w:ascii="Arial" w:cs="Arial" w:eastAsia="Arial" w:hAnsi="Arial"/>
          <w:sz w:val="17"/>
          <w:szCs w:val="17"/>
          <w:color w:val="auto"/>
        </w:rPr>
        <w:t>. This Amendment shall become effective concurrently with the effectiveness of the RFA Amendment, subject to the condition precedent that the Administrative Agent shall have received counterparts to this Amendment executed by each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jc w:val="both"/>
        <w:ind w:firstLine="864"/>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ind w:left="880"/>
        <w:spacing w:after="0"/>
        <w:tabs>
          <w:tab w:leader="none" w:pos="24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Transaction Document</w:t>
      </w:r>
      <w:r>
        <w:rPr>
          <w:rFonts w:ascii="Arial" w:cs="Arial" w:eastAsia="Arial" w:hAnsi="Arial"/>
          <w:sz w:val="16"/>
          <w:szCs w:val="16"/>
          <w:color w:val="auto"/>
        </w:rPr>
        <w:t>.  This Amendment shall be a Transaction Document for purposes of the Receivables Financing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spacing w:after="0" w:line="16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w:t>
      </w:r>
    </w:p>
    <w:p>
      <w:pPr>
        <w:spacing w:after="0" w:line="225" w:lineRule="exact"/>
        <w:rPr>
          <w:sz w:val="20"/>
          <w:szCs w:val="20"/>
          <w:color w:val="auto"/>
        </w:rPr>
      </w:pPr>
    </w:p>
    <w:p>
      <w:pPr>
        <w:jc w:val="both"/>
        <w:ind w:firstLine="872"/>
        <w:spacing w:after="0" w:line="259" w:lineRule="auto"/>
        <w:tabs>
          <w:tab w:leader="none" w:pos="17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AMENDMENT,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w:t>
      </w:r>
    </w:p>
    <w:p>
      <w:pPr>
        <w:spacing w:after="0" w:line="186" w:lineRule="exact"/>
        <w:rPr>
          <w:rFonts w:ascii="Arial" w:cs="Arial" w:eastAsia="Arial" w:hAnsi="Arial"/>
          <w:sz w:val="18"/>
          <w:szCs w:val="18"/>
          <w:color w:val="auto"/>
        </w:rPr>
      </w:pPr>
    </w:p>
    <w:p>
      <w:pPr>
        <w:jc w:val="both"/>
        <w:ind w:firstLine="872"/>
        <w:spacing w:after="0" w:line="268" w:lineRule="auto"/>
        <w:tabs>
          <w:tab w:leader="none" w:pos="1721"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EACH PARTY HERETO HEREBY IRREVOCABLY SUBMITS TO (I) WITH RESPECT TO THE BUYER, THE NEW ORIGINATORS, THE EXISTING ORIGINATORS AND THE SERVICER, THE EXCLUSIVE JURISDICTION, AND (II) WITH RESPECT TO EACH OF THE OTHER PARTIES HERETO, THE NON-EXCLUSIVE JURISDICTION, IN EACH CASE, OF ANY NEW YORK STATE OR FEDERAL COURT SITTING IN NEW YORK CITY, NEW YORK IN ANY ACTION OR PROCEEDING ARISING OUT OF OR RELATING TO THIS AMENDMENT, AND EACH PARTY HERETO HEREBY IRREVOCABLY AGREES THAT ALL CLAIMS IN RESPECT OF SUCH ACTION OR PROCEEDING (I) IF BROUGHT BY THE BUYER, THE SERVICER, ANY NEW ORIGINATOR, ANY EXISTING ORIGINATOR OR ANY AFFILIATE THEREOF, SHALL BE HEARD AND DETERMINED, AND (II) IF BROUGHT BY ANY OTHER PARTY TO THIS AMENDMENT, MAY BE HEARD AND DETERMINED, IN EACH CASE, IN SUCH NEW YORK STATE COURT OR, TO THE EXTENT PERMITTED BY LAW, IN SUCH FEDERAL COURT. NOTHING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AFFECT THE RIGHT OF THE ADMINISTRATIVE AGENT OR ANY OTHER CREDIT PARTY TO BRING ANY ACTION OR PROCEEDING AGAINST THE BUYER OR THE SERVICER OR ANY OF THEIR RESPECTIVE PROPERTY IN THE COURTS OF OTHER JURISDICTIONS. EACH OF THE BUYER, EACH NEW ORIGINATOR, EACH EXISTING ORIGINATOR AND THE SERVICER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spacing w:after="0" w:line="182"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various headings of this Amendment are included for convenience only and shall not affect the meaning or interpretation of this Amendment, the Purchase and Sale Agreement or any provision hereof or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IGNATURE PAGES FOLLOW</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IN WITNESS WHEREOF, the parties hereto have executed this Amendment by their duly authorized officers as of the date first above written.</w:t>
      </w:r>
    </w:p>
    <w:p>
      <w:pPr>
        <w:spacing w:after="0" w:line="24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LAMAR QRS RECEIVABLES, LLC</w:t>
      </w:r>
      <w:r>
        <w:rPr>
          <w:rFonts w:ascii="Arial" w:cs="Arial" w:eastAsia="Arial" w:hAnsi="Arial"/>
          <w:sz w:val="18"/>
          <w:szCs w:val="18"/>
          <w:color w:val="auto"/>
        </w:rPr>
        <w: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Buyer</w:t>
      </w:r>
    </w:p>
    <w:p>
      <w:pPr>
        <w:spacing w:after="0" w:line="211"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7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19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LAMAR MEDIA CORP.</w:t>
      </w:r>
      <w:r>
        <w:rPr>
          <w:rFonts w:ascii="Arial" w:cs="Arial" w:eastAsia="Arial" w:hAnsi="Arial"/>
          <w:sz w:val="18"/>
          <w:szCs w:val="18"/>
          <w:color w:val="auto"/>
        </w:rPr>
        <w: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Servicer</w:t>
      </w:r>
    </w:p>
    <w:p>
      <w:pPr>
        <w:spacing w:after="0" w:line="9" w:lineRule="exact"/>
        <w:rPr>
          <w:sz w:val="20"/>
          <w:szCs w:val="20"/>
          <w:color w:val="auto"/>
        </w:rPr>
      </w:pPr>
    </w:p>
    <w:tbl>
      <w:tblPr>
        <w:tblLayout w:type="fixed"/>
        <w:tblInd w:w="47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Chief</w:t>
            </w:r>
          </w:p>
        </w:tc>
      </w:tr>
      <w:tr>
        <w:trPr>
          <w:trHeight w:val="230"/>
        </w:trPr>
        <w:tc>
          <w:tcPr>
            <w:tcW w:w="7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Financial Officer and Treasurer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41" w:right="339" w:bottom="1440" w:gutter="0" w:footer="0" w:header="0"/>
        </w:sectPr>
      </w:pPr>
    </w:p>
    <w:bookmarkStart w:id="85" w:name="page86"/>
    <w:bookmarkEnd w:id="85"/>
    <w:p>
      <w:pPr>
        <w:ind w:left="5620"/>
        <w:spacing w:after="0"/>
        <w:rPr>
          <w:sz w:val="20"/>
          <w:szCs w:val="20"/>
          <w:color w:val="auto"/>
        </w:rPr>
      </w:pPr>
      <w:r>
        <w:rPr>
          <w:rFonts w:ascii="Arial" w:cs="Arial" w:eastAsia="Arial" w:hAnsi="Arial"/>
          <w:sz w:val="18"/>
          <w:szCs w:val="18"/>
          <w:color w:val="auto"/>
        </w:rPr>
        <w:t>EXISTING ORIGINATORS: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ADVERTISING OF MICHIGAN,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ADVERTISING OF YOUNGSTOWN,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ADVERTISING SOUTHWEST,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ELECTRICAL,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OCI SOUTH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OHIO OUTDOOR HOLDING CORP.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PENSACOLA TRANSIT, INC.</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TLC PROPERTIES,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60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Officer and Treasurer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CENTRAL OUTDOOR,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LAMAR COMPANY, L.L.C.</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Lamar Media Corp., its Managing Member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c>
          <w:tcPr>
            <w:tcW w:w="20" w:type="dxa"/>
            <w:vAlign w:val="bottom"/>
          </w:tcPr>
          <w:p>
            <w:pPr>
              <w:spacing w:after="0"/>
              <w:rPr>
                <w:sz w:val="16"/>
                <w:szCs w:val="16"/>
                <w:color w:val="auto"/>
              </w:rPr>
            </w:pPr>
          </w:p>
        </w:tc>
      </w:tr>
      <w:tr>
        <w:trPr>
          <w:trHeight w:val="216"/>
        </w:trPr>
        <w:tc>
          <w:tcPr>
            <w:tcW w:w="60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6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Officer and Treasurer</w:t>
            </w:r>
          </w:p>
        </w:tc>
      </w:tr>
      <w:tr>
        <w:trPr>
          <w:trHeight w:val="648"/>
        </w:trPr>
        <w:tc>
          <w:tcPr>
            <w:tcW w:w="6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0" w:type="dxa"/>
            <w:vAlign w:val="bottom"/>
            <w:gridSpan w:val="2"/>
          </w:tcPr>
          <w:p>
            <w:pPr>
              <w:ind w:left="2420"/>
              <w:spacing w:after="0"/>
              <w:rPr>
                <w:sz w:val="20"/>
                <w:szCs w:val="20"/>
                <w:color w:val="auto"/>
              </w:rPr>
            </w:pPr>
            <w:r>
              <w:rPr>
                <w:rFonts w:ascii="Arial" w:cs="Arial" w:eastAsia="Arial" w:hAnsi="Arial"/>
                <w:sz w:val="18"/>
                <w:szCs w:val="18"/>
                <w:color w:val="auto"/>
                <w:w w:val="88"/>
              </w:rPr>
              <w:t>Purchase and Sale Agreement</w:t>
            </w:r>
          </w:p>
        </w:tc>
      </w:tr>
      <w:tr>
        <w:trPr>
          <w:trHeight w:val="115"/>
        </w:trPr>
        <w:tc>
          <w:tcPr>
            <w:tcW w:w="6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86" w:name="page87"/>
    <w:bookmarkEnd w:id="86"/>
    <w:p>
      <w:pPr>
        <w:ind w:left="5620"/>
        <w:spacing w:after="0"/>
        <w:rPr>
          <w:sz w:val="20"/>
          <w:szCs w:val="20"/>
          <w:color w:val="auto"/>
        </w:rPr>
      </w:pPr>
      <w:r>
        <w:rPr>
          <w:rFonts w:ascii="Arial" w:cs="Arial" w:eastAsia="Arial" w:hAnsi="Arial"/>
          <w:sz w:val="18"/>
          <w:szCs w:val="18"/>
          <w:b w:val="1"/>
          <w:bCs w:val="1"/>
          <w:color w:val="auto"/>
        </w:rPr>
        <w:t>LAMAR ADVERTISING OF COLORADO</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SPRINGS,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ADVERTISING OF LOUISIANA,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ADVERTISING OF SOUTH DAKOTA,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AIR,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FLORIDA,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OCI NORTH,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TENNESSEE, L.L.C.</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The Lamar Company, L.L.C., its Managing Member</w:t>
      </w:r>
    </w:p>
    <w:p>
      <w:pPr>
        <w:spacing w:after="0" w:line="2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Lamar Media Corp., its Managing Member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c>
          <w:tcPr>
            <w:tcW w:w="20" w:type="dxa"/>
            <w:vAlign w:val="bottom"/>
          </w:tcPr>
          <w:p>
            <w:pPr>
              <w:spacing w:after="0"/>
              <w:rPr>
                <w:sz w:val="16"/>
                <w:szCs w:val="16"/>
                <w:color w:val="auto"/>
              </w:rPr>
            </w:pPr>
          </w:p>
        </w:tc>
      </w:tr>
      <w:tr>
        <w:trPr>
          <w:trHeight w:val="216"/>
        </w:trPr>
        <w:tc>
          <w:tcPr>
            <w:tcW w:w="60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6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Officer and Treasurer</w:t>
            </w:r>
          </w:p>
        </w:tc>
      </w:tr>
      <w:tr>
        <w:trPr>
          <w:trHeight w:val="648"/>
        </w:trPr>
        <w:tc>
          <w:tcPr>
            <w:tcW w:w="6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0" w:type="dxa"/>
            <w:vAlign w:val="bottom"/>
            <w:gridSpan w:val="2"/>
          </w:tcPr>
          <w:p>
            <w:pPr>
              <w:ind w:left="2420"/>
              <w:spacing w:after="0"/>
              <w:rPr>
                <w:sz w:val="20"/>
                <w:szCs w:val="20"/>
                <w:color w:val="auto"/>
              </w:rPr>
            </w:pPr>
            <w:r>
              <w:rPr>
                <w:rFonts w:ascii="Arial" w:cs="Arial" w:eastAsia="Arial" w:hAnsi="Arial"/>
                <w:sz w:val="18"/>
                <w:szCs w:val="18"/>
                <w:color w:val="auto"/>
                <w:w w:val="88"/>
              </w:rPr>
              <w:t>Purchase and Sale Agreement</w:t>
            </w:r>
          </w:p>
        </w:tc>
      </w:tr>
      <w:tr>
        <w:trPr>
          <w:trHeight w:val="115"/>
        </w:trPr>
        <w:tc>
          <w:tcPr>
            <w:tcW w:w="6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87" w:name="page88"/>
    <w:bookmarkEnd w:id="87"/>
    <w:p>
      <w:pPr>
        <w:ind w:left="5620"/>
        <w:spacing w:after="0"/>
        <w:rPr>
          <w:sz w:val="20"/>
          <w:szCs w:val="20"/>
          <w:color w:val="auto"/>
        </w:rPr>
      </w:pPr>
      <w:r>
        <w:rPr>
          <w:rFonts w:ascii="Arial" w:cs="Arial" w:eastAsia="Arial" w:hAnsi="Arial"/>
          <w:sz w:val="18"/>
          <w:szCs w:val="18"/>
          <w:b w:val="1"/>
          <w:bCs w:val="1"/>
          <w:color w:val="auto"/>
        </w:rPr>
        <w:t>LAMAR TEXAS LIMITED PARTNERSHIP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The Lamar Company, L.L.C., its General Partner</w:t>
      </w:r>
    </w:p>
    <w:p>
      <w:pPr>
        <w:spacing w:after="0" w:line="2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Lamar Media Corp., its Managing Member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c>
          <w:tcPr>
            <w:tcW w:w="20" w:type="dxa"/>
            <w:vAlign w:val="bottom"/>
          </w:tcPr>
          <w:p>
            <w:pPr>
              <w:spacing w:after="0"/>
              <w:rPr>
                <w:sz w:val="16"/>
                <w:szCs w:val="16"/>
                <w:color w:val="auto"/>
              </w:rPr>
            </w:pPr>
          </w:p>
        </w:tc>
      </w:tr>
      <w:tr>
        <w:trPr>
          <w:trHeight w:val="216"/>
        </w:trPr>
        <w:tc>
          <w:tcPr>
            <w:tcW w:w="60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6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Officer and Treasurer</w:t>
            </w:r>
          </w:p>
        </w:tc>
      </w:tr>
      <w:tr>
        <w:trPr>
          <w:trHeight w:val="648"/>
        </w:trPr>
        <w:tc>
          <w:tcPr>
            <w:tcW w:w="6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0" w:type="dxa"/>
            <w:vAlign w:val="bottom"/>
            <w:gridSpan w:val="2"/>
          </w:tcPr>
          <w:p>
            <w:pPr>
              <w:ind w:left="2420"/>
              <w:spacing w:after="0"/>
              <w:rPr>
                <w:sz w:val="20"/>
                <w:szCs w:val="20"/>
                <w:color w:val="auto"/>
              </w:rPr>
            </w:pPr>
            <w:r>
              <w:rPr>
                <w:rFonts w:ascii="Arial" w:cs="Arial" w:eastAsia="Arial" w:hAnsi="Arial"/>
                <w:sz w:val="18"/>
                <w:szCs w:val="18"/>
                <w:color w:val="auto"/>
                <w:w w:val="88"/>
              </w:rPr>
              <w:t>Purchase and Sale Agreement</w:t>
            </w:r>
          </w:p>
        </w:tc>
      </w:tr>
      <w:tr>
        <w:trPr>
          <w:trHeight w:val="115"/>
        </w:trPr>
        <w:tc>
          <w:tcPr>
            <w:tcW w:w="6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88" w:name="page89"/>
    <w:bookmarkEnd w:id="88"/>
    <w:p>
      <w:pPr>
        <w:ind w:left="5620"/>
        <w:spacing w:after="0"/>
        <w:rPr>
          <w:sz w:val="20"/>
          <w:szCs w:val="20"/>
          <w:color w:val="auto"/>
        </w:rPr>
      </w:pPr>
      <w:r>
        <w:rPr>
          <w:rFonts w:ascii="Arial" w:cs="Arial" w:eastAsia="Arial" w:hAnsi="Arial"/>
          <w:sz w:val="18"/>
          <w:szCs w:val="18"/>
          <w:b w:val="1"/>
          <w:bCs w:val="1"/>
          <w:color w:val="auto"/>
        </w:rPr>
        <w:t>TLC FARMS,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TLC PROPERTIES, L.L.C.</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TLC Properties, Inc., its Managing Member</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60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Officer and Treasurer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ADVANTAGE GP COMPANY,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LAMAR ADVANTAGE LP COMPANY,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TRIUMPH OUTDOOR HOLDINGS, LLC</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Lamar Central Outdoor, LLC, its Managing Member</w:t>
      </w:r>
    </w:p>
    <w:p>
      <w:pPr>
        <w:spacing w:after="0" w:line="2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Lamar Media Corp., its Managing Member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c>
          <w:tcPr>
            <w:tcW w:w="20" w:type="dxa"/>
            <w:vAlign w:val="bottom"/>
          </w:tcPr>
          <w:p>
            <w:pPr>
              <w:spacing w:after="0"/>
              <w:rPr>
                <w:sz w:val="16"/>
                <w:szCs w:val="16"/>
                <w:color w:val="auto"/>
              </w:rPr>
            </w:pPr>
          </w:p>
        </w:tc>
      </w:tr>
      <w:tr>
        <w:trPr>
          <w:trHeight w:val="216"/>
        </w:trPr>
        <w:tc>
          <w:tcPr>
            <w:tcW w:w="60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6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Officer and Treasurer</w:t>
            </w:r>
          </w:p>
        </w:tc>
      </w:tr>
      <w:tr>
        <w:trPr>
          <w:trHeight w:val="648"/>
        </w:trPr>
        <w:tc>
          <w:tcPr>
            <w:tcW w:w="6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0" w:type="dxa"/>
            <w:vAlign w:val="bottom"/>
            <w:gridSpan w:val="2"/>
          </w:tcPr>
          <w:p>
            <w:pPr>
              <w:ind w:left="2420"/>
              <w:spacing w:after="0"/>
              <w:rPr>
                <w:sz w:val="20"/>
                <w:szCs w:val="20"/>
                <w:color w:val="auto"/>
              </w:rPr>
            </w:pPr>
            <w:r>
              <w:rPr>
                <w:rFonts w:ascii="Arial" w:cs="Arial" w:eastAsia="Arial" w:hAnsi="Arial"/>
                <w:sz w:val="18"/>
                <w:szCs w:val="18"/>
                <w:color w:val="auto"/>
                <w:w w:val="88"/>
              </w:rPr>
              <w:t>Purchase and Sale Agreement</w:t>
            </w:r>
          </w:p>
        </w:tc>
      </w:tr>
      <w:tr>
        <w:trPr>
          <w:trHeight w:val="115"/>
        </w:trPr>
        <w:tc>
          <w:tcPr>
            <w:tcW w:w="6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89" w:name="page90"/>
    <w:bookmarkEnd w:id="89"/>
    <w:p>
      <w:pPr>
        <w:ind w:left="4500"/>
        <w:spacing w:after="0"/>
        <w:rPr>
          <w:sz w:val="20"/>
          <w:szCs w:val="20"/>
          <w:color w:val="auto"/>
        </w:rPr>
      </w:pPr>
      <w:r>
        <w:rPr>
          <w:rFonts w:ascii="Arial" w:cs="Arial" w:eastAsia="Arial" w:hAnsi="Arial"/>
          <w:sz w:val="18"/>
          <w:szCs w:val="18"/>
          <w:b w:val="1"/>
          <w:bCs w:val="1"/>
          <w:color w:val="auto"/>
        </w:rPr>
        <w:t>LAMAR ADVANTAGE OUTDOOR COMPANY,</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Lamar Advantage GP Company, LLC, its General</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Lamar Central Outdoor, LLC, its Managing Member</w:t>
      </w:r>
    </w:p>
    <w:p>
      <w:pPr>
        <w:spacing w:after="0" w:line="9"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Lamar Media Corp., its Managing Member</w:t>
      </w:r>
    </w:p>
    <w:p>
      <w:pPr>
        <w:spacing w:after="0" w:line="211"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450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Officer and Treasurer</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LAMAR ADVANTAGE HOLDING COMPANY</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By:  /s/ Jay L. Johnson</w:t>
            </w:r>
          </w:p>
        </w:tc>
      </w:tr>
      <w:tr>
        <w:trPr>
          <w:trHeight w:val="195"/>
        </w:trPr>
        <w:tc>
          <w:tcPr>
            <w:tcW w:w="4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Officer and Treasurer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90" w:name="page91"/>
    <w:bookmarkEnd w:id="90"/>
    <w:p>
      <w:pPr>
        <w:ind w:left="5620"/>
        <w:spacing w:after="0"/>
        <w:rPr>
          <w:sz w:val="20"/>
          <w:szCs w:val="20"/>
          <w:color w:val="auto"/>
        </w:rPr>
      </w:pPr>
      <w:r>
        <w:rPr>
          <w:rFonts w:ascii="Arial" w:cs="Arial" w:eastAsia="Arial" w:hAnsi="Arial"/>
          <w:sz w:val="18"/>
          <w:szCs w:val="18"/>
          <w:b w:val="1"/>
          <w:bCs w:val="1"/>
          <w:color w:val="auto"/>
        </w:rPr>
        <w:t>LAMAR ADVERTISING OF PENN, LLC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The Lamar Company, L.L.C., its Class A Member</w:t>
      </w:r>
    </w:p>
    <w:p>
      <w:pPr>
        <w:spacing w:after="0" w:line="2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Lamar Media Corp., its Managing Member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60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Officer and Treasurer</w:t>
            </w:r>
          </w:p>
        </w:tc>
      </w:tr>
    </w:tbl>
    <w:p>
      <w:pPr>
        <w:spacing w:after="0" w:line="202"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Lamar Transit, LLC, its Class B Member</w:t>
      </w:r>
    </w:p>
    <w:p>
      <w:pPr>
        <w:spacing w:after="0" w:line="2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Lamar TRS Holdings, LLC, its Managing Member</w:t>
      </w:r>
    </w:p>
    <w:p>
      <w:pPr>
        <w:spacing w:after="0" w:line="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Lamar Media Corp., its Managing Member</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c>
          <w:tcPr>
            <w:tcW w:w="20" w:type="dxa"/>
            <w:vAlign w:val="bottom"/>
          </w:tcPr>
          <w:p>
            <w:pPr>
              <w:spacing w:after="0"/>
              <w:rPr>
                <w:sz w:val="16"/>
                <w:szCs w:val="16"/>
                <w:color w:val="auto"/>
              </w:rPr>
            </w:pPr>
          </w:p>
        </w:tc>
      </w:tr>
      <w:tr>
        <w:trPr>
          <w:trHeight w:val="216"/>
        </w:trPr>
        <w:tc>
          <w:tcPr>
            <w:tcW w:w="60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6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Officer and Treasurer</w:t>
            </w:r>
          </w:p>
        </w:tc>
      </w:tr>
      <w:tr>
        <w:trPr>
          <w:trHeight w:val="648"/>
        </w:trPr>
        <w:tc>
          <w:tcPr>
            <w:tcW w:w="6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0" w:type="dxa"/>
            <w:vAlign w:val="bottom"/>
            <w:gridSpan w:val="2"/>
          </w:tcPr>
          <w:p>
            <w:pPr>
              <w:ind w:left="2420"/>
              <w:spacing w:after="0"/>
              <w:rPr>
                <w:sz w:val="20"/>
                <w:szCs w:val="20"/>
                <w:color w:val="auto"/>
              </w:rPr>
            </w:pPr>
            <w:r>
              <w:rPr>
                <w:rFonts w:ascii="Arial" w:cs="Arial" w:eastAsia="Arial" w:hAnsi="Arial"/>
                <w:sz w:val="18"/>
                <w:szCs w:val="18"/>
                <w:color w:val="auto"/>
                <w:w w:val="88"/>
              </w:rPr>
              <w:t>Purchase and Sale Agreement</w:t>
            </w:r>
          </w:p>
        </w:tc>
      </w:tr>
      <w:tr>
        <w:trPr>
          <w:trHeight w:val="115"/>
        </w:trPr>
        <w:tc>
          <w:tcPr>
            <w:tcW w:w="6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91" w:name="page92"/>
    <w:bookmarkEnd w:id="91"/>
    <w:p>
      <w:pPr>
        <w:ind w:left="4500"/>
        <w:spacing w:after="0"/>
        <w:rPr>
          <w:sz w:val="20"/>
          <w:szCs w:val="20"/>
          <w:color w:val="auto"/>
        </w:rPr>
      </w:pPr>
      <w:r>
        <w:rPr>
          <w:rFonts w:ascii="Arial" w:cs="Arial" w:eastAsia="Arial" w:hAnsi="Arial"/>
          <w:sz w:val="18"/>
          <w:szCs w:val="18"/>
          <w:b w:val="1"/>
          <w:bCs w:val="1"/>
          <w:color w:val="auto"/>
        </w:rPr>
        <w:t>LAMAR OBIE COMPANY, LLC</w:t>
      </w:r>
    </w:p>
    <w:p>
      <w:pPr>
        <w:spacing w:after="0" w:line="229"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Lamar Media Corp., its Class A Member</w:t>
      </w:r>
    </w:p>
    <w:p>
      <w:pPr>
        <w:spacing w:after="0" w:line="225"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494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Officer and Treasurer</w:t>
            </w:r>
          </w:p>
        </w:tc>
      </w:tr>
    </w:tbl>
    <w:p>
      <w:pPr>
        <w:spacing w:after="0" w:line="202"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Lamar Transit, LLC, its Class B Member</w:t>
      </w:r>
    </w:p>
    <w:p>
      <w:pPr>
        <w:spacing w:after="0" w:line="23"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Lamar TRS Holdings, LLC, its Managing Member</w:t>
      </w:r>
    </w:p>
    <w:p>
      <w:pPr>
        <w:spacing w:after="0" w:line="9"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Lamar Media Corp., its Managing Member</w:t>
      </w:r>
    </w:p>
    <w:p>
      <w:pPr>
        <w:spacing w:after="0" w:line="211"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494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w:t>
            </w:r>
          </w:p>
        </w:tc>
      </w:tr>
      <w:tr>
        <w:trPr>
          <w:trHeight w:val="230"/>
        </w:trPr>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Financial Officer and Treasurer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92" w:name="page93"/>
    <w:bookmarkEnd w:id="92"/>
    <w:p>
      <w:pPr>
        <w:ind w:left="4500"/>
        <w:spacing w:after="0"/>
        <w:rPr>
          <w:sz w:val="20"/>
          <w:szCs w:val="20"/>
          <w:color w:val="auto"/>
        </w:rPr>
      </w:pPr>
      <w:r>
        <w:rPr>
          <w:rFonts w:ascii="Arial" w:cs="Arial" w:eastAsia="Arial" w:hAnsi="Arial"/>
          <w:sz w:val="18"/>
          <w:szCs w:val="18"/>
          <w:color w:val="auto"/>
        </w:rPr>
        <w:t>NEW ORIGINATORS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ASHBY STREET OUTDOOR CC LLC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ASHBY STREET OUTDOOR LLC</w:t>
      </w:r>
    </w:p>
    <w:p>
      <w:pPr>
        <w:spacing w:after="0" w:line="211"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494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w:t>
            </w:r>
          </w:p>
        </w:tc>
      </w:tr>
      <w:tr>
        <w:trPr>
          <w:trHeight w:val="230"/>
        </w:trPr>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Financial Officer and Treasurer</w:t>
            </w:r>
          </w:p>
        </w:tc>
      </w:tr>
    </w:tbl>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ASHBY STREET OUTDOOR HOLDINGS LLC</w:t>
      </w:r>
    </w:p>
    <w:p>
      <w:pPr>
        <w:spacing w:after="0" w:line="229"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494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w:t>
            </w:r>
          </w:p>
        </w:tc>
      </w:tr>
      <w:tr>
        <w:trPr>
          <w:trHeight w:val="230"/>
        </w:trPr>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Financial Officer and Treasurer</w:t>
            </w:r>
          </w:p>
        </w:tc>
      </w:tr>
    </w:tbl>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LAMAR-FAIRWAY BLOCKER 1, LLC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LAMAR-FAIRWAY BLOCKER 2,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MAGIC MEDIA/LAMAR,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FAIRWAY MEDIA GROUP,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FAIRWAY OUTDOOR ADVERTISING,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FAIRWAY OUTDOOR FUNDING HOLDINGS,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FAIRWAY OUTDOOR FUNDING, LLC</w:t>
      </w:r>
    </w:p>
    <w:p>
      <w:pPr>
        <w:spacing w:after="0" w:line="211"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/s/ Jay L. Johnson</w:t>
      </w:r>
    </w:p>
    <w:p>
      <w:pPr>
        <w:spacing w:after="0" w:line="23" w:lineRule="exact"/>
        <w:rPr>
          <w:sz w:val="20"/>
          <w:szCs w:val="20"/>
          <w:color w:val="auto"/>
        </w:rPr>
      </w:pPr>
    </w:p>
    <w:tbl>
      <w:tblPr>
        <w:tblLayout w:type="fixed"/>
        <w:tblInd w:w="494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Executive Vice President, Chief</w:t>
            </w:r>
          </w:p>
        </w:tc>
      </w:tr>
      <w:tr>
        <w:trPr>
          <w:trHeight w:val="230"/>
        </w:trPr>
        <w:tc>
          <w:tcPr>
            <w:tcW w:w="6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Financial Officer and Treasurer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Consented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as a Lender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Brown</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Michael Brown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Purchase and Sale Agreement</w:t>
      </w:r>
    </w:p>
    <w:p>
      <w:pPr>
        <w:sectPr>
          <w:pgSz w:w="11900" w:h="16838" w:orient="portrait"/>
          <w:cols w:equalWidth="0" w:num="1">
            <w:col w:w="11240"/>
          </w:cols>
          <w:pgMar w:left="320" w:top="55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117"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Lamar Advertising Company</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240"/>
          </w:cols>
          <w:pgMar w:left="320" w:top="33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117"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Jay L. Johnson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Lamar Advertising Company</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33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June 30, 2020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Dated: August 6, 2020</w:t>
            </w:r>
          </w:p>
        </w:tc>
        <w:tc>
          <w:tcPr>
            <w:tcW w:w="2720" w:type="dxa"/>
            <w:vAlign w:val="bottom"/>
          </w:tcPr>
          <w:p>
            <w:pPr>
              <w:ind w:left="22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r>
      <w:tr>
        <w:trPr>
          <w:trHeight w:val="195"/>
        </w:trPr>
        <w:tc>
          <w:tcPr>
            <w:tcW w:w="39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Sean E. Reilly</w:t>
            </w:r>
          </w:p>
        </w:tc>
      </w:tr>
      <w:tr>
        <w:trPr>
          <w:trHeight w:val="216"/>
        </w:trPr>
        <w:tc>
          <w:tcPr>
            <w:tcW w:w="3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39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Executive Officer, Lamar Media Corp.</w:t>
            </w:r>
          </w:p>
        </w:tc>
      </w:tr>
      <w:tr>
        <w:trPr>
          <w:trHeight w:val="446"/>
        </w:trPr>
        <w:tc>
          <w:tcPr>
            <w:tcW w:w="3920" w:type="dxa"/>
            <w:vAlign w:val="bottom"/>
          </w:tcPr>
          <w:p>
            <w:pPr>
              <w:spacing w:after="0"/>
              <w:rPr>
                <w:sz w:val="20"/>
                <w:szCs w:val="20"/>
                <w:color w:val="auto"/>
              </w:rPr>
            </w:pPr>
            <w:r>
              <w:rPr>
                <w:rFonts w:ascii="Arial" w:cs="Arial" w:eastAsia="Arial" w:hAnsi="Arial"/>
                <w:sz w:val="18"/>
                <w:szCs w:val="18"/>
                <w:color w:val="auto"/>
              </w:rPr>
              <w:t>Dated: August 6, 2020</w:t>
            </w:r>
          </w:p>
        </w:tc>
        <w:tc>
          <w:tcPr>
            <w:tcW w:w="2720" w:type="dxa"/>
            <w:vAlign w:val="bottom"/>
          </w:tcPr>
          <w:p>
            <w:pPr>
              <w:ind w:left="228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L. Johnson</w:t>
            </w:r>
          </w:p>
        </w:tc>
      </w:tr>
      <w:tr>
        <w:trPr>
          <w:trHeight w:val="195"/>
        </w:trPr>
        <w:tc>
          <w:tcPr>
            <w:tcW w:w="39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Jay L. Johnson</w:t>
            </w:r>
          </w:p>
        </w:tc>
      </w:tr>
      <w:tr>
        <w:trPr>
          <w:trHeight w:val="216"/>
        </w:trPr>
        <w:tc>
          <w:tcPr>
            <w:tcW w:w="3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39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2"/>
    </w:lvl>
  </w:abstractNum>
  <w:abstractNum w:abstractNumId="6">
    <w:nsid w:val="2D517796"/>
    <w:multiLevelType w:val="hybridMultilevel"/>
    <w:lvl w:ilvl="0">
      <w:lvlJc w:val="left"/>
      <w:lvlText w:val="%1."/>
      <w:numFmt w:val="decimal"/>
      <w:start w:val="3"/>
    </w:lvl>
  </w:abstractNum>
  <w:abstractNum w:abstractNumId="7">
    <w:nsid w:val="580BD78F"/>
    <w:multiLevelType w:val="hybridMultilevel"/>
    <w:lvl w:ilvl="0">
      <w:lvlJc w:val="left"/>
      <w:lvlText w:val="%1."/>
      <w:numFmt w:val="decimal"/>
      <w:start w:val="4"/>
    </w:lvl>
  </w:abstractNum>
  <w:abstractNum w:abstractNumId="8">
    <w:nsid w:val="153EA438"/>
    <w:multiLevelType w:val="hybridMultilevel"/>
    <w:lvl w:ilvl="0">
      <w:lvlJc w:val="left"/>
      <w:lvlText w:val="%1."/>
      <w:numFmt w:val="decimal"/>
      <w:start w:val="5"/>
    </w:lvl>
  </w:abstractNum>
  <w:abstractNum w:abstractNumId="9">
    <w:nsid w:val="3855585C"/>
    <w:multiLevelType w:val="hybridMultilevel"/>
    <w:lvl w:ilvl="0">
      <w:lvlJc w:val="left"/>
      <w:lvlText w:val="%1."/>
      <w:numFmt w:val="decimal"/>
      <w:start w:val="6"/>
    </w:lvl>
  </w:abstractNum>
  <w:abstractNum w:abstractNumId="10">
    <w:nsid w:val="70A64E2A"/>
    <w:multiLevelType w:val="hybridMultilevel"/>
    <w:lvl w:ilvl="0">
      <w:lvlJc w:val="left"/>
      <w:lvlText w:val="%1."/>
      <w:numFmt w:val="decimal"/>
      <w:start w:val="7"/>
    </w:lvl>
  </w:abstractNum>
  <w:abstractNum w:abstractNumId="11">
    <w:nsid w:val="6A2342EC"/>
    <w:multiLevelType w:val="hybridMultilevel"/>
    <w:lvl w:ilvl="0">
      <w:lvlJc w:val="left"/>
      <w:lvlText w:val="%1."/>
      <w:numFmt w:val="decimal"/>
      <w:start w:val="8"/>
    </w:lvl>
  </w:abstractNum>
  <w:abstractNum w:abstractNumId="12">
    <w:nsid w:val="2A487CB0"/>
    <w:multiLevelType w:val="hybridMultilevel"/>
    <w:lvl w:ilvl="0">
      <w:lvlJc w:val="left"/>
      <w:lvlText w:val="%1."/>
      <w:numFmt w:val="decimal"/>
      <w:start w:val="9"/>
    </w:lvl>
  </w:abstractNum>
  <w:abstractNum w:abstractNumId="13">
    <w:nsid w:val="1D4ED43B"/>
    <w:multiLevelType w:val="hybridMultilevel"/>
    <w:lvl w:ilvl="0">
      <w:lvlJc w:val="left"/>
      <w:lvlText w:val="%1."/>
      <w:numFmt w:val="decimal"/>
      <w:start w:val="10"/>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11"/>
    </w:lvl>
  </w:abstractNum>
  <w:abstractNum w:abstractNumId="16">
    <w:nsid w:val="57E4CCAF"/>
    <w:multiLevelType w:val="hybridMultilevel"/>
    <w:lvl w:ilvl="0">
      <w:lvlJc w:val="left"/>
      <w:lvlText w:val="%1."/>
      <w:numFmt w:val="decimal"/>
      <w:start w:val="12"/>
    </w:lvl>
  </w:abstractNum>
  <w:abstractNum w:abstractNumId="17">
    <w:nsid w:val="7A6D8D3C"/>
    <w:multiLevelType w:val="hybridMultilevel"/>
    <w:lvl w:ilvl="0">
      <w:lvlJc w:val="left"/>
      <w:lvlText w:val="%1."/>
      <w:numFmt w:val="decimal"/>
      <w:start w:val="13"/>
    </w:lvl>
  </w:abstractNum>
  <w:abstractNum w:abstractNumId="18">
    <w:nsid w:val="4B588F54"/>
    <w:multiLevelType w:val="hybridMultilevel"/>
    <w:lvl w:ilvl="0">
      <w:lvlJc w:val="left"/>
      <w:lvlText w:val="%1."/>
      <w:numFmt w:val="decimal"/>
      <w:start w:val="14"/>
    </w:lvl>
  </w:abstractNum>
  <w:abstractNum w:abstractNumId="19">
    <w:nsid w:val="542289EC"/>
    <w:multiLevelType w:val="hybridMultilevel"/>
    <w:lvl w:ilvl="0">
      <w:lvlJc w:val="left"/>
      <w:lvlText w:val="%1."/>
      <w:numFmt w:val="decimal"/>
      <w:start w:val="15"/>
    </w:lvl>
  </w:abstractNum>
  <w:abstractNum w:abstractNumId="20">
    <w:nsid w:val="6DE91B18"/>
    <w:multiLevelType w:val="hybridMultilevel"/>
    <w:lvl w:ilvl="0">
      <w:lvlJc w:val="left"/>
      <w:lvlText w:val="%1."/>
      <w:numFmt w:val="decimal"/>
      <w:start w:val="16"/>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2"/>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o"/>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1)"/>
      <w:numFmt w:val="lowerRoman"/>
      <w:start w:val="4"/>
    </w:lvl>
  </w:abstractNum>
  <w:abstractNum w:abstractNumId="31">
    <w:nsid w:val="12E685FB"/>
    <w:multiLevelType w:val="hybridMultilevel"/>
    <w:lvl w:ilvl="0">
      <w:lvlJc w:val="left"/>
      <w:lvlText w:val="(%1)"/>
      <w:numFmt w:val="lowerRoman"/>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lowerRoman"/>
      <w:start w:val="3"/>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2"/>
    </w:lvl>
  </w:abstractNum>
  <w:abstractNum w:abstractNumId="36">
    <w:nsid w:val="23F9C13C"/>
    <w:multiLevelType w:val="hybridMultilevel"/>
    <w:lvl w:ilvl="0">
      <w:lvlJc w:val="left"/>
      <w:lvlText w:val="%1)"/>
      <w:numFmt w:val="lowerLetter"/>
      <w:start w:val="1"/>
    </w:lvl>
  </w:abstractNum>
  <w:abstractNum w:abstractNumId="37">
    <w:nsid w:val="649BB77C"/>
    <w:multiLevelType w:val="hybridMultilevel"/>
    <w:lvl w:ilvl="0">
      <w:lvlJc w:val="left"/>
      <w:lvlText w:val="%1)"/>
      <w:numFmt w:val="lowerLetter"/>
      <w:start w:val="2"/>
    </w:lvl>
  </w:abstractNum>
  <w:abstractNum w:abstractNumId="38">
    <w:nsid w:val="275AC794"/>
    <w:multiLevelType w:val="hybridMultilevel"/>
    <w:lvl w:ilvl="0">
      <w:lvlJc w:val="left"/>
      <w:lvlText w:val="%1"/>
      <w:numFmt w:val="decimal"/>
      <w:start w:val="101"/>
    </w:lvl>
  </w:abstractNum>
  <w:abstractNum w:abstractNumId="39">
    <w:nsid w:val="39386575"/>
    <w:multiLevelType w:val="hybridMultilevel"/>
    <w:lvl w:ilvl="0">
      <w:lvlJc w:val="left"/>
      <w:lvlText w:val="%1"/>
      <w:numFmt w:val="decimal"/>
      <w:start w:val="104"/>
    </w:lvl>
  </w:abstractNum>
  <w:abstractNum w:abstractNumId="40">
    <w:nsid w:val="1CF10FD8"/>
    <w:multiLevelType w:val="hybridMultilevel"/>
    <w:lvl w:ilvl="0">
      <w:lvlJc w:val="left"/>
      <w:lvlText w:val="(%1)"/>
      <w:numFmt w:val="lowerRoman"/>
      <w:start w:val="1"/>
    </w:lvl>
  </w:abstractNum>
  <w:abstractNum w:abstractNumId="41">
    <w:nsid w:val="180115BE"/>
    <w:multiLevelType w:val="hybridMultilevel"/>
    <w:lvl w:ilvl="0">
      <w:lvlJc w:val="left"/>
      <w:lvlText w:val="%1."/>
      <w:numFmt w:val="upperLetter"/>
      <w:start w:val="1"/>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3"/>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Letter"/>
      <w:start w:val="2"/>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lowerLetter"/>
      <w:start w:val="2"/>
    </w:lvl>
    <w:lvl w:ilvl="1">
      <w:lvlJc w:val="left"/>
      <w:lvlText w:val="(%2)"/>
      <w:numFmt w:val="lowerLetter"/>
      <w:start w:val="9"/>
    </w:lvl>
  </w:abstractNum>
  <w:abstractNum w:abstractNumId="51">
    <w:nsid w:val="7E0C57B1"/>
    <w:multiLevelType w:val="hybridMultilevel"/>
    <w:lvl w:ilvl="0">
      <w:lvlJc w:val="left"/>
      <w:lvlText w:val="(%1)"/>
      <w:numFmt w:val="lowerRoman"/>
      <w:start w:val="2"/>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lowerLetter"/>
      <w:start w:val="7"/>
    </w:lvl>
  </w:abstractNum>
  <w:abstractNum w:abstractNumId="56">
    <w:nsid w:val="2F305DEF"/>
    <w:multiLevelType w:val="hybridMultilevel"/>
    <w:lvl w:ilvl="0">
      <w:lvlJc w:val="left"/>
      <w:lvlText w:val="(%1)"/>
      <w:numFmt w:val="lowerLetter"/>
      <w:start w:val="5"/>
    </w:lvl>
  </w:abstractNum>
  <w:abstractNum w:abstractNumId="57">
    <w:nsid w:val="25A70BF7"/>
    <w:multiLevelType w:val="hybridMultilevel"/>
    <w:lvl w:ilvl="0">
      <w:lvlJc w:val="left"/>
      <w:lvlText w:val="(%1)"/>
      <w:numFmt w:val="lowerRoman"/>
      <w:start w:val="4"/>
    </w:lvl>
    <w:lvl w:ilvl="1">
      <w:lvlJc w:val="left"/>
      <w:lvlText w:val="(%2)"/>
      <w:numFmt w:val="lowerLetter"/>
      <w:start w:val="2"/>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3"/>
    </w:lvl>
  </w:abstractNum>
  <w:abstractNum w:abstractNumId="61">
    <w:nsid w:val="1381823A"/>
    <w:multiLevelType w:val="hybridMultilevel"/>
    <w:lvl w:ilvl="0">
      <w:lvlJc w:val="left"/>
      <w:lvlText w:val="(%1)"/>
      <w:numFmt w:val="lowerLetter"/>
      <w:start w:val="4"/>
    </w:lvl>
  </w:abstractNum>
  <w:abstractNum w:abstractNumId="62">
    <w:nsid w:val="5DB70AE5"/>
    <w:multiLevelType w:val="hybridMultilevel"/>
    <w:lvl w:ilvl="0">
      <w:lvlJc w:val="left"/>
      <w:lvlText w:val="(%1)"/>
      <w:numFmt w:val="lowerLetter"/>
      <w:start w:val="5"/>
    </w:lvl>
  </w:abstractNum>
  <w:abstractNum w:abstractNumId="63">
    <w:nsid w:val="100F8FCA"/>
    <w:multiLevelType w:val="hybridMultilevel"/>
    <w:lvl w:ilvl="0">
      <w:lvlJc w:val="left"/>
      <w:lvlText w:val="(%1)"/>
      <w:numFmt w:val="lowerLetter"/>
      <w:start w:val="2"/>
    </w:lvl>
  </w:abstractNum>
  <w:abstractNum w:abstractNumId="64">
    <w:nsid w:val="6590700B"/>
    <w:multiLevelType w:val="hybridMultilevel"/>
    <w:lvl w:ilvl="0">
      <w:lvlJc w:val="left"/>
      <w:lvlText w:val="(%1)"/>
      <w:numFmt w:val="lowerLetter"/>
      <w:start w:val="1"/>
    </w:lvl>
  </w:abstractNum>
  <w:abstractNum w:abstractNumId="65">
    <w:nsid w:val="15014ACB"/>
    <w:multiLevelType w:val="hybridMultilevel"/>
    <w:lvl w:ilvl="0">
      <w:lvlJc w:val="left"/>
      <w:lvlText w:val="(%1)"/>
      <w:numFmt w:val="lowerLetter"/>
      <w:start w:val="2"/>
    </w:lvl>
    <w:lvl w:ilvl="1">
      <w:lvlJc w:val="left"/>
      <w:lvlText w:val="(%2)"/>
      <w:numFmt w:val="lowerLetter"/>
      <w:start w:val="2"/>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upperLetter"/>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lowerLetter"/>
      <w:start w:val="1"/>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1"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84" Type="http://schemas.openxmlformats.org/officeDocument/2006/relationships/hyperlink" Target="http://www.sec.gov/Archives/edgar/data/1090425/000119312514417756/d823054dex31.htm" TargetMode="External"/><Relationship Id="rId85" Type="http://schemas.openxmlformats.org/officeDocument/2006/relationships/hyperlink" Target="http://www.sec.gov/Archives/edgar/data/1090425/000119312514417756/d823054dex32.htm" TargetMode="External"/><Relationship Id="rId86" Type="http://schemas.openxmlformats.org/officeDocument/2006/relationships/hyperlink" Target="http://www.sec.gov/Archives/edgar/data/899045/000095013407011105/d46520exv3w2.htm" TargetMode="External"/><Relationship Id="rId87" Type="http://schemas.openxmlformats.org/officeDocument/2006/relationships/hyperlink" Target="http://www.sec.gov/Archives/edgar/data/1090425/000119312514417756/d823054dex33.htm" TargetMode="External"/><Relationship Id="rId88" Type="http://schemas.openxmlformats.org/officeDocument/2006/relationships/hyperlink" Target="http://www.sec.gov/Archives/edgar/data/899045/000095013499009877/0000950134-99-009877.txt" TargetMode="External"/><Relationship Id="rId89" Type="http://schemas.openxmlformats.org/officeDocument/2006/relationships/hyperlink" Target="http://www.sec.gov/Archives/edgar/data/899045/000119312520146127/d930554dex41.htm" TargetMode="External"/><Relationship Id="rId90" Type="http://schemas.openxmlformats.org/officeDocument/2006/relationships/hyperlink" Target="http://www.sec.gov/Archives/edgar/data/899045/000119312520146127/d930554dex101.htm" TargetMode="External"/><Relationship Id="rId92" Type="http://schemas.openxmlformats.org/officeDocument/2006/relationships/hyperlink" Target="http://www.sec.gov/Archives/edgar/data/899045/000119312520187830/d864629dex101.htm" TargetMode="External"/><Relationship Id="rId93" Type="http://schemas.openxmlformats.org/officeDocument/2006/relationships/hyperlink" Target="http://www.sec.gov/Archives/edgar/data/899045/000119312520033197/d889727dex105.htm" TargetMode="External"/><Relationship Id="rId94" Type="http://schemas.openxmlformats.org/officeDocument/2006/relationships/hyperlink" Target="http://www.sec.gov/Archives/edgar/data/899045/000119312520033197/d88972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2020-08-06T10:13:58Z</dcterms:created>
  <dcterms:modified xsi:type="dcterms:W3CDTF">2020-08-06T10:13:58Z</dcterms:modified>
</cp:coreProperties>
</file>