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LAMAR ADVERTISING CO/NEW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98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9,497,539.00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9,813,265.00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9,813,265.00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11"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00"/>
          </w:cols>
          <w:pgMar w:left="360" w:top="111" w:right="5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LAMAR ADVERTISING CO/NEW</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C/O LAMAR ADVERTISING COMPANY, 5321 CORPORATE BOULEVARD, BATON ROUGE, LOUISIANA, 70808</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00" w:lineRule="exact"/>
        <w:rPr>
          <w:sz w:val="20"/>
          <w:szCs w:val="20"/>
          <w:color w:val="auto"/>
        </w:rPr>
      </w:pPr>
    </w:p>
    <w:p>
      <w:pPr>
        <w:sectPr>
          <w:pgSz w:w="11900" w:h="16838" w:orient="portrait"/>
          <w:cols w:equalWidth="0" w:num="2">
            <w:col w:w="620" w:space="300"/>
            <w:col w:w="10080"/>
          </w:cols>
          <w:pgMar w:left="360" w:top="111" w:right="53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00"/>
          </w:cols>
          <w:pgMar w:left="360" w:top="111" w:right="53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10080"/>
          </w:cols>
          <w:pgMar w:left="360" w:top="111"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9,813,265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11.3%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9,497,539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9,813,265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LAMAR ADVERTISING CO. No one person's interest in the common stock of LAMAR ADVERTISING CO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2026-04-28T14:33:51Z</dcterms:created>
  <dcterms:modified xsi:type="dcterms:W3CDTF">2026-04-28T14:33:51Z</dcterms:modified>
</cp:coreProperties>
</file>