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680720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706120</wp:posOffset>
            </wp:positionV>
            <wp:extent cx="6506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LAMAR ADVERTISING COMPANY</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registrants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29"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001-36756</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47-0961620</w:t>
            </w:r>
          </w:p>
        </w:tc>
      </w:tr>
      <w:tr>
        <w:trPr>
          <w:trHeight w:val="220"/>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(States or other jurisdictions</w:t>
            </w:r>
          </w:p>
        </w:tc>
        <w:tc>
          <w:tcPr>
            <w:tcW w:w="3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Numbers)</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Identification Nos.)</w:t>
            </w:r>
          </w:p>
        </w:tc>
      </w:tr>
    </w:tbl>
    <w:p>
      <w:pPr>
        <w:spacing w:after="0" w:line="3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5321 Corporate Blvd.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Baton Rouge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Louisiana </w:t>
      </w:r>
      <w:r>
        <w:rPr>
          <w:rFonts w:ascii="Times New Roman" w:cs="Times New Roman" w:eastAsia="Times New Roman" w:hAnsi="Times New Roman"/>
          <w:sz w:val="17"/>
          <w:szCs w:val="17"/>
          <w:b w:val="1"/>
          <w:bCs w:val="1"/>
          <w:color w:val="auto"/>
        </w:rPr>
        <w:t>70808</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81" w:lineRule="exact"/>
        <w:rPr>
          <w:sz w:val="24"/>
          <w:szCs w:val="24"/>
          <w:color w:val="auto"/>
        </w:rPr>
      </w:pPr>
    </w:p>
    <w:p>
      <w:pPr>
        <w:ind w:left="5420" w:hanging="427"/>
        <w:spacing w:after="0"/>
        <w:tabs>
          <w:tab w:leader="none" w:pos="5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926-1000</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49" w:lineRule="exact"/>
        <w:rPr>
          <w:sz w:val="24"/>
          <w:szCs w:val="24"/>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5"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Lamar Advertising Company securities registered pursuant to Section 12(b) of the Act:</w:t>
      </w:r>
    </w:p>
    <w:p>
      <w:pPr>
        <w:spacing w:after="0" w:line="57" w:lineRule="exact"/>
        <w:rPr>
          <w:sz w:val="24"/>
          <w:szCs w:val="24"/>
          <w:color w:val="auto"/>
        </w:rPr>
      </w:pPr>
    </w:p>
    <w:tbl>
      <w:tblPr>
        <w:tblLayout w:type="fixed"/>
        <w:tblInd w:w="5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9"/>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8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LAMR</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7260"/>
        <w:spacing w:after="0"/>
        <w:tabs>
          <w:tab w:leader="none" w:pos="100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208" w:lineRule="exact"/>
        <w:rPr>
          <w:sz w:val="24"/>
          <w:szCs w:val="24"/>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1270</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27305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November 5, 2026, Lamar Advertising Company announced via press release its results for the quarter ended September 30, 2026. A copy of Lamar’s press release is hereby furnished to the Commission and incorporated by reference herein as Exhibit 99.1.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760" w:type="dxa"/>
            <w:vAlign w:val="bottom"/>
          </w:tcPr>
          <w:p>
            <w:pPr>
              <w:spacing w:after="0"/>
              <w:rPr>
                <w:sz w:val="17"/>
                <w:szCs w:val="17"/>
                <w:color w:val="auto"/>
              </w:rPr>
            </w:pPr>
          </w:p>
        </w:tc>
        <w:tc>
          <w:tcPr>
            <w:tcW w:w="10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gridSpan w:val="3"/>
            <w:vMerge w:val="continu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3"/>
            <w:vMerge w:val="continue"/>
          </w:tcPr>
          <w:p>
            <w:pPr>
              <w:spacing w:after="0"/>
              <w:rPr>
                <w:sz w:val="19"/>
                <w:szCs w:val="19"/>
                <w:color w:val="auto"/>
              </w:rPr>
            </w:pPr>
          </w:p>
        </w:tc>
        <w:tc>
          <w:tcPr>
            <w:tcW w:w="8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of Lamar Advertising Company, dated November 5, 2026, reporting Lamar’s financial results for the quarter</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ended September 30, 2026.</w:t>
            </w:r>
          </w:p>
        </w:tc>
        <w:tc>
          <w:tcPr>
            <w:tcW w:w="8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(embedded within the Inline XBRL document).</w:t>
            </w: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69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283"/>
        </w:trPr>
        <w:tc>
          <w:tcPr>
            <w:tcW w:w="3300" w:type="dxa"/>
            <w:vAlign w:val="bottom"/>
          </w:tcPr>
          <w:p>
            <w:pPr>
              <w:spacing w:after="0"/>
              <w:rPr>
                <w:sz w:val="24"/>
                <w:szCs w:val="24"/>
                <w:color w:val="auto"/>
              </w:rPr>
            </w:pPr>
          </w:p>
        </w:tc>
        <w:tc>
          <w:tcPr>
            <w:tcW w:w="21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4"/>
        </w:trPr>
        <w:tc>
          <w:tcPr>
            <w:tcW w:w="3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ectPr>
          <w:pgSz w:w="11900" w:h="16838" w:orient="portrait"/>
          <w:cols w:equalWidth="0" w:num="1">
            <w:col w:w="10940"/>
          </w:cols>
          <w:pgMar w:left="320" w:top="995" w:right="63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577850</wp:posOffset>
            </wp:positionV>
            <wp:extent cx="178308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83080" cy="2400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5321 Corporate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Baton Rouge, LA 70808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Ended September 30, 2026 Operating Results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Three Month Results</w:t>
      </w:r>
    </w:p>
    <w:p>
      <w:pPr>
        <w:spacing w:after="0" w:line="254" w:lineRule="exact"/>
        <w:rPr>
          <w:sz w:val="20"/>
          <w:szCs w:val="20"/>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$624.5 million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$165.0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$306.9 million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Nine Month Results</w:t>
      </w:r>
    </w:p>
    <w:p>
      <w:pPr>
        <w:spacing w:after="0" w:line="254" w:lineRule="exact"/>
        <w:rPr>
          <w:sz w:val="20"/>
          <w:szCs w:val="20"/>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$1.77 billion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$431.5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$836.5 million</w:t>
      </w:r>
    </w:p>
    <w:p>
      <w:pPr>
        <w:spacing w:after="0" w:line="23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Baton Rouge, LA – November 5, 2026 - Lamar Advertising Company (the “Company” or “Lamar”) (Nasdaq: LAMR), a leading owner and operator of outdoor advertising and logo sign displays, announces the Company’s operating results for the third quarter ended September 30, 2026.</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sales growth accelerated in the third quarter, buoyed by demand from national customers, our digital platform and political spend," Lamar chief executive Sean Reilly said. "With those results in hand and a strong start to the fourth quarter, we are raising our guidance for full-year AFFO per diluted share to a range of $8.87 to $8.97."</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Third Quarter Highlights</w:t>
      </w:r>
    </w:p>
    <w:p>
      <w:pPr>
        <w:spacing w:after="0" w:line="254" w:lineRule="exact"/>
        <w:rPr>
          <w:sz w:val="20"/>
          <w:szCs w:val="20"/>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6.6%</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14.5%</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9.3%</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 increased 10.1%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Results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reported net revenues of $624.5 million for the third quarter of 2026 versus $585.5 million for the third quarter of 2025, a 6.6% increase. Operating income for the third quarter of 2026 increased $20.4 million to $209.4 million as compared to $189.1 million for the same period in 2025. Lamar recognized net income of $165.0 million for the third quarter of 2026 as compared to net income of $144.1 million for the same period in 2025, an increase of $20.9 million. Net income per diluted share was $1.59 and $1.40 for the three months ended September 30, 2026 and 2025, respectively.</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Adjusted EBITDA for the third quarter of 2026 was $306.9 million versus $280.8 million for the third quarter of 2025, an increase of 9.3%.</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$284.1 million for the three months ended September 30, 2026 versus $235.7 million for the third quarter of 2025, an increase of $48.4 million. Free cash flow for the third quarter of 2026 was $220.1 million as compared to $189.2 million for the same period in 2025, a $30.9 million increase.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third quarter of 2026, funds from operations, or FFO, was $224.2 million versus $219.3 million for the same period in 2025, an increase of 2.2%. Adjusted funds from operations, or AFFO, for the third quarter of 2026 was $249.3 million compared to $226.5 million for the same period in 2025, an increase of 10.1%. Diluted AFFO per share increased 9.5% to $2.41 for the three months ended September 30, 2026 as compared to $2.20 for the same period in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Acquisition-Adjusted Three Months Results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Acquisition-adjusted net revenue for the third quarter of 2026 increased 6.2% over acquisition-adjusted net revenue for the third quarter of 2025. Acquisition-adjusted EBITDA for the third quarter of 2026 increased 8.2% as compared to acquisition-adjusted EBITDA for the third quarter of 2025. Acquisition-adjusted net revenue and acquisition-adjusted EBITDA include adjustments to the 2025 period for acquisitions and divestitures for the same time frame as actually owned in the 2026 period. See “Reconciliation of Reported Basis to Acquisition-Adjusted Results”, which provides reconciliations to GAAP for acquisition-adjusted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 Results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reported net revenues of $1.77 billion for the nine months ended September 30, 2026 versus $1.67 billion for the nine months ended September 30, 2025, a 5.9% increase. Operating income for the nine months ended September 30, 2026 decreased $14.5 million to $563.5 million as compared to $578.0 million for the same period in 2025. Lamar recognized net income of $431.5 million for the nine months ended September 30, 2026 as compared to net income of $438.3 million for the same period in 2025, a decrease of $6.8 million. Net income per diluted share was $4.17 and $4.27 for the nine months ended September 30, 2026 and 2025, respectively.</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Adjusted EBITDA for the nine months ended September 30, 2026 was $836.5 million versus $769.4 million for the same period in 2025, an increase of 8.7%.</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$683.9 million for the nine months ended September 30, 2026 as compared to $592.9 million for the same period in 2025, an increase of $91.0 million. Free cash flow for the nine months ended September 30, 2026 was $591.2 million as compared to $509.4 million for the same period in 2025, an $81.8 million increase.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funds from operations, or FFO, was $628.8 million versus $600.8 million for the same period in 2025, an increase of 4.6%. Adjusted funds from operations, or AFFO, for the nine months ended September 30, 2026 was $674.8 million compared to $616.1 million for the same period in 2025, an increase of 9.5%. Diluted AFFO per share increased 8.8% to $6.54 for the nine months ended September 30, 2026 as compared to $6.01 for the same period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September 30, 2026, Lamar had $721.1 million in total liquidity that consisted of $667.0 million available for borrowing under its revolving senior credit facility and $54.1 million in cash and cash equivalents. There was $75.0 million in borrowings outstanding under the Company’s revolving credit facility and $250.0 million outstanding under the Accounts Receivable Securitization Program as of the same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October 1, 2026, Lamar Advertising Company’s direct wholly owned subsidiary Lamar Media Corp. and indirect wholly-owned special purpose subsidiaries, Lamar QRS Receivables, LLC and Lamar TRS Receivables, LLC, entered into the Eighth Amendment to the Receivables Financing Agreement dated December 18, 2018. The amendment extends the maturity date of the Accounts Receivable Securitization Program established under the Receivables Financing Agreement to October 1, 2029. Additionally, the amendment provides additional flexibility for eligibility of certain receivables under the Accounts Receivable Securitization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Revised Guidance</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are updating our 2026 guidance issued in August 2026. We now expect diluted earnings per share for fiscal year 2026 to be between $6.01 and $6.04, with diluted AFFO per share between $8.87 and $8.97. See “Supplemental Schedules Unaudited REIT Measures and Reconciliations to GAAP Measures” for reconciliation to GAAP.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sales trends. These statements are subject to risks and uncertainties that could cause actual results to differ materially from those projected in these forward-looking statements. These risks and uncertainties include, among others: (1) our significant indebtedness; (2) the state of the economy and financial markets generally, and the effect of the broader economy on the demand for advertising, including economic changes that may result from new or increased tariffs, trade restrictions or geopolitical tensions, including war and armed conflicts; (3) the continued popularity of outdoor advertising as an advertising medium; (4) our need for and ability to obtain additional funding for operations, debt refinancing or acquisitions; (5) our ability to continue to qualify as a Real Estate Investment Trust (“REIT”) and maintain our status as a REIT; (6) the regulation of the outdoor advertising industry by federal, state and local governments; (7) the integration of companies and assets that we acquire and our ability to recognize cost savings or operating efficiencies as a result of these acquisitions; (8) changes in accounting principles, policies or guidelines; (9) changes in tax laws applicable to REITs or in the interpretation of those laws; (10) our ability to renew expiring contracts at favorable rates; (11) our ability to successfully implement our digital deployment strategy; and (12) the market for our Class A common stock. For additional information regarding factors that may cause actual results to differ materially from those indicated in our forward-looking statements, we refer you to the risk factors included in Item 1A of our Annual Report on Form 10-K for the year ended December 31, 2025, as supplemented by any risk factors contained in our Quarterly Reports on Form 10-Q and our Current Reports on Form 8-K. We caution investors not to place undue reliance on the forward-looking statements contained in this document. These statements speak only as of the date of this document, and we undertake no obligation to update or revise the statements, except as may be required by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has presented the following measures that are not measures of performance under accounting principles generally accepted in the United States of America (“GAAP”): adjusted earnings before interest, taxes, depreciation and amortization (“adjusted EBITDA”), free cash flow, funds from operations (“FFO”), adjusted funds from operations (“AFFO”), diluted AFFO per share, outdoor operating income, acquisition-adjusted results and acquisition-adjusted consolidated expense. Our management reviews our performance by focusing on these key performance indicators not prepared in conformity with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Non-GAAP financial measures are determined as follows: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before income tax expense (benefit), interest expense (income), loss (gain) on extinguishment of debt and investments, equity in (earnings) loss of investee, stock-based compensation, depreciation and amortization, loss (gain) on disposition of assets and investments, transaction expenses and investments and capitalized contract fulfillment costs, net.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defined as adjusted EBITDA divided by net revenues.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adjusted EBITDA less interest, net of interest income and amortization of deferred financing costs, current taxes, preferred stock dividends and total capital expenditures.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National Association of Real Estate Investment Trusts definition of FFO, which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87" w:right="339" w:bottom="1440" w:gutter="0" w:footer="0" w:header="0"/>
        </w:sectPr>
      </w:pPr>
    </w:p>
    <w:bookmarkStart w:id="6" w:name="page7"/>
    <w:bookmarkEnd w:id="6"/>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AFFO per share is defined as AFFO divided by adjusted weighted average diluted common shares/units outstanding. Adjusted weighted average diluted common shares/units outstanding is calculated by adjusting the Company’s weighted average diluted common shares to add the weighted average outstanding units of Lamar Advertising Limited Partnership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w:t>
      </w:r>
    </w:p>
    <w:p>
      <w:pPr>
        <w:spacing w:after="0" w:line="21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operating income is defined as operating income before corporate expenses, stock-based compensation, capitalized contract fulfillment costs, net, transaction expenses, depreciation and amortization and loss (gain) on disposition of assets and investments.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results adjusts our net revenue, direct and general and administrative expenses, outdoor operating income, corporate expense and EBITDA for the prior period by adding to, or subtracting from, the corresponding revenue or expense generated by the acquired or divested assets before our acquisition or divestiture of these assets for the same time frame that those assets were owned in the current period. In calculating acquisition-adjusted results, therefore, we include revenue and expenses generated by assets that we did not own in the prior period but acquired in the current period. We refer to the amount of pre-acquisition revenue and expense generated by or subtracted from the acquired assets during the prior period that corresponds with the current period in which we owned the assets (to the extent within the period to which this report relates) as “acquisition-adjusted results”.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consolidated expense adjusts our total operating expense to remove the impact of stock-based compensation, depreciation and amortization, transaction expenses, capitalized contract fulfillment costs, net, and loss (gain) on disposition of assets and investments. The prior period is also adjusted to include the expense generated by the acquired or divested assets before our acquisition or divestiture of such assets for the same time frame that those assets were owned in the current period.</w:t>
      </w:r>
    </w:p>
    <w:p>
      <w:pPr>
        <w:spacing w:after="0" w:line="207"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Adjusted EBITDA, FFO, AFFO, diluted AFFO per share, free cash flow, outdoor operating income, acquisition-adjusted results and acquisition-adjusted consolidated expense are not intended to replace other performance measures determined in accordance with GAAP. Free cash flow, FFO and AFFO do not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Adjusted EBITDA, free cash flow, FFO, AFFO, diluted AFFO per share, outdoor operating income, acquisition-adjusted results and acquisition-adjusted consolidated expense are presented as we believe each is a useful indicator of our current operating performance. Specifically,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it excludes the impact of depreciation and amortization, which may vary significantly among companies, depending upon accounting methods and useful lives, particularly where acquisitions and non-operating factors are involved; (3) adjusted EBITDA, FFO, AFFO, diluted AFFO per share and acquisition-adjusted consolidated expense each provides investors with a meaningful measure for evaluating our period-over-period operating performance by eliminating items that are not operational in nature and reflect the impact on operations from trends in occupancy rates, operating costs, general and administrative expenses and interest costs; (4) acquisition-adjusted results is a supplement to enable investors to compare period-over-period results on a more consistent basis without the effects of acquisitions and divestitures, which reflects our core performance and organic growth (if any) during the period in which the assets were owned and managed by us; (5) free cash flow is an indicator of our ability to service debt and generate cash for acquisitions and other strategic investments; (6) outdoor operating income provides investors a measurement of our core results without the impact of fluctuations in stock-based compensation, depreciation and amortization and corporate expenses; and (7) each of our Non-GAAP measures provides investors with a measure for comparing our results of operations to those of other companies.</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measurement of adjusted EBITDA, FFO, AFFO, diluted AFFO per share, free cash flow, outdoor operating income, acquisition-adjusted results and acquisition-adjusted consolidated expense may not, however, be fully comparable to similarly titled measures used by other companies. Reconciliations of adjusted EBITDA, FFO, AFFO, diluted AFFO per share, free cash flow, outdoor operating income, acquisition-adjusted results and acquisition-adjusted consolidated expense to the most directly comparable GAAP measures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 conference call will be held to discuss the Company’s operating results on Thursday, November 5, 2026 at 8:00 a.m. central time. Instructions for the conference call and Webcast are provided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 Callers:</w:t>
            </w:r>
          </w:p>
        </w:tc>
        <w:tc>
          <w:tcPr>
            <w:tcW w:w="56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1-800-791-4799 or 1-785-424-1631</w:t>
            </w:r>
          </w:p>
        </w:tc>
        <w:tc>
          <w:tcPr>
            <w:tcW w:w="0" w:type="dxa"/>
            <w:vAlign w:val="bottom"/>
          </w:tcPr>
          <w:p>
            <w:pPr>
              <w:spacing w:after="0"/>
              <w:rPr>
                <w:sz w:val="1"/>
                <w:szCs w:val="1"/>
                <w:color w:val="auto"/>
              </w:rPr>
            </w:pPr>
          </w:p>
        </w:tc>
      </w:tr>
      <w:tr>
        <w:trPr>
          <w:trHeight w:val="27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Passcode:</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63104</w:t>
            </w:r>
          </w:p>
        </w:tc>
        <w:tc>
          <w:tcPr>
            <w:tcW w:w="7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Webcast:</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Webcast Replay:</w:t>
            </w: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00" w:type="dxa"/>
            <w:vAlign w:val="bottom"/>
            <w:gridSpan w:val="2"/>
            <w:vMerge w:val="continue"/>
          </w:tcPr>
          <w:p>
            <w:pPr>
              <w:spacing w:after="0"/>
              <w:rPr>
                <w:sz w:val="24"/>
                <w:szCs w:val="2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333333"/>
                <w:w w:val="98"/>
              </w:rPr>
              <w:t>Available through Thursday, November 12, 2026 at 11:59 p.m. Eastern Time</w:t>
            </w:r>
          </w:p>
        </w:tc>
        <w:tc>
          <w:tcPr>
            <w:tcW w:w="0" w:type="dxa"/>
            <w:vAlign w:val="bottom"/>
          </w:tcPr>
          <w:p>
            <w:pPr>
              <w:spacing w:after="0"/>
              <w:rPr>
                <w:sz w:val="1"/>
                <w:szCs w:val="1"/>
                <w:color w:val="auto"/>
              </w:rPr>
            </w:pPr>
          </w:p>
        </w:tc>
      </w:tr>
      <w:tr>
        <w:trPr>
          <w:trHeight w:val="54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Contact:</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Buster Kantrow</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Investor Relations</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 926-1000</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bkantrow@lamar.com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Founded in 1902, Lamar Advertising (Nasdaq: LAMR) is one of the largest outdoor advertising companies in North America, with over 360,000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5,900 displays.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52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42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6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101,552,429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101,234,505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101,473,753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101,643,527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101,309,203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101,581,005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101,720,659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Free Cash Flow Computation:</w:t>
            </w:r>
          </w:p>
        </w:tc>
        <w:tc>
          <w:tcPr>
            <w:tcW w:w="3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591,191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AND CASH FLOW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Selected Balance Sheet Data:</w:t>
            </w:r>
          </w:p>
        </w:tc>
        <w:tc>
          <w:tcPr>
            <w:tcW w:w="3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64,812</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(334,320)</w:t>
            </w: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7,028,526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6,931,954</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financing costs (including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1,024,779</w:t>
            </w:r>
          </w:p>
        </w:tc>
      </w:tr>
      <w:tr>
        <w:trPr>
          <w:trHeight w:val="55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25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374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560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Selected Cash Flow Data:</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592,889</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128,059</w:t>
            </w: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183,292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auto"/>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Cash Flows Provided By Operating Activities to Free Cash</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Flow:</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592,889</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41,605</w:t>
            </w:r>
          </w:p>
        </w:tc>
      </w:tr>
      <w:tr>
        <w:trPr>
          <w:trHeight w:val="243"/>
        </w:trPr>
        <w:tc>
          <w:tcPr>
            <w:tcW w:w="20" w:type="dxa"/>
            <w:vAlign w:val="bottom"/>
          </w:tcPr>
          <w:p>
            <w:pPr>
              <w:spacing w:after="0"/>
              <w:rPr>
                <w:sz w:val="21"/>
                <w:szCs w:val="21"/>
                <w:color w:val="auto"/>
              </w:rPr>
            </w:pP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(117,938)</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20" w:type="dxa"/>
            <w:vAlign w:val="bottom"/>
          </w:tcPr>
          <w:p>
            <w:pPr>
              <w:spacing w:after="0"/>
              <w:rPr>
                <w:sz w:val="21"/>
                <w:szCs w:val="21"/>
                <w:color w:val="auto"/>
              </w:rPr>
            </w:pP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220,136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591,191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509,408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auto"/>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Reconciliation of Net Income to Adjusted EBITDA:</w:t>
            </w:r>
          </w:p>
        </w:tc>
        <w:tc>
          <w:tcPr>
            <w:tcW w:w="18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438,320</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120,221</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r>
      <w:tr>
        <w:trPr>
          <w:trHeight w:val="237"/>
        </w:trPr>
        <w:tc>
          <w:tcPr>
            <w:tcW w:w="20" w:type="dxa"/>
            <w:vAlign w:val="bottom"/>
          </w:tcPr>
          <w:p>
            <w:pPr>
              <w:spacing w:after="0"/>
              <w:rPr>
                <w:sz w:val="20"/>
                <w:szCs w:val="20"/>
                <w:color w:val="auto"/>
              </w:rPr>
            </w:pP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563,460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577,998</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20" w:type="dxa"/>
            <w:vAlign w:val="bottom"/>
            <w:shd w:val="clear" w:color="auto" w:fill="CCEEFF"/>
          </w:tcPr>
          <w:p>
            <w:pPr>
              <w:spacing w:after="0"/>
              <w:rPr>
                <w:sz w:val="21"/>
                <w:szCs w:val="21"/>
                <w:color w:val="auto"/>
              </w:rPr>
            </w:pPr>
          </w:p>
        </w:tc>
        <w:tc>
          <w:tcPr>
            <w:tcW w:w="562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Capital expenditure detail by category:</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Billboards - traditional</w:t>
            </w:r>
          </w:p>
        </w:tc>
        <w:tc>
          <w:tcPr>
            <w:tcW w:w="2820" w:type="dxa"/>
            <w:vAlign w:val="bottom"/>
            <w:tcBorders>
              <w:top w:val="single" w:sz="8" w:color="CCEEFF"/>
            </w:tcBorders>
            <w:gridSpan w:val="3"/>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22,677</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Billboards - digital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Logo</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4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Reconciliation of Reported Basis to Acquisition-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Adjusted Results</w:t>
            </w:r>
          </w:p>
        </w:tc>
        <w:tc>
          <w:tcPr>
            <w:tcW w:w="14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w w:val="97"/>
              </w:rPr>
              <w:t>(a)</w:t>
            </w:r>
          </w:p>
        </w:tc>
        <w:tc>
          <w:tcPr>
            <w:tcW w:w="1980" w:type="dxa"/>
            <w:vAlign w:val="bottom"/>
            <w:tcBorders>
              <w:top w:val="single" w:sz="8" w:color="auto"/>
              <w:bottom w:val="single" w:sz="8" w:color="auto"/>
            </w:tcBorders>
            <w:gridSpan w:val="2"/>
            <w:vMerge w:val="restart"/>
            <w:shd w:val="clear" w:color="auto" w:fill="CCEEFF"/>
          </w:tcPr>
          <w:p>
            <w:pPr>
              <w:jc w:val="right"/>
              <w:ind w:right="1920"/>
              <w:spacing w:after="0" w:line="196" w:lineRule="exact"/>
              <w:rPr>
                <w:sz w:val="20"/>
                <w:szCs w:val="20"/>
                <w:color w:val="auto"/>
              </w:rPr>
            </w:pPr>
            <w:r>
              <w:rPr>
                <w:rFonts w:ascii="Times New Roman" w:cs="Times New Roman" w:eastAsia="Times New Roman" w:hAnsi="Times New Roman"/>
                <w:sz w:val="18"/>
                <w:szCs w:val="18"/>
                <w:u w:val="single" w:color="auto"/>
                <w:color w:val="auto"/>
                <w:w w:val="78"/>
              </w:rPr>
              <w:t>:</w:t>
            </w: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8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9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auto"/>
            </w:tcBorders>
            <w:vMerge w:val="continue"/>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980" w:type="dxa"/>
            <w:vAlign w:val="bottom"/>
            <w:tcBorders>
              <w:bottom w:val="single" w:sz="8" w:color="CCEEFF"/>
            </w:tcBorders>
            <w:gridSpan w:val="2"/>
            <w:vMerge w:val="continue"/>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420" w:type="dxa"/>
            <w:vAlign w:val="bottom"/>
            <w:tcBorders>
              <w:top w:val="single" w:sz="8" w:color="CCEEFF"/>
            </w:tcBorders>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net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587,867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1,677,104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direct advertising and G&amp;A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820,391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840" w:type="dxa"/>
            <w:vAlign w:val="bottom"/>
            <w:gridSpan w:val="6"/>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Acquisition-adjusted direct advertising and G&amp;A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307,808</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outdoor 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310,538</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917,588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corporate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Acquisition-adjusted corporate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283,550</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Acquisition-adjusted net revenue, direct advertising and general and administrative expenses, outdoor operating income, corporate expenses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EBITDA  include  adjustments  to  2025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for</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acquisitions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divestitures</w:t>
            </w: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for  the  same</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time  frame  as</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actually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  in</w:t>
            </w:r>
          </w:p>
        </w:tc>
      </w:tr>
      <w:tr>
        <w:trPr>
          <w:trHeight w:val="234"/>
        </w:trPr>
        <w:tc>
          <w:tcPr>
            <w:tcW w:w="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6"/>
                <w:szCs w:val="16"/>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Net Income to Outdoor Operating</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Income:</w:t>
            </w:r>
          </w:p>
        </w:tc>
        <w:tc>
          <w:tcPr>
            <w:tcW w:w="2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20" w:type="dxa"/>
            <w:vAlign w:val="bottom"/>
          </w:tcPr>
          <w:p>
            <w:pPr>
              <w:spacing w:after="0"/>
              <w:rPr>
                <w:sz w:val="21"/>
                <w:szCs w:val="21"/>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577,998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333,390</w:t>
            </w: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917,588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Total Operating Expenses to</w:t>
            </w:r>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Acquisition-Adjusted Consolidated Expense: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415,031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1,205,761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Acquisition-adjusted consolidated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52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Adjusted Funds from Operations:</w:t>
            </w:r>
          </w:p>
        </w:tc>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438,320</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224,515</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from sale or disposal of real estate assets and investments, net of tax</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(62,621)</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7"/>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600,822</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Straight-line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(36,542)</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63"/>
        </w:trPr>
        <w:tc>
          <w:tcPr>
            <w:tcW w:w="20" w:type="dxa"/>
            <w:vAlign w:val="bottom"/>
          </w:tcPr>
          <w:p>
            <w:pPr>
              <w:spacing w:after="0"/>
              <w:rPr>
                <w:sz w:val="22"/>
                <w:szCs w:val="2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Weighted average diluted common shares outstanding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101,663,105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101,309,203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101,581,005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101,720,659</w:t>
            </w:r>
          </w:p>
        </w:tc>
      </w:tr>
      <w:tr>
        <w:trPr>
          <w:trHeight w:val="270"/>
        </w:trPr>
        <w:tc>
          <w:tcPr>
            <w:tcW w:w="20" w:type="dxa"/>
            <w:vAlign w:val="bottom"/>
            <w:shd w:val="clear" w:color="auto" w:fill="CCEEFF"/>
          </w:tcPr>
          <w:p>
            <w:pPr>
              <w:spacing w:after="0"/>
              <w:rPr>
                <w:sz w:val="23"/>
                <w:szCs w:val="23"/>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weighted average diluted common shares/units outstanding</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103,366,802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102,791,409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103,220,741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102,422,991</w:t>
            </w:r>
          </w:p>
        </w:tc>
      </w:tr>
      <w:tr>
        <w:trPr>
          <w:trHeight w:val="263"/>
        </w:trPr>
        <w:tc>
          <w:tcPr>
            <w:tcW w:w="20" w:type="dxa"/>
            <w:vAlign w:val="bottom"/>
          </w:tcPr>
          <w:p>
            <w:pPr>
              <w:spacing w:after="0"/>
              <w:rPr>
                <w:sz w:val="22"/>
                <w:szCs w:val="2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AFFO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Utilized to calculate earnings per share in accordance with GAAP.</w:t>
      </w:r>
    </w:p>
    <w:p>
      <w:pPr>
        <w:spacing w:after="0" w:line="1" w:lineRule="exact"/>
        <w:rPr>
          <w:rFonts w:ascii="Times New Roman" w:cs="Times New Roman" w:eastAsia="Times New Roman" w:hAnsi="Times New Roman"/>
          <w:sz w:val="22"/>
          <w:szCs w:val="22"/>
          <w:color w:val="auto"/>
          <w:vertAlign w:val="superscript"/>
        </w:rPr>
      </w:pPr>
    </w:p>
    <w:p>
      <w:pPr>
        <w:jc w:val="both"/>
        <w:ind w:firstLine="8"/>
        <w:spacing w:after="0" w:line="268"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Utilized to calculate AFFO per share. Includes the weighted average outstanding units of Lamar LP (the Company’s operating partnership) that are held by limited partners of Lamar LP other than the Company’s wholly owned subsidiary, Lamar Media Corp. Upon the satisfaction of certain conditions, these units of Lamar LP are redeemable for cash or, at the Company’s option, shares of the Company’s Class A common stock on a one-for-one basis.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Revised projected 2026 Adjusted Funds From Operations: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13"/>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Year ended December 31, 2026</w:t>
            </w:r>
          </w:p>
        </w:tc>
      </w:tr>
      <w:tr>
        <w:trPr>
          <w:trHeight w:val="27"/>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Low</w:t>
            </w: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High</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614,030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sale or disposal of real estate assets and investments,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877,270</w:t>
            </w:r>
          </w:p>
        </w:tc>
      </w:tr>
      <w:tr>
        <w:trPr>
          <w:trHeight w:val="237"/>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Straight-line expense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916,170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926,170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101,625,000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 average diluted common shares/units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103,300,000</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AFFO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guidance provided above is based on a number of assumptions that management believes to be reasonable and reflects our expectations as of November 5, 2026. Actual results may differ materially from these estimates as a result of various factors, and we refer to the cautionary language regarding “forward-looking statements” included in the press release when considering this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25"/>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2026-11-05T05:53:38Z</dcterms:created>
  <dcterms:modified xsi:type="dcterms:W3CDTF">2026-11-05T05:53:38Z</dcterms:modified>
</cp:coreProperties>
</file>