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registrants as specified in its charter)</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w:t>
      </w:r>
    </w:p>
    <w:tbl>
      <w:tblPr>
        <w:tblW w:w="6038" w:type="dxa"/>
        <w:jc w:val="center"/>
        <w:tblInd w:w="0" w:type="dxa"/>
        <w:tblLayout w:type="fixed"/>
        <w:tblCellMar>
          <w:top w:w="28" w:type="dxa"/>
          <w:left w:w="28" w:type="dxa"/>
          <w:bottom w:w="28" w:type="dxa"/>
          <w:right w:w="28" w:type="dxa"/>
        </w:tblCellMar>
      </w:tblPr>
      <w:tblGrid>
        <w:gridCol w:w="834"/>
        <w:gridCol w:w="736"/>
        <w:gridCol w:w="740"/>
        <w:gridCol w:w="109"/>
        <w:gridCol w:w="109"/>
        <w:gridCol w:w="109"/>
        <w:gridCol w:w="478"/>
        <w:gridCol w:w="478"/>
        <w:gridCol w:w="483"/>
        <w:gridCol w:w="109"/>
        <w:gridCol w:w="109"/>
        <w:gridCol w:w="109"/>
        <w:gridCol w:w="477"/>
        <w:gridCol w:w="477"/>
        <w:gridCol w:w="681"/>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001-36756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47-0961620</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(States or other jurisdictions</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Identification Nos.)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15"/>
            <w:tcBorders/>
            <w:tcMar>
              <w:top w:w="0" w:type="dxa"/>
              <w:left w:w="0" w:type="dxa"/>
              <w:bottom w:w="0" w:type="dxa"/>
              <w:right w:w="0" w:type="dxa"/>
            </w:tcMar>
            <w:vAlign w:val="center"/>
          </w:tcPr>
          <w:p>
            <w:pPr>
              <w:pStyle w:val="TableContents"/>
              <w:bidi w:val="0"/>
              <w:spacing w:lineRule="auto" w:line="288" w:before="200" w:after="283"/>
              <w:jc w:val="center"/>
              <w:rPr/>
            </w:pPr>
            <w:r>
              <w:rPr>
                <w:rFonts w:ascii="Times New Roman;serif" w:hAnsi="Times New Roman;serif"/>
                <w:b/>
                <w:color w:val="000000"/>
                <w:sz w:val="24"/>
              </w:rPr>
              <w:t>5321 Corporate Blvd.</w:t>
            </w:r>
            <w:r>
              <w:rPr>
                <w:rFonts w:ascii="Times New Roman;serif" w:hAnsi="Times New Roman;serif"/>
                <w:b/>
                <w:color w:val="000000"/>
                <w:sz w:val="20"/>
              </w:rPr>
              <w:t>, </w:t>
            </w:r>
            <w:r>
              <w:rPr>
                <w:rFonts w:ascii="Times New Roman;serif" w:hAnsi="Times New Roman;serif"/>
                <w:b/>
                <w:color w:val="000000"/>
                <w:sz w:val="24"/>
              </w:rPr>
              <w:t>Baton Rouge</w:t>
            </w:r>
            <w:r>
              <w:rPr>
                <w:rFonts w:ascii="Times New Roman;serif" w:hAnsi="Times New Roman;serif"/>
                <w:b/>
                <w:color w:val="000000"/>
                <w:sz w:val="20"/>
              </w:rPr>
              <w:t>, </w:t>
            </w:r>
            <w:r>
              <w:rPr>
                <w:rFonts w:ascii="Times New Roman;serif" w:hAnsi="Times New Roman;serif"/>
                <w:b/>
                <w:color w:val="000000"/>
                <w:sz w:val="24"/>
              </w:rPr>
              <w:t>Louisiana</w:t>
            </w:r>
            <w:r>
              <w:rPr>
                <w:color w:val="000000"/>
              </w:rPr>
              <w:t> </w:t>
            </w:r>
            <w:r>
              <w:rPr>
                <w:rFonts w:ascii="Times New Roman;serif" w:hAnsi="Times New Roman;serif"/>
                <w:b/>
                <w:color w:val="000000"/>
                <w:sz w:val="20"/>
              </w:rPr>
              <w:t>70808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15"/>
            <w:tcBorders/>
            <w:tcMar>
              <w:top w:w="0" w:type="dxa"/>
              <w:left w:w="0" w:type="dxa"/>
              <w:bottom w:w="0" w:type="dxa"/>
              <w:right w:w="0" w:type="dxa"/>
            </w:tcMar>
            <w:vAlign w:val="center"/>
          </w:tcPr>
          <w:p>
            <w:pPr>
              <w:pStyle w:val="TableContents"/>
              <w:bidi w:val="0"/>
              <w:spacing w:lineRule="auto" w:line="288" w:before="200" w:after="283"/>
              <w:jc w:val="center"/>
              <w:rPr/>
            </w:pPr>
            <w:r>
              <w:rPr>
                <w:rFonts w:ascii="Times New Roman;serif" w:hAnsi="Times New Roman;serif"/>
                <w:b/>
                <w:color w:val="000000"/>
                <w:sz w:val="20"/>
              </w:rPr>
              <w:t>(225) </w:t>
            </w:r>
            <w:r>
              <w:rPr>
                <w:rFonts w:ascii="Times New Roman;serif" w:hAnsi="Times New Roman;serif"/>
                <w:b/>
                <w:color w:val="000000"/>
                <w:sz w:val="24"/>
              </w:rPr>
              <w:t>926-1000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br/>
              <w:t>(Former name or former address, if change since last report)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7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Lamar Advertising Company securities registered pursuant to Section 12(b) of the Act:</w:t>
      </w:r>
    </w:p>
    <w:tbl>
      <w:tblPr>
        <w:tblW w:w="7598" w:type="dxa"/>
        <w:jc w:val="center"/>
        <w:tblInd w:w="0" w:type="dxa"/>
        <w:tblLayout w:type="fixed"/>
        <w:tblCellMar>
          <w:top w:w="28" w:type="dxa"/>
          <w:left w:w="28" w:type="dxa"/>
          <w:bottom w:w="28" w:type="dxa"/>
          <w:right w:w="28" w:type="dxa"/>
        </w:tblCellMar>
      </w:tblPr>
      <w:tblGrid>
        <w:gridCol w:w="1166"/>
        <w:gridCol w:w="1026"/>
        <w:gridCol w:w="1033"/>
        <w:gridCol w:w="109"/>
        <w:gridCol w:w="109"/>
        <w:gridCol w:w="109"/>
        <w:gridCol w:w="294"/>
        <w:gridCol w:w="294"/>
        <w:gridCol w:w="296"/>
        <w:gridCol w:w="109"/>
        <w:gridCol w:w="109"/>
        <w:gridCol w:w="109"/>
        <w:gridCol w:w="831"/>
        <w:gridCol w:w="831"/>
        <w:gridCol w:w="1173"/>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or Rule 12b-2 of the Securities Exchange Act of 1934 (17 CFR §240.12b-2).</w:t>
      </w:r>
    </w:p>
    <w:tbl>
      <w:tblPr>
        <w:tblW w:w="2755" w:type="dxa"/>
        <w:jc w:val="left"/>
        <w:tblInd w:w="0" w:type="dxa"/>
        <w:tblLayout w:type="fixed"/>
        <w:tblCellMar>
          <w:top w:w="28" w:type="dxa"/>
          <w:left w:w="28" w:type="dxa"/>
          <w:bottom w:w="28" w:type="dxa"/>
          <w:right w:w="28" w:type="dxa"/>
        </w:tblCellMar>
      </w:tblPr>
      <w:tblGrid>
        <w:gridCol w:w="124"/>
        <w:gridCol w:w="109"/>
        <w:gridCol w:w="109"/>
        <w:gridCol w:w="680"/>
        <w:gridCol w:w="680"/>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Lamar Advertising Company announced via press release its results for the quarter ended June 30, 2026. A copy of Lamar’s press release is hereby furnished to the Commission and incorporated by reference herein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2766"/>
        <w:gridCol w:w="2760"/>
        <w:gridCol w:w="392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20"/>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8kexhibit9912026q2.htm">
              <w:r>
                <w:rPr>
                  <w:rStyle w:val="InternetLink"/>
                  <w:rFonts w:ascii="Times New Roman;serif" w:hAnsi="Times New Roman;serif"/>
                  <w:b w:val="false"/>
                  <w:color w:val="000080"/>
                  <w:sz w:val="20"/>
                  <w:u w:val="single"/>
                </w:rPr>
                <w:t xml:space="preserve">Press Release of Lamar Advertising Company, dated </w:t>
              </w:r>
            </w:hyperlink>
            <w:hyperlink w:anchor="lamr8kexhibit9912026q2.htm">
              <w:r>
                <w:rPr>
                  <w:rStyle w:val="InternetLink"/>
                  <w:rFonts w:ascii="Times New Roman;serif" w:hAnsi="Times New Roman;serif"/>
                  <w:b w:val="false"/>
                  <w:color w:val="000080"/>
                  <w:sz w:val="20"/>
                  <w:u w:val="single"/>
                </w:rPr>
                <w:t>August 6,</w:t>
              </w:r>
            </w:hyperlink>
            <w:hyperlink w:anchor="lamr8kexhibit9912026q2.htm">
              <w:r>
                <w:rPr>
                  <w:rStyle w:val="InternetLink"/>
                  <w:rFonts w:ascii="Times New Roman;serif" w:hAnsi="Times New Roman;serif"/>
                  <w:b w:val="false"/>
                  <w:color w:val="000080"/>
                  <w:sz w:val="20"/>
                  <w:u w:val="single"/>
                </w:rPr>
                <w:t xml:space="preserve"> 2026</w:t>
              </w:r>
            </w:hyperlink>
            <w:hyperlink w:anchor="lamr8kexhibit9912026q2.htm">
              <w:r>
                <w:rPr>
                  <w:rStyle w:val="InternetLink"/>
                  <w:rFonts w:ascii="Times New Roman;serif" w:hAnsi="Times New Roman;serif"/>
                  <w:b w:val="false"/>
                  <w:color w:val="000080"/>
                  <w:sz w:val="20"/>
                  <w:u w:val="single"/>
                </w:rPr>
                <w:t xml:space="preserve">, reporting Lamar’s financial results for the quarter ended </w:t>
              </w:r>
            </w:hyperlink>
            <w:hyperlink w:anchor="lamr8kexhibit9912026q2.htm">
              <w:r>
                <w:rPr>
                  <w:rStyle w:val="InternetLink"/>
                  <w:rFonts w:ascii="Times New Roman;serif" w:hAnsi="Times New Roman;serif"/>
                  <w:b w:val="false"/>
                  <w:color w:val="000080"/>
                  <w:sz w:val="20"/>
                  <w:u w:val="single"/>
                </w:rPr>
                <w:t>June</w:t>
              </w:r>
            </w:hyperlink>
            <w:hyperlink w:anchor="lamr8kexhibit9912026q2.htm">
              <w:r>
                <w:rPr>
                  <w:rStyle w:val="InternetLink"/>
                  <w:rFonts w:ascii="Times New Roman;serif" w:hAnsi="Times New Roman;serif"/>
                  <w:b w:val="false"/>
                  <w:color w:val="000080"/>
                  <w:sz w:val="20"/>
                  <w:u w:val="single"/>
                </w:rPr>
                <w:t xml:space="preserve"> 3</w:t>
              </w:r>
            </w:hyperlink>
            <w:hyperlink w:anchor="lamr8kexhibit9912026q2.htm">
              <w:r>
                <w:rPr>
                  <w:rStyle w:val="InternetLink"/>
                  <w:rFonts w:ascii="Times New Roman;serif" w:hAnsi="Times New Roman;serif"/>
                  <w:b w:val="false"/>
                  <w:color w:val="000080"/>
                  <w:sz w:val="20"/>
                  <w:u w:val="single"/>
                </w:rPr>
                <w:t>0</w:t>
              </w:r>
            </w:hyperlink>
            <w:hyperlink w:anchor="lamr8kexhibit9912026q2.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registrants have duly caused this report to be signed on their behalf by the undersigned hereunto duly authorized.</w:t>
      </w:r>
    </w:p>
    <w:tbl>
      <w:tblPr>
        <w:tblW w:w="9218" w:type="dxa"/>
        <w:jc w:val="left"/>
        <w:tblInd w:w="0" w:type="dxa"/>
        <w:tblLayout w:type="fixed"/>
        <w:tblCellMar>
          <w:top w:w="28" w:type="dxa"/>
          <w:left w:w="28" w:type="dxa"/>
          <w:bottom w:w="28" w:type="dxa"/>
          <w:right w:w="28" w:type="dxa"/>
        </w:tblCellMar>
      </w:tblPr>
      <w:tblGrid>
        <w:gridCol w:w="667"/>
        <w:gridCol w:w="587"/>
        <w:gridCol w:w="590"/>
        <w:gridCol w:w="349"/>
        <w:gridCol w:w="349"/>
        <w:gridCol w:w="349"/>
        <w:gridCol w:w="349"/>
        <w:gridCol w:w="349"/>
        <w:gridCol w:w="349"/>
        <w:gridCol w:w="1534"/>
        <w:gridCol w:w="1534"/>
        <w:gridCol w:w="22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73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LAMAR ADVERTISING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Jay L. Johnson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L. Johnson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81200" cy="266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81200" cy="266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5321 Corporate Boulevard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Baton Rouge, LA 70808</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Lamar Advertising Company Announces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Ended June 30, 2026 Operating Results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Three Month Results</w:t>
      </w:r>
    </w:p>
    <w:p>
      <w:pPr>
        <w:pStyle w:val="TextBody"/>
        <w:bidi w:val="0"/>
        <w:spacing w:before="0" w:after="0"/>
        <w:ind w:left="0" w:right="0" w:firstLine="63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revenues were $616.7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income was $164.6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was $303.4 million</w:t>
      </w:r>
    </w:p>
    <w:p>
      <w:pPr>
        <w:pStyle w:val="TextBody"/>
        <w:bidi w:val="0"/>
        <w:spacing w:before="0" w:after="0"/>
        <w:ind w:left="0" w:right="0" w:firstLine="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Six Month Results</w:t>
      </w:r>
    </w:p>
    <w:p>
      <w:pPr>
        <w:pStyle w:val="TextBody"/>
        <w:bidi w:val="0"/>
        <w:spacing w:before="0" w:after="0"/>
        <w:jc w:val="center"/>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revenues were $1.14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income was $266.5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was $529.7 million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Baton Rouge, LA – August 6, 2026 - Lamar Advertising Company (the “Company” or “Lamar”) (Nasdaq: LAMR), a leading owner and operator of outdoor advertising and logo sign displays, announces the Company’s operating results for the second quarter ended June 30, 2026.</w:t>
      </w:r>
    </w:p>
    <w:p>
      <w:pPr>
        <w:pStyle w:val="TextBody"/>
        <w:bidi w:val="0"/>
        <w:spacing w:before="0" w:after="0"/>
        <w:jc w:val="both"/>
        <w:rPr/>
      </w:pPr>
      <w:r>
        <w:rPr/>
      </w:r>
    </w:p>
    <w:p>
      <w:pPr>
        <w:pStyle w:val="TextBody"/>
        <w:bidi w:val="0"/>
        <w:spacing w:lineRule="auto" w:line="288" w:before="0" w:after="0"/>
        <w:ind w:left="0" w:right="0" w:firstLine="630"/>
        <w:jc w:val="both"/>
        <w:rPr>
          <w:color w:val="000000"/>
        </w:rPr>
      </w:pPr>
      <w:r>
        <w:rPr>
          <w:color w:val="000000"/>
        </w:rPr>
        <w:t>“</w:t>
      </w:r>
      <w:r>
        <w:rPr>
          <w:rFonts w:ascii="Times New Roman;serif" w:hAnsi="Times New Roman;serif"/>
          <w:b w:val="false"/>
          <w:color w:val="000000"/>
          <w:sz w:val="20"/>
        </w:rPr>
        <w:t>Our business is in a great place right now. As our results demonstrate, customers appreciate our ability to connect them with their audiences and to deliver messages that resonate,” Lamar chief executive Sean Reilly said. “With second-quarter results that exceeded our expectations and strong pacings for the balance of 2026, we are raising our guidance for full-year diluted AFFO per share to a range of $8.75 to $8.90.”</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Second Quarter Highlights</w:t>
      </w:r>
    </w:p>
    <w:p>
      <w:pPr>
        <w:pStyle w:val="TextBody"/>
        <w:bidi w:val="0"/>
        <w:spacing w:before="0" w:after="0"/>
        <w:jc w:val="center"/>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revenues increased 6.5%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income increased 6.2%</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increased 9.0%</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AFFO increased 10.1%</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Second Quarter Results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reported net revenues of $616.7 million for the second quarter of 2026 versus $579.3 million for the second quarter of 2025, a 6.5% increase. Operating income for the second quarter of 2026 increased $10.3 million to $208.0 million as compared to $197.7 million for the same period in 2025. Lamar recognized net income of $164.6 million for the second quarter of 2026 as compared to net income of $155.0 million for the same period in 2025, an increase of $9.6 million. Net income per diluted share was $1.58 and $1.52 for the three months ended June 30, 2026 and 2025, respectively.</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second quarter of 2026 was $303.4 million versus $278.4 million for the second quarter of 2025, an increase of 9.0%.</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provided by operating activities was $252.4 million for the three months ended June 30, 2026 versus $229.5 million for the second quarter of 2025, an increase of $22.9 million. Free cash flow for the second quarter of 2026 was $218.7 million as compared to $199.1 million for the same period in 2025, a $19.6 million increase.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funds from operations, or FFO, was $236.8 million versus $225.3 million for the same period in 2025, an increase of 5.1%. Adjusted funds from operations, or AFFO, for the second quarter of 2026 was $247.9 million compared to $225.3 million for the same period in 2025, an increase of 10.1%. Diluted AFFO per share increased 8.1% to $2.40 for the three months ended June 30, 2026 as compared to $2.22 for the same period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 xml:space="preserve">Acquisition-Adjusted Three Months Results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Acquisition-adjusted net revenue for the second quarter of 2026 increased 6.1% over acquisition-adjusted net revenue for the second quarter of 2025. Acquisition-adjusted EBITDA for the second quarter of 2026 increased 7.3% as compared to acquisition-adjusted EBITDA for the second quarter of 2025. Acquisition-adjusted net revenue and acquisition-adjusted EBITDA include adjustments to the 2025 period for acquisitions and divestitures for the same time frame as actually owned in the 2026 period. See “Reconciliation of Reported Basis to Acquisition-Adjusted Results”, which provides reconciliations to GAAP for acquisition-adjusted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Six Month Results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reported net revenues of $1.14 billion for the six months ended June 30, 2026 versus $1.08 billion for the six months ended June 30, 2025, a 5.5% increase. Operating income for the six months ended June 30, 2026 decreased $34.9 million to $354.0 million as compared to $388.9 million for the same period in 2025. Lamar recognized net income of $266.5 million for the six months ended June 30, 2026 as compared to net income of $294.2 million for the same period in 2025, a decrease of $27.8 million. The 9.4% decrease in net income for the six months ended June 30, 2026 as compared to 2025 was primarily related to the $67.8 million gain recorded for the sale of Lamar’s equity interest in Vistar Media, Inc. (“Vistar”) in 2025, offset by an additional gain of $8.0 million recorded in 2026 for the same sales transaction. Net income per diluted share was $2.58 and $2.87 for the six months ended June 30, 2026 and 2025, respectively.</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was $529.7 million versus $488.6 million for the same period in 2025, an increase of 8.4%.</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 was $399.8 million for the six months ended June 30, 2026 as compared to $357.2 million for the same period in 2025, an increase of $42.6 million. Free cash flow for the six months ended June 30, 2026 was $371.1 million as compared to $320.2 million for the same period in 2025, a $50.9 million increase.</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funds from operations, or FFO, was $404.6 million versus $381.5 million for the same period in 2025, an increase of 6.0%. Adjusted funds from operations, or AFFO, for the six months ended June 30, 2026 was $425.5 million compared to $389.6 million for the same period in 2025, an increase of 9.2%. Diluted AFFO per share increased 8.1% to $4.12 for the six months ended June 30, 2026 as compared to $3.81 for the same period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Liquidity</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Lamar had $720.2 million in total liquidity that consisted of $652.2 million available for borrowing under its revolving senior credit facility and $68.0 million in cash and cash equivalents. There was $90.0 million in borrowings outstanding under the Company’s revolving credit facility and $250.0 million outstanding under the Accounts Receivable Securitization Program as of the same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Revised Guidance</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are updating our 2026 guidance issued in February 2026. We now expect diluted earnings per share for fiscal year 2026 to be between $5.95 and $5.99, with diluted AFFO per share between $8.75 and $8.90. See “Supplemental Schedules Unaudited REIT Measures and Reconciliations to GAAP Measures” for reconciliation to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including statements regarding sales trends. These statements are subject to risks and uncertainties that could cause actual results to differ materially from those projected in these forward-looking statements. These risks and uncertainties include, among others: (1) our significant indebtedness; (2) the state of the economy and financial markets generally, and the effect of the broader economy on the demand for advertising, including economic changes that may result from new or increased tariffs, trade restrictions or geopolitical tensions, including war and armed conflicts; (3) the continued popularity of outdoor advertising as an advertising medium; (4) our need for and ability to obtain additional funding for operations, debt refinancing or acquisitions; (5) our ability to continue to qualify as a Real Estate Investment Trust (“REIT”) and maintain our status as a REIT; (6) the regulation of the outdoor advertising industry by federal, state and local governments; (7) the integration of companies and assets that we acquire and our ability to recognize cost savings or operating efficiencies as a result of these acquisitions; (8) changes in accounting principles, policies or guidelines; (9) changes in tax laws applicable to REITs or in the interpretation of those laws; (10) our ability to renew expiring contracts at favorable rates; (11) our ability to successfully implement our digital deployment strategy; and (12) the market for our Class A common stock. For additional information regarding factors that may cause actual results to differ materially from those indicated in our forward-looking statements, we refer you to the risk factors included in Item 1A of our Annual Report on Form 10-K for the year ended December 31, 2025, as supplemented by any risk factors contained in our Quarterly Reports on Form 10-Q and our Current Reports on Form 8-K. We caution investors not to place undue reliance on the forward-looking statements contained in this document. These statements speak only as of the date of this document, and we undertake no obligation to update or revise the statements, except as may be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Use of Non-GAAP Financial Measures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presented the following measures that are not measures of performance under accounting principles generally accepted in the United States of America (“GAAP”): adjusted earnings before interest, taxes, depreciation and amortization (“adjusted EBITDA”), free cash flow, funds from operations (“FFO”), adjusted funds from operations (“AFFO”), diluted AFFO per share, outdoor operating income, acquisition-adjusted results and acquisition-adjusted consolidated expense. Our management reviews our performance by focusing on these key performance indicators not prepared in conformity with GAAP. We believe these non-GAAP performance indicators are meaningful supplemental measures of our operating performance and should not be considered in isolation of, or as a substitute for their most directly comparable GAAP financial measures.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are determined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define adjusted EBITDA as net income before income tax expense (benefit), interest expense (income), loss (gain) on extinguishment of debt and investments, equity in (earnings) loss of investee, stock-based compensation, depreciation and amortization, loss (gain) on disposition of assets and investments, transaction expenses and investments and capitalized contract fulfillment costs, net.</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margin is defined as adjusted EBITDA divided by net revenues.</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Free cash flow is defined as adjusted EBITDA less interest, net of interest income and amortization of deferred financing costs, current taxes, preferred stock dividends and total capital expenditures.</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use the National Association of Real Estate Investment Trusts definition of FFO, which is defined as net income before (gain) loss from the sale or disposal of real estate assets and investments, net of tax, and real estate related depreciation and amortization and including adjustments to eliminate unconsolidated affiliates and non-controlling interest. </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pStyle w:val="TextBody"/>
        <w:bidi w:val="0"/>
        <w:ind w:left="0" w:right="0" w:firstLine="63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Diluted AFFO per share is defined as AFFO divided by adjusted weighted average diluted common shares/units outstanding. Adjusted weighted average diluted common shares/units outstanding is calculated by adjusting the Company’s weighted average diluted common shares to add the weighted average outstanding units of Lamar Advertising Limited Partnership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Outdoor operating income is defined as operating income before corporate expenses, stock-based compensation, capitalized contract fulfillment costs, net, transaction expenses, depreciation and amortization and loss (gain) on disposition of assets and investments. </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Acquisition-adjusted results adjusts our net revenue, direct and general and administrative expenses, outdoor operating income, corporate expense and EBITDA for the prior period by adding to, or subtracting from, the corresponding revenue or expense generated by the acquired or divested assets before our acquisition or divestiture of these assets for the same time frame that those assets were owned in the current period. In calculating acquisition-adjusted results, therefore, we include revenue and expenses generated by assets that we did not own in the prior period but acquired in the current period. We refer to the amount of pre-acquisition revenue and expense generated by or subtracted from the acquired assets during the prior period that corresponds with the current period in which we owned the assets (to the extent within the period to which this report relates) as “acquisition-adjusted results”. </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Acquisition-adjusted consolidated expense adjusts our total operating expense to remove the impact of stock-based compensation, depreciation and amortization, transaction expenses, capitalized contract fulfillment costs, net, and loss (gain) on disposition of assets and investments. The prior period is also adjusted to include the expense generated by the acquired or divested assets before our acquisition or divestiture of such assets for the same time frame that those assets were owned in the current period.</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FFO, AFFO, diluted AFFO per share, free cash flow, outdoor operating income, acquisition-adjusted results and acquisition-adjusted consolidated expense are not intended to replace other performance measures determined in accordance with GAAP. Free cash flow, FFO and AFFO do not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Adjusted EBITDA, free cash flow, FFO, AFFO, diluted AFFO per share, outdoor operating income, acquisition-adjusted results and acquisition-adjusted consolidated expense are presented as we believe each is a useful indicator of our current operating performance. Specifically,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it excludes the impact of depreciation and amortization, which may vary significantly among companies, depending upon accounting methods and useful lives, particularly where acquisitions and non-operating factors are involved; (3) adjusted EBITDA, FFO, AFFO, diluted AFFO per share and acquisition-adjusted consolidated expense each provides investors with a meaningful measure for evaluating our period-over-period operating performance by eliminating items that are not operational in nature and reflect the impact on operations from trends in occupancy rates, operating costs, general and administrative expenses and interest costs; (4) acquisition-adjusted results is a supplement to enable investors to compare period-over-period results on a more consistent basis without the effects of acquisitions and divestitures, which reflects our core performance and organic growth (if any) during the period in which the assets were owned and managed by us; (5) free cash flow is an indicator of our ability to service debt and generate cash for acquisitions and other strategic investments; (6) outdoor operating income provides investors a measurement of our core results without the impact of fluctuations in stock-based compensation, depreciation and amortization and corporate expenses; and (7) each of our Non-GAAP measures provides investors with a measure for comparing our results of operations to those of other companies.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Our measurement of adjusted EBITDA, FFO, AFFO, diluted AFFO per share, free cash flow, outdoor operating income, acquisition-adjusted results and acquisition-adjusted consolidated expense may not, however, be fully comparable to similarly titled measures used by other companies. Reconciliations of adjusted EBITDA, FFO, AFFO, diluted AFFO per share, free cash flow, outdoor operating income, acquisition-adjusted results and acquisition-adjusted consolidated expense to the most directly comparable GAAP measures have been included herein.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Conference Call Information</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 conference call will be held to discuss the Company’s operating results on Thursday, August 6, 2026 at 8:00 a.m. central time. Instructions for the conference call and Webcast are provided below:</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before="0" w:after="0"/>
        <w:ind w:left="0" w:right="0" w:firstLine="720"/>
        <w:jc w:val="both"/>
        <w:rPr/>
      </w:pPr>
      <w:r>
        <w:rPr/>
      </w:r>
    </w:p>
    <w:tbl>
      <w:tblPr>
        <w:tblW w:w="7768" w:type="dxa"/>
        <w:jc w:val="left"/>
        <w:tblInd w:w="0" w:type="dxa"/>
        <w:tblLayout w:type="fixed"/>
        <w:tblCellMar>
          <w:top w:w="28" w:type="dxa"/>
          <w:left w:w="28" w:type="dxa"/>
          <w:bottom w:w="28" w:type="dxa"/>
          <w:right w:w="28" w:type="dxa"/>
        </w:tblCellMar>
      </w:tblPr>
      <w:tblGrid>
        <w:gridCol w:w="602"/>
        <w:gridCol w:w="529"/>
        <w:gridCol w:w="533"/>
        <w:gridCol w:w="1785"/>
        <w:gridCol w:w="1785"/>
        <w:gridCol w:w="253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 Callers:</w:t>
            </w:r>
          </w:p>
        </w:tc>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1-800-420-1271 or 1-785-424-1634</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Passcode:</w:t>
            </w:r>
          </w:p>
        </w:tc>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63104</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Live Webcast:</w:t>
            </w:r>
          </w:p>
        </w:tc>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ir.lamar.com</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Webcast Replay:</w:t>
            </w:r>
          </w:p>
        </w:tc>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ir.lamar.com</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Available through Thursday, August 13, 2026 at 11:59 p.m. Eastern Time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Contact:</w:t>
            </w:r>
          </w:p>
        </w:tc>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Buster Kantrow</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Investor Relations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(225) 926-1000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bkantrow@lamar.com</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General Information</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Founded in 1902, Lamar Advertising (Nasdaq: LAMR) is one of the largest outdoor advertising companies in North America, with over 360,000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5,700 displays.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LAMAR ADVERTISING COMPANY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75"/>
        <w:gridCol w:w="1259"/>
        <w:gridCol w:w="1262"/>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55"/>
      </w:tblGrid>
      <w:tr>
        <w:trPr/>
        <w:tc>
          <w:tcPr>
            <w:tcW w:w="147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advertising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(earnings) of investee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controlling interest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applicable to common stock</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101,493,028 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101,433,763 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101,851,428 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101,592,453 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102,233,863 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Free Cash Flow Computation:</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320,196 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BALANCE SHEET AND CASH FLOW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both"/>
        <w:rPr/>
      </w:pPr>
      <w:r>
        <w:rPr/>
      </w:r>
    </w:p>
    <w:p>
      <w:pPr>
        <w:pStyle w:val="TextBody"/>
        <w:bidi w:val="0"/>
        <w:spacing w:before="0" w:after="0"/>
        <w:jc w:val="both"/>
        <w:rPr/>
      </w:pPr>
      <w:r>
        <w:rPr/>
      </w:r>
    </w:p>
    <w:tbl>
      <w:tblPr>
        <w:tblW w:w="8889" w:type="dxa"/>
        <w:jc w:val="left"/>
        <w:tblInd w:w="0" w:type="dxa"/>
        <w:tblLayout w:type="fixed"/>
        <w:tblCellMar>
          <w:top w:w="28" w:type="dxa"/>
          <w:left w:w="28" w:type="dxa"/>
          <w:bottom w:w="28" w:type="dxa"/>
          <w:right w:w="28" w:type="dxa"/>
        </w:tblCellMar>
      </w:tblPr>
      <w:tblGrid>
        <w:gridCol w:w="2149"/>
        <w:gridCol w:w="1884"/>
        <w:gridCol w:w="1892"/>
        <w:gridCol w:w="211"/>
        <w:gridCol w:w="976"/>
        <w:gridCol w:w="109"/>
        <w:gridCol w:w="109"/>
        <w:gridCol w:w="109"/>
        <w:gridCol w:w="109"/>
        <w:gridCol w:w="211"/>
        <w:gridCol w:w="976"/>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Selected Balance Sheet Data:</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Working capital deficit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deferred financing costs (including current maturities)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3,418,907 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270" w:type="dxa"/>
        <w:jc w:val="left"/>
        <w:tblInd w:w="0" w:type="dxa"/>
        <w:tblLayout w:type="fixed"/>
        <w:tblCellMar>
          <w:top w:w="28" w:type="dxa"/>
          <w:left w:w="28" w:type="dxa"/>
          <w:bottom w:w="28" w:type="dxa"/>
          <w:right w:w="28" w:type="dxa"/>
        </w:tblCellMar>
      </w:tblPr>
      <w:tblGrid>
        <w:gridCol w:w="1327"/>
        <w:gridCol w:w="1165"/>
        <w:gridCol w:w="11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64" w:type="dxa"/>
            <w:gridSpan w:val="18"/>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Selected Cash Flow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RECONCILIATIONS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12"/>
        <w:gridCol w:w="1439"/>
        <w:gridCol w:w="144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1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Reconciliation of Cash Flows Provided By Operating Activities to Free Cash Flow:</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Reconciliation of Net Income to Adjusted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(earnings) of investee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Capital expenditure detail by category: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Billboards - traditional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Billboards - digital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68,088 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RECONCILIATIONS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4"/>
        <w:gridCol w:w="545"/>
        <w:gridCol w:w="547"/>
        <w:gridCol w:w="211"/>
        <w:gridCol w:w="826"/>
        <w:gridCol w:w="109"/>
        <w:gridCol w:w="109"/>
        <w:gridCol w:w="109"/>
        <w:gridCol w:w="109"/>
        <w:gridCol w:w="211"/>
        <w:gridCol w:w="826"/>
        <w:gridCol w:w="109"/>
        <w:gridCol w:w="109"/>
        <w:gridCol w:w="109"/>
        <w:gridCol w:w="109"/>
        <w:gridCol w:w="203"/>
        <w:gridCol w:w="203"/>
        <w:gridCol w:w="483"/>
        <w:gridCol w:w="109"/>
        <w:gridCol w:w="109"/>
        <w:gridCol w:w="109"/>
        <w:gridCol w:w="211"/>
        <w:gridCol w:w="976"/>
        <w:gridCol w:w="109"/>
        <w:gridCol w:w="109"/>
        <w:gridCol w:w="109"/>
        <w:gridCol w:w="109"/>
        <w:gridCol w:w="211"/>
        <w:gridCol w:w="976"/>
        <w:gridCol w:w="109"/>
        <w:gridCol w:w="109"/>
        <w:gridCol w:w="109"/>
        <w:gridCol w:w="109"/>
        <w:gridCol w:w="203"/>
        <w:gridCol w:w="203"/>
        <w:gridCol w:w="545"/>
      </w:tblGrid>
      <w:tr>
        <w:trPr/>
        <w:tc>
          <w:tcPr>
            <w:tcW w:w="75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u w:val="single"/>
              </w:rPr>
              <w:t>Reconciliation of Reported Basis to Acquisition-Adjusted Results</w:t>
            </w:r>
            <w:r>
              <w:rPr>
                <w:rFonts w:ascii="Times New Roman;serif" w:hAnsi="Times New Roman;serif"/>
                <w:b w:val="false"/>
                <w:color w:val="000000"/>
                <w:sz w:val="16"/>
                <w:u w:val="single"/>
              </w:rPr>
              <w:t>(a)</w:t>
            </w:r>
            <w:r>
              <w:rPr>
                <w:rFonts w:ascii="Times New Roman;serif" w:hAnsi="Times New Roman;serif"/>
                <w:b w:val="false"/>
                <w:color w:val="000000"/>
                <w:sz w:val="20"/>
                <w:u w:val="single"/>
              </w:rPr>
              <w: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net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direct advertising and G&amp;A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direct advertising and G&amp;A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Outdoor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outdoor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corporate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corporate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(a)</w:t>
      </w:r>
      <w:r>
        <w:rPr>
          <w:rFonts w:ascii="Times New Roman;serif" w:hAnsi="Times New Roman;serif"/>
          <w:b w:val="false"/>
          <w:color w:val="000000"/>
          <w:sz w:val="20"/>
        </w:rPr>
        <w:t>Acquisition-adjusted net revenue, direct advertising and general and administrative expenses, outdoor operating income, corporate expenses and EBITDA include adjustments to 2025 for acquisitions and divestitures for the same time frame as actually owned in 2026.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19"/>
        <w:gridCol w:w="648"/>
        <w:gridCol w:w="650"/>
        <w:gridCol w:w="211"/>
        <w:gridCol w:w="826"/>
        <w:gridCol w:w="109"/>
        <w:gridCol w:w="109"/>
        <w:gridCol w:w="109"/>
        <w:gridCol w:w="109"/>
        <w:gridCol w:w="211"/>
        <w:gridCol w:w="826"/>
        <w:gridCol w:w="109"/>
        <w:gridCol w:w="109"/>
        <w:gridCol w:w="109"/>
        <w:gridCol w:w="109"/>
        <w:gridCol w:w="203"/>
        <w:gridCol w:w="203"/>
        <w:gridCol w:w="483"/>
        <w:gridCol w:w="109"/>
        <w:gridCol w:w="109"/>
        <w:gridCol w:w="109"/>
        <w:gridCol w:w="211"/>
        <w:gridCol w:w="826"/>
        <w:gridCol w:w="109"/>
        <w:gridCol w:w="109"/>
        <w:gridCol w:w="109"/>
        <w:gridCol w:w="109"/>
        <w:gridCol w:w="211"/>
        <w:gridCol w:w="826"/>
        <w:gridCol w:w="109"/>
        <w:gridCol w:w="109"/>
        <w:gridCol w:w="109"/>
        <w:gridCol w:w="109"/>
        <w:gridCol w:w="216"/>
        <w:gridCol w:w="217"/>
        <w:gridCol w:w="547"/>
      </w:tblGrid>
      <w:tr>
        <w:trPr/>
        <w:tc>
          <w:tcPr>
            <w:tcW w:w="81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Reconciliation of Net Income to Outdoor Operating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Outdoor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RECONCILIATIONS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2"/>
        <w:gridCol w:w="608"/>
        <w:gridCol w:w="611"/>
        <w:gridCol w:w="211"/>
        <w:gridCol w:w="826"/>
        <w:gridCol w:w="109"/>
        <w:gridCol w:w="109"/>
        <w:gridCol w:w="109"/>
        <w:gridCol w:w="109"/>
        <w:gridCol w:w="211"/>
        <w:gridCol w:w="826"/>
        <w:gridCol w:w="109"/>
        <w:gridCol w:w="109"/>
        <w:gridCol w:w="109"/>
        <w:gridCol w:w="109"/>
        <w:gridCol w:w="203"/>
        <w:gridCol w:w="203"/>
        <w:gridCol w:w="483"/>
        <w:gridCol w:w="109"/>
        <w:gridCol w:w="109"/>
        <w:gridCol w:w="109"/>
        <w:gridCol w:w="211"/>
        <w:gridCol w:w="826"/>
        <w:gridCol w:w="109"/>
        <w:gridCol w:w="109"/>
        <w:gridCol w:w="109"/>
        <w:gridCol w:w="109"/>
        <w:gridCol w:w="211"/>
        <w:gridCol w:w="826"/>
        <w:gridCol w:w="109"/>
        <w:gridCol w:w="109"/>
        <w:gridCol w:w="109"/>
        <w:gridCol w:w="109"/>
        <w:gridCol w:w="255"/>
        <w:gridCol w:w="256"/>
        <w:gridCol w:w="545"/>
      </w:tblGrid>
      <w:tr>
        <w:trPr/>
        <w:tc>
          <w:tcPr>
            <w:tcW w:w="82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Reconciliation of Total Operating Expenses to Acquisition-Adjusted Consolidated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Acquisition-adjusted consolidated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REIT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RECONCILIATIONS TO 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9"/>
        <w:gridCol w:w="1056"/>
        <w:gridCol w:w="1063"/>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87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Funds from Operations: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assets and investments,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expenditures-maintenance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Weighted average diluted common shares outstanding </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101,592,453 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102,233,863 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Adjusted weighted average diluted common shares/units outstanding</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103,213,969 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103,144,015 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102,233,863 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AFFO per share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Utilized to calculate earnings per share in accordance with GAAP.</w:t>
      </w:r>
    </w:p>
    <w:p>
      <w:pPr>
        <w:pStyle w:val="TextBody"/>
        <w:bidi w:val="0"/>
        <w:spacing w:lineRule="auto" w:line="288"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Utilized to calculate AFFO per share. Includes the weighted average outstanding units of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REIT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RECONCILIATIONS TO 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Revised projected 2026 Adjusted Funds From Operations:</w:t>
      </w:r>
    </w:p>
    <w:p>
      <w:pPr>
        <w:pStyle w:val="TextBody"/>
        <w:bidi w:val="0"/>
        <w:spacing w:before="0" w:after="0"/>
        <w:ind w:left="0" w:right="0" w:firstLine="630"/>
        <w:jc w:val="both"/>
        <w:rPr/>
      </w:pPr>
      <w:r>
        <w:rPr/>
      </w:r>
    </w:p>
    <w:tbl>
      <w:tblPr>
        <w:tblW w:w="8977" w:type="dxa"/>
        <w:jc w:val="left"/>
        <w:tblInd w:w="0" w:type="dxa"/>
        <w:tblLayout w:type="fixed"/>
        <w:tblCellMar>
          <w:top w:w="28" w:type="dxa"/>
          <w:left w:w="28" w:type="dxa"/>
          <w:bottom w:w="28" w:type="dxa"/>
          <w:right w:w="28" w:type="dxa"/>
        </w:tblCellMar>
      </w:tblPr>
      <w:tblGrid>
        <w:gridCol w:w="2173"/>
        <w:gridCol w:w="1905"/>
        <w:gridCol w:w="1936"/>
        <w:gridCol w:w="241"/>
        <w:gridCol w:w="945"/>
        <w:gridCol w:w="109"/>
        <w:gridCol w:w="109"/>
        <w:gridCol w:w="109"/>
        <w:gridCol w:w="109"/>
        <w:gridCol w:w="241"/>
        <w:gridCol w:w="945"/>
        <w:gridCol w:w="155"/>
      </w:tblGrid>
      <w:tr>
        <w:trPr/>
        <w:tc>
          <w:tcPr>
            <w:tcW w:w="2173"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assets and investments, net of tax</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890,620 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expenditures-maintenance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917,970 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diluted common shares/units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103,185,000 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AFFO per share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guidance provided above is based on a number of assumptions that management believes to be reasonable and reflects our expectations as of August 6, 2026. Actual results may differ materially from these estimates as a result of various factors, and we refer to the cautionary language regarding “forward-looking statements” included in the press release when considering this information.</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4751</Words>
  <Characters>27246</Characters>
  <CharactersWithSpaces>31544</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