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18" w:lineRule="exact"/>
        <w:rPr>
          <w:sz w:val="24"/>
          <w:szCs w:val="24"/>
          <w:color w:val="auto"/>
        </w:rPr>
      </w:pPr>
    </w:p>
    <w:p>
      <w:pPr>
        <w:ind w:left="4440" w:right="4400" w:hanging="4401"/>
        <w:spacing w:after="0" w:line="469" w:lineRule="auto"/>
        <w:tabs>
          <w:tab w:leader="none" w:pos="571" w:val="left"/>
        </w:tabs>
        <w:numPr>
          <w:ilvl w:val="1"/>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2024</w:t>
      </w:r>
    </w:p>
    <w:p>
      <w:pPr>
        <w:spacing w:after="0" w:line="27" w:lineRule="exact"/>
        <w:rPr>
          <w:rFonts w:ascii="Wingdings" w:cs="Wingdings" w:eastAsia="Wingdings" w:hAnsi="Wingdings"/>
          <w:sz w:val="12"/>
          <w:szCs w:val="12"/>
          <w:b w:val="1"/>
          <w:bCs w:val="1"/>
          <w:color w:val="auto"/>
        </w:rPr>
      </w:pPr>
    </w:p>
    <w:p>
      <w:pPr>
        <w:ind w:left="560" w:hanging="534"/>
        <w:spacing w:after="0"/>
        <w:tabs>
          <w:tab w:leader="none" w:pos="5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26" w:lineRule="exact"/>
        <w:rPr>
          <w:sz w:val="24"/>
          <w:szCs w:val="24"/>
          <w:color w:val="auto"/>
        </w:rPr>
      </w:pPr>
    </w:p>
    <w:tbl>
      <w:tblPr>
        <w:tblLayout w:type="fixed"/>
        <w:tblInd w:w="4440" w:type="dxa"/>
        <w:tblCellMar>
          <w:top w:w="0" w:type="dxa"/>
          <w:left w:w="0" w:type="dxa"/>
          <w:bottom w:w="0" w:type="dxa"/>
          <w:right w:w="0" w:type="dxa"/>
        </w:tblCellMar>
      </w:tblPr>
      <w:tr>
        <w:trPr>
          <w:trHeight w:val="149"/>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For the transition period from</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1"/>
              </w:rPr>
              <w:t>to</w:t>
            </w:r>
          </w:p>
        </w:tc>
        <w:tc>
          <w:tcPr>
            <w:tcW w:w="300" w:type="dxa"/>
            <w:vAlign w:val="bottom"/>
            <w:tcBorders>
              <w:bottom w:val="single" w:sz="8" w:color="auto"/>
            </w:tcBorders>
          </w:tcPr>
          <w:p>
            <w:pPr>
              <w:spacing w:after="0"/>
              <w:rPr>
                <w:sz w:val="12"/>
                <w:szCs w:val="12"/>
                <w:color w:val="auto"/>
              </w:rPr>
            </w:pPr>
          </w:p>
        </w:tc>
      </w:tr>
      <w:tr>
        <w:trPr>
          <w:trHeight w:val="193"/>
        </w:trPr>
        <w:tc>
          <w:tcPr>
            <w:tcW w:w="236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Commission File Number 1-36756</w:t>
            </w:r>
          </w:p>
        </w:tc>
      </w:tr>
    </w:tbl>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Lamar Advertising Company</w:t>
      </w:r>
    </w:p>
    <w:p>
      <w:pPr>
        <w:spacing w:after="0" w:line="4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1-12407</w:t>
      </w:r>
    </w:p>
    <w:p>
      <w:pPr>
        <w:spacing w:after="0" w:line="1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Lamar Media Corp.</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names of registrants as specified in their charters)</w:t>
      </w:r>
    </w:p>
    <w:p>
      <w:pPr>
        <w:spacing w:after="0" w:line="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26"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3860" w:type="dxa"/>
            <w:vAlign w:val="bottom"/>
          </w:tcPr>
          <w:p>
            <w:pPr>
              <w:jc w:val="center"/>
              <w:ind w:left="16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8"/>
              </w:rPr>
              <w:t>47-0961620</w:t>
            </w:r>
          </w:p>
        </w:tc>
      </w:tr>
      <w:tr>
        <w:trPr>
          <w:trHeight w:val="175"/>
        </w:trPr>
        <w:tc>
          <w:tcPr>
            <w:tcW w:w="3860" w:type="dxa"/>
            <w:vAlign w:val="bottom"/>
          </w:tcPr>
          <w:p>
            <w:pPr>
              <w:jc w:val="center"/>
              <w:ind w:left="161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8"/>
              </w:rPr>
              <w:t>72-1205791</w:t>
            </w:r>
          </w:p>
        </w:tc>
      </w:tr>
      <w:tr>
        <w:trPr>
          <w:trHeight w:val="175"/>
        </w:trPr>
        <w:tc>
          <w:tcPr>
            <w:tcW w:w="7420" w:type="dxa"/>
            <w:vAlign w:val="bottom"/>
            <w:gridSpan w:val="4"/>
          </w:tcPr>
          <w:p>
            <w:pPr>
              <w:jc w:val="center"/>
              <w:ind w:right="1860"/>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176"/>
        </w:trPr>
        <w:tc>
          <w:tcPr>
            <w:tcW w:w="386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7"/>
              </w:rPr>
              <w:t>5321 Corporate Blvd., Baton Rouge, LA</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2"/>
              </w:rPr>
              <w:t>70808</w:t>
            </w:r>
          </w:p>
        </w:tc>
      </w:tr>
      <w:tr>
        <w:trPr>
          <w:trHeight w:val="175"/>
        </w:trPr>
        <w:tc>
          <w:tcPr>
            <w:tcW w:w="3860" w:type="dxa"/>
            <w:vAlign w:val="bottom"/>
          </w:tcPr>
          <w:p>
            <w:pPr>
              <w:jc w:val="center"/>
              <w:ind w:left="163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tcPr>
          <w:p>
            <w:pPr>
              <w:jc w:val="center"/>
              <w:ind w:right="173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91"/>
        </w:trPr>
        <w:tc>
          <w:tcPr>
            <w:tcW w:w="3860" w:type="dxa"/>
            <w:vAlign w:val="bottom"/>
          </w:tcPr>
          <w:p>
            <w:pPr>
              <w:spacing w:after="0"/>
              <w:rPr>
                <w:sz w:val="24"/>
                <w:szCs w:val="24"/>
                <w:color w:val="auto"/>
              </w:rPr>
            </w:pPr>
          </w:p>
        </w:tc>
        <w:tc>
          <w:tcPr>
            <w:tcW w:w="35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 (225) 926-1000</w:t>
            </w:r>
          </w:p>
        </w:tc>
        <w:tc>
          <w:tcPr>
            <w:tcW w:w="3820" w:type="dxa"/>
            <w:vAlign w:val="bottom"/>
          </w:tcPr>
          <w:p>
            <w:pPr>
              <w:spacing w:after="0"/>
              <w:rPr>
                <w:sz w:val="24"/>
                <w:szCs w:val="24"/>
                <w:color w:val="auto"/>
              </w:rPr>
            </w:pPr>
          </w:p>
        </w:tc>
      </w:tr>
      <w:tr>
        <w:trPr>
          <w:trHeight w:val="168"/>
        </w:trPr>
        <w:tc>
          <w:tcPr>
            <w:tcW w:w="3860" w:type="dxa"/>
            <w:vAlign w:val="bottom"/>
          </w:tcPr>
          <w:p>
            <w:pPr>
              <w:spacing w:after="0"/>
              <w:rPr>
                <w:sz w:val="14"/>
                <w:szCs w:val="14"/>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SECURITIES OF LAMAR ADVERTISING COMPANY</w:t>
            </w:r>
          </w:p>
        </w:tc>
        <w:tc>
          <w:tcPr>
            <w:tcW w:w="382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REGISTERED PURSUANT TO SECTION 12(b) OF THE ACT:</w:t>
            </w:r>
          </w:p>
        </w:tc>
        <w:tc>
          <w:tcPr>
            <w:tcW w:w="3820" w:type="dxa"/>
            <w:vAlign w:val="bottom"/>
          </w:tcPr>
          <w:p>
            <w:pPr>
              <w:spacing w:after="0"/>
              <w:rPr>
                <w:sz w:val="12"/>
                <w:szCs w:val="12"/>
                <w:color w:val="auto"/>
              </w:rPr>
            </w:pPr>
          </w:p>
        </w:tc>
      </w:tr>
      <w:tr>
        <w:trPr>
          <w:trHeight w:val="116"/>
        </w:trPr>
        <w:tc>
          <w:tcPr>
            <w:tcW w:w="38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r>
      <w:tr>
        <w:trPr>
          <w:trHeight w:val="163"/>
        </w:trPr>
        <w:tc>
          <w:tcPr>
            <w:tcW w:w="3860" w:type="dxa"/>
            <w:vAlign w:val="bottom"/>
            <w:tcBorders>
              <w:left w:val="single" w:sz="8" w:color="auto"/>
              <w:bottom w:val="single" w:sz="8" w:color="auto"/>
            </w:tcBorders>
          </w:tcPr>
          <w:p>
            <w:pPr>
              <w:jc w:val="center"/>
              <w:ind w:left="497"/>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5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Trading Symbol(s)</w:t>
            </w:r>
          </w:p>
        </w:tc>
        <w:tc>
          <w:tcPr>
            <w:tcW w:w="6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17"/>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169"/>
        </w:trPr>
        <w:tc>
          <w:tcPr>
            <w:tcW w:w="3860" w:type="dxa"/>
            <w:vAlign w:val="bottom"/>
            <w:tcBorders>
              <w:left w:val="single" w:sz="8" w:color="auto"/>
              <w:bottom w:val="single" w:sz="8" w:color="auto"/>
            </w:tcBorders>
          </w:tcPr>
          <w:p>
            <w:pPr>
              <w:jc w:val="center"/>
              <w:ind w:left="517"/>
              <w:spacing w:after="0"/>
              <w:rPr>
                <w:sz w:val="20"/>
                <w:szCs w:val="20"/>
                <w:color w:val="auto"/>
              </w:rPr>
            </w:pPr>
            <w:r>
              <w:rPr>
                <w:rFonts w:ascii="Times New Roman" w:cs="Times New Roman" w:eastAsia="Times New Roman" w:hAnsi="Times New Roman"/>
                <w:sz w:val="13"/>
                <w:szCs w:val="13"/>
                <w:color w:val="auto"/>
                <w:w w:val="97"/>
              </w:rPr>
              <w:t>Class A common stock, $0.001 par value</w:t>
            </w:r>
          </w:p>
        </w:tc>
        <w:tc>
          <w:tcPr>
            <w:tcW w:w="5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LAMR</w:t>
            </w:r>
          </w:p>
        </w:tc>
        <w:tc>
          <w:tcPr>
            <w:tcW w:w="6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1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40"/>
        </w:trPr>
        <w:tc>
          <w:tcPr>
            <w:tcW w:w="3860" w:type="dxa"/>
            <w:vAlign w:val="bottom"/>
          </w:tcPr>
          <w:p>
            <w:pPr>
              <w:spacing w:after="0"/>
              <w:rPr>
                <w:sz w:val="20"/>
                <w:szCs w:val="20"/>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SECURITIES OF LAMAR ADVERTISING COMPANY</w:t>
            </w:r>
          </w:p>
        </w:tc>
        <w:tc>
          <w:tcPr>
            <w:tcW w:w="3820" w:type="dxa"/>
            <w:vAlign w:val="bottom"/>
          </w:tcPr>
          <w:p>
            <w:pPr>
              <w:spacing w:after="0"/>
              <w:rPr>
                <w:sz w:val="20"/>
                <w:szCs w:val="20"/>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REGISTERED PURSUANT TO SECTION 12(g) OF THE ACT:</w:t>
            </w:r>
          </w:p>
        </w:tc>
        <w:tc>
          <w:tcPr>
            <w:tcW w:w="38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3820" w:type="dxa"/>
            <w:vAlign w:val="bottom"/>
          </w:tcPr>
          <w:p>
            <w:pPr>
              <w:spacing w:after="0"/>
              <w:rPr>
                <w:sz w:val="14"/>
                <w:szCs w:val="14"/>
                <w:color w:val="auto"/>
              </w:rPr>
            </w:pPr>
          </w:p>
        </w:tc>
      </w:tr>
      <w:tr>
        <w:trPr>
          <w:trHeight w:val="155"/>
        </w:trPr>
        <w:tc>
          <w:tcPr>
            <w:tcW w:w="3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w w:val="97"/>
              </w:rPr>
              <w:t>SECURITIES OF LAMAR MEDIA CORP.</w:t>
            </w:r>
          </w:p>
        </w:tc>
        <w:tc>
          <w:tcPr>
            <w:tcW w:w="3820" w:type="dxa"/>
            <w:vAlign w:val="bottom"/>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REGISTERED PURSUANT TO SECTION 12(b) OF THE ACT:</w:t>
            </w:r>
          </w:p>
        </w:tc>
        <w:tc>
          <w:tcPr>
            <w:tcW w:w="3820" w:type="dxa"/>
            <w:vAlign w:val="bottom"/>
          </w:tcPr>
          <w:p>
            <w:pPr>
              <w:spacing w:after="0"/>
              <w:rPr>
                <w:sz w:val="12"/>
                <w:szCs w:val="12"/>
                <w:color w:val="auto"/>
              </w:rPr>
            </w:pPr>
          </w:p>
        </w:tc>
      </w:tr>
      <w:tr>
        <w:trPr>
          <w:trHeight w:val="162"/>
        </w:trPr>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7"/>
              </w:rPr>
              <w:t>None</w:t>
            </w:r>
          </w:p>
        </w:tc>
        <w:tc>
          <w:tcPr>
            <w:tcW w:w="3820" w:type="dxa"/>
            <w:vAlign w:val="bottom"/>
          </w:tcPr>
          <w:p>
            <w:pPr>
              <w:spacing w:after="0"/>
              <w:rPr>
                <w:sz w:val="14"/>
                <w:szCs w:val="14"/>
                <w:color w:val="auto"/>
              </w:rPr>
            </w:pPr>
          </w:p>
        </w:tc>
      </w:tr>
      <w:tr>
        <w:trPr>
          <w:trHeight w:val="155"/>
        </w:trPr>
        <w:tc>
          <w:tcPr>
            <w:tcW w:w="3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w w:val="97"/>
              </w:rPr>
              <w:t>SECURITIES OF LAMAR MEDIA CORP.</w:t>
            </w:r>
          </w:p>
        </w:tc>
        <w:tc>
          <w:tcPr>
            <w:tcW w:w="3820" w:type="dxa"/>
            <w:vAlign w:val="bottom"/>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REGISTERED PURSUANT TO SECTION 12(g) OF THE ACT:</w:t>
            </w:r>
          </w:p>
        </w:tc>
        <w:tc>
          <w:tcPr>
            <w:tcW w:w="3820" w:type="dxa"/>
            <w:vAlign w:val="bottom"/>
          </w:tcPr>
          <w:p>
            <w:pPr>
              <w:spacing w:after="0"/>
              <w:rPr>
                <w:sz w:val="12"/>
                <w:szCs w:val="12"/>
                <w:color w:val="auto"/>
              </w:rPr>
            </w:pPr>
          </w:p>
        </w:tc>
      </w:tr>
      <w:tr>
        <w:trPr>
          <w:trHeight w:val="182"/>
        </w:trPr>
        <w:tc>
          <w:tcPr>
            <w:tcW w:w="3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820" w:type="dxa"/>
            <w:vAlign w:val="bottom"/>
          </w:tcPr>
          <w:p>
            <w:pPr>
              <w:spacing w:after="0"/>
              <w:rPr>
                <w:sz w:val="15"/>
                <w:szCs w:val="15"/>
                <w:color w:val="auto"/>
              </w:rPr>
            </w:pPr>
          </w:p>
        </w:tc>
      </w:tr>
      <w:tr>
        <w:trPr>
          <w:trHeight w:val="212"/>
        </w:trPr>
        <w:tc>
          <w:tcPr>
            <w:tcW w:w="3860" w:type="dxa"/>
            <w:vAlign w:val="bottom"/>
          </w:tcPr>
          <w:p>
            <w:pPr>
              <w:spacing w:after="0"/>
              <w:rPr>
                <w:sz w:val="18"/>
                <w:szCs w:val="18"/>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w:t>
            </w:r>
          </w:p>
        </w:tc>
        <w:tc>
          <w:tcPr>
            <w:tcW w:w="3820" w:type="dxa"/>
            <w:vAlign w:val="bottom"/>
          </w:tcPr>
          <w:p>
            <w:pPr>
              <w:spacing w:after="0"/>
              <w:rPr>
                <w:sz w:val="18"/>
                <w:szCs w:val="18"/>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w w:val="97"/>
              </w:rPr>
              <w:t>Indicate by check mark if Lamar Advertising Company is a well-known seasoned issuer, as defined in Rule 405 of the Securities Act.</w:t>
            </w:r>
          </w:p>
        </w:tc>
        <w:tc>
          <w:tcPr>
            <w:tcW w:w="920" w:type="dxa"/>
            <w:vAlign w:val="bottom"/>
            <w:gridSpan w:val="2"/>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20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7"/>
              </w:rPr>
              <w:t>Indicate by check mark if Lamar Advertising Company is not required to file reports pursuant to Section 13 or Section 15(d) of the Exchange Act.  Yes</w:t>
            </w:r>
          </w:p>
        </w:tc>
        <w:tc>
          <w:tcPr>
            <w:tcW w:w="200" w:type="dxa"/>
            <w:vAlign w:val="bottom"/>
            <w:vMerge w:val="continue"/>
          </w:tcPr>
          <w:p>
            <w:pPr>
              <w:spacing w:after="0"/>
              <w:rPr>
                <w:sz w:val="17"/>
                <w:szCs w:val="17"/>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7"/>
              </w:rPr>
              <w:t xml:space="preserve">No </w:t>
            </w:r>
            <w:r>
              <w:rPr>
                <w:rFonts w:ascii="Wingdings" w:cs="Wingdings" w:eastAsia="Wingdings" w:hAnsi="Wingdings"/>
                <w:sz w:val="13"/>
                <w:szCs w:val="13"/>
                <w:b w:val="1"/>
                <w:bCs w:val="1"/>
                <w:color w:val="auto"/>
                <w:w w:val="97"/>
              </w:rPr>
              <w:t>x</w:t>
            </w:r>
          </w:p>
        </w:tc>
        <w:tc>
          <w:tcPr>
            <w:tcW w:w="0" w:type="dxa"/>
            <w:vAlign w:val="bottom"/>
          </w:tcPr>
          <w:p>
            <w:pPr>
              <w:spacing w:after="0"/>
              <w:rPr>
                <w:sz w:val="1"/>
                <w:szCs w:val="1"/>
                <w:color w:val="auto"/>
              </w:rPr>
            </w:pPr>
          </w:p>
        </w:tc>
      </w:tr>
      <w:tr>
        <w:trPr>
          <w:trHeight w:val="216"/>
        </w:trPr>
        <w:tc>
          <w:tcPr>
            <w:tcW w:w="680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if Lamar Media Corp. is a well-known seasoned issuer, as defined in Rule 405 of the Securities Act.  Yes </w:t>
            </w:r>
            <w:r>
              <w:rPr>
                <w:rFonts w:ascii="MS PGothic" w:cs="MS PGothic" w:eastAsia="MS PGothic" w:hAnsi="MS PGothic"/>
                <w:sz w:val="13"/>
                <w:szCs w:val="13"/>
                <w:color w:val="auto"/>
                <w:w w:val="98"/>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87"/>
              </w:rPr>
              <w:t>No</w:t>
            </w:r>
          </w:p>
        </w:tc>
        <w:tc>
          <w:tcPr>
            <w:tcW w:w="700" w:type="dxa"/>
            <w:vAlign w:val="bottom"/>
          </w:tcPr>
          <w:p>
            <w:pPr>
              <w:ind w:left="60"/>
              <w:spacing w:after="0"/>
              <w:rPr>
                <w:sz w:val="20"/>
                <w:szCs w:val="20"/>
                <w:color w:val="auto"/>
              </w:rPr>
            </w:pPr>
            <w:r>
              <w:rPr>
                <w:rFonts w:ascii="Wingdings" w:cs="Wingdings" w:eastAsia="Wingdings" w:hAnsi="Wingdings"/>
                <w:sz w:val="13"/>
                <w:szCs w:val="13"/>
                <w:b w:val="1"/>
                <w:bCs w:val="1"/>
                <w:color w:val="auto"/>
              </w:rPr>
              <w:t>x</w:t>
            </w:r>
          </w:p>
        </w:tc>
        <w:tc>
          <w:tcPr>
            <w:tcW w:w="20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Indicate by check mark if Lamar Media Corp. is not required to file reports pursuant to Section 13 or Section 15(d) of the Exchange Act.</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w:t>
            </w:r>
          </w:p>
        </w:tc>
        <w:tc>
          <w:tcPr>
            <w:tcW w:w="2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5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each registrant has submitted electronically every Interactive Date File required to be submitted pursuant to Rule 405 of Regulation S-T (Section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4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Lamar Advertising Company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60" w:type="dxa"/>
            <w:vAlign w:val="bottom"/>
          </w:tcPr>
          <w:p>
            <w:pPr>
              <w:ind w:left="660"/>
              <w:spacing w:after="0"/>
              <w:rPr>
                <w:sz w:val="20"/>
                <w:szCs w:val="20"/>
                <w:color w:val="auto"/>
              </w:rPr>
            </w:pPr>
            <w:r>
              <w:rPr>
                <w:rFonts w:ascii="Wingdings" w:cs="Wingdings" w:eastAsia="Wingdings" w:hAnsi="Wingdings"/>
                <w:sz w:val="13"/>
                <w:szCs w:val="13"/>
                <w:b w:val="1"/>
                <w:bCs w:val="1"/>
                <w:color w:val="auto"/>
              </w:rPr>
              <w:t>x</w:t>
            </w:r>
          </w:p>
        </w:tc>
        <w:tc>
          <w:tcPr>
            <w:tcW w:w="466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96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13" w:lineRule="exact"/>
        <w:rPr>
          <w:sz w:val="24"/>
          <w:szCs w:val="24"/>
          <w:color w:val="auto"/>
        </w:rPr>
      </w:pPr>
    </w:p>
    <w:p>
      <w:pPr>
        <w:ind w:right="80"/>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9"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3"/>
          <w:szCs w:val="13"/>
          <w:color w:val="auto"/>
        </w:rPr>
        <w:t xml:space="preserve">Indicate by check mark whether Lamar Advertising Company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25"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right="240"/>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pacing w:after="0" w:line="19" w:lineRule="exact"/>
        <w:rPr>
          <w:sz w:val="24"/>
          <w:szCs w:val="24"/>
          <w:color w:val="auto"/>
        </w:rPr>
      </w:pPr>
    </w:p>
    <w:p>
      <w:pPr>
        <w:ind w:right="280"/>
        <w:spacing w:after="0" w:line="262" w:lineRule="auto"/>
        <w:rPr>
          <w:sz w:val="20"/>
          <w:szCs w:val="20"/>
          <w:color w:val="auto"/>
        </w:rPr>
      </w:pPr>
      <w:r>
        <w:rPr>
          <w:rFonts w:ascii="Times New Roman" w:cs="Times New Roman" w:eastAsia="Times New Roman" w:hAnsi="Times New Roman"/>
          <w:sz w:val="13"/>
          <w:szCs w:val="13"/>
          <w:color w:val="auto"/>
        </w:rPr>
        <w:t>Indicate by check mark whether Lamar Media Corp. is a large accelerated filer, an accelerated filer, a non-accelerated filer, a smaller reporting company or an emerging growth company. See definitions of “accelerated filer”, “large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Accelerated filer</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80" w:type="dxa"/>
            <w:vAlign w:val="bottom"/>
          </w:tcPr>
          <w:p>
            <w:pPr>
              <w:ind w:left="660"/>
              <w:spacing w:after="0"/>
              <w:rPr>
                <w:sz w:val="20"/>
                <w:szCs w:val="20"/>
                <w:color w:val="auto"/>
              </w:rPr>
            </w:pPr>
            <w:r>
              <w:rPr>
                <w:rFonts w:ascii="Wingdings" w:cs="Wingdings" w:eastAsia="Wingdings" w:hAnsi="Wingdings"/>
                <w:sz w:val="13"/>
                <w:szCs w:val="13"/>
                <w:b w:val="1"/>
                <w:bCs w:val="1"/>
                <w:color w:val="auto"/>
              </w:rPr>
              <w:t>x</w:t>
            </w:r>
          </w:p>
        </w:tc>
        <w:tc>
          <w:tcPr>
            <w:tcW w:w="4640" w:type="dxa"/>
            <w:vAlign w:val="bottom"/>
          </w:tcPr>
          <w:p>
            <w:pPr>
              <w:ind w:left="21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200" w:type="dxa"/>
            <w:vAlign w:val="bottom"/>
          </w:tcPr>
          <w:p>
            <w:pPr>
              <w:ind w:left="1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9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86"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40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Lamar Media Corp.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4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3"/>
          <w:szCs w:val="13"/>
          <w:color w:val="auto"/>
        </w:rPr>
        <w:t>☐</w:t>
      </w:r>
    </w:p>
    <w:p>
      <w:pPr>
        <w:spacing w:after="0" w:line="150" w:lineRule="exact"/>
        <w:tabs>
          <w:tab w:leader="none" w:pos="5640" w:val="left"/>
          <w:tab w:leader="none" w:pos="6120" w:val="left"/>
        </w:tabs>
        <w:rPr>
          <w:sz w:val="20"/>
          <w:szCs w:val="20"/>
          <w:color w:val="auto"/>
        </w:rPr>
      </w:pPr>
      <w:r>
        <w:rPr>
          <w:rFonts w:ascii="Times New Roman" w:cs="Times New Roman" w:eastAsia="Times New Roman" w:hAnsi="Times New Roman"/>
          <w:sz w:val="13"/>
          <w:szCs w:val="13"/>
          <w:color w:val="auto"/>
        </w:rPr>
        <w:t>Indicate by check mark if either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ectPr>
          <w:pgSz w:w="11900" w:h="16838" w:orient="portrait"/>
          <w:cols w:equalWidth="0" w:num="1">
            <w:col w:w="11220"/>
          </w:cols>
          <w:pgMar w:left="320" w:top="229" w:right="359" w:bottom="0" w:gutter="0" w:footer="0" w:header="0"/>
        </w:sectPr>
      </w:pPr>
    </w:p>
    <w:bookmarkStart w:id="1" w:name="page2"/>
    <w:bookmarkEnd w:id="1"/>
    <w:p>
      <w:pPr>
        <w:ind w:right="300"/>
        <w:spacing w:after="0" w:line="259" w:lineRule="auto"/>
        <w:rPr>
          <w:sz w:val="20"/>
          <w:szCs w:val="20"/>
          <w:color w:val="auto"/>
        </w:rPr>
      </w:pPr>
      <w:r>
        <w:rPr>
          <w:rFonts w:ascii="Times New Roman" w:cs="Times New Roman" w:eastAsia="Times New Roman" w:hAnsi="Times New Roman"/>
          <w:sz w:val="13"/>
          <w:szCs w:val="13"/>
          <w:color w:val="auto"/>
        </w:rPr>
        <w:t>The aggregate market value of the voting stock held by nonaffiliates of Lamar Advertising Company was $10,320,640,348 based on $119.53 per share as reported at the close of trading on the NASDAQ Global Select Market on June 28, 2024, the last business day of the registrant’s most recently completed second fiscal quarter.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June 28, 2024, the aggregate market value of the voting stock held by nonaffiliates of Lamar Media Corp. was $0.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Class</w:t>
            </w:r>
          </w:p>
        </w:tc>
        <w:tc>
          <w:tcPr>
            <w:tcW w:w="4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Outstanding at February 1, 2025</w:t>
            </w:r>
          </w:p>
        </w:tc>
      </w:tr>
      <w:tr>
        <w:trPr>
          <w:trHeight w:val="16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Lamar Advertising Company Class A common stock, $0.001 par value per share</w:t>
            </w: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87,976,923 shares</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Lamar Advertising Company Class B common stock, $0.001 par value per share</w:t>
            </w: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14,420,085 shares</w:t>
            </w:r>
          </w:p>
        </w:tc>
      </w:tr>
      <w:tr>
        <w:trPr>
          <w:trHeight w:val="175"/>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Lamar Media Corp. common stock, $0.001 par value per share</w:t>
            </w: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100 shares</w:t>
            </w:r>
          </w:p>
        </w:tc>
      </w:tr>
      <w:tr>
        <w:trPr>
          <w:trHeight w:val="270"/>
        </w:trPr>
        <w:tc>
          <w:tcPr>
            <w:tcW w:w="4140" w:type="dxa"/>
            <w:vAlign w:val="bottom"/>
          </w:tcPr>
          <w:p>
            <w:pPr>
              <w:spacing w:after="0"/>
              <w:rPr>
                <w:sz w:val="23"/>
                <w:szCs w:val="23"/>
                <w:color w:val="auto"/>
              </w:rPr>
            </w:pPr>
          </w:p>
        </w:tc>
        <w:tc>
          <w:tcPr>
            <w:tcW w:w="70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Parts into Which Incorporated</w:t>
            </w:r>
          </w:p>
        </w:tc>
      </w:tr>
      <w:tr>
        <w:trPr>
          <w:trHeight w:val="164"/>
        </w:trPr>
        <w:tc>
          <w:tcPr>
            <w:tcW w:w="8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Proxy Statement for the Annual Meeting of Stockholders scheduled to be held on May 15, 2025 (Proxy Statement)</w:t>
            </w:r>
          </w:p>
        </w:tc>
        <w:tc>
          <w:tcPr>
            <w:tcW w:w="120" w:type="dxa"/>
            <w:vAlign w:val="bottom"/>
          </w:tcPr>
          <w:p>
            <w:pPr>
              <w:spacing w:after="0"/>
              <w:rPr>
                <w:sz w:val="14"/>
                <w:szCs w:val="14"/>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Part III</w:t>
            </w:r>
          </w:p>
        </w:tc>
      </w:tr>
    </w:tbl>
    <w:p>
      <w:pPr>
        <w:spacing w:after="0" w:line="104" w:lineRule="exact"/>
        <w:rPr>
          <w:sz w:val="20"/>
          <w:szCs w:val="20"/>
          <w:color w:val="auto"/>
        </w:rPr>
      </w:pPr>
    </w:p>
    <w:p>
      <w:pPr>
        <w:jc w:val="both"/>
        <w:ind w:right="20" w:firstLine="567"/>
        <w:spacing w:after="0" w:line="260" w:lineRule="auto"/>
        <w:rPr>
          <w:sz w:val="20"/>
          <w:szCs w:val="20"/>
          <w:color w:val="auto"/>
        </w:rPr>
      </w:pPr>
      <w:r>
        <w:rPr>
          <w:rFonts w:ascii="Times New Roman" w:cs="Times New Roman" w:eastAsia="Times New Roman" w:hAnsi="Times New Roman"/>
          <w:sz w:val="11"/>
          <w:szCs w:val="11"/>
          <w:b w:val="1"/>
          <w:bCs w:val="1"/>
          <w:color w:val="auto"/>
        </w:rPr>
        <w:t>This combined Form 10-K is separately filed by (i) Lamar Advertising Company and (ii) Lamar Media Corp. (which is a wholly owned subsidiary of Lamar Advertising Company). Lamar Media Corp. meets the conditions set forth in general instruction I(1) (a) and (b) of Form 10-K and is, therefore, filing this form with the reduced disclosure format permitted by such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4"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Special Note Regarding Forward-Looking Statements</w:t>
      </w:r>
    </w:p>
    <w:p>
      <w:pPr>
        <w:spacing w:after="0" w:line="2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EE"/>
        </w:rPr>
        <w:t>Business</w:t>
      </w:r>
    </w:p>
    <w:p>
      <w:pPr>
        <w:spacing w:after="0" w:line="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General</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Corporate History</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Operating Strategies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Capital Allocation Strategy</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Company Operations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Competition</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Geographic Diversification</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Taxable REIT Subsidiaries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Advertising Tenants</w:t>
      </w:r>
    </w:p>
    <w:p>
      <w:pPr>
        <w:spacing w:after="0" w:line="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u w:val="single" w:color="auto"/>
          <w:color w:val="0000EE"/>
        </w:rPr>
        <w:t>Regulation</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300" w:type="dxa"/>
            <w:vAlign w:val="bottom"/>
            <w:gridSpan w:val="17"/>
          </w:tcPr>
          <w:p>
            <w:pPr>
              <w:spacing w:after="0"/>
              <w:rPr>
                <w:sz w:val="17"/>
                <w:szCs w:val="17"/>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Real Estate Portfolio</w:t>
            </w:r>
          </w:p>
        </w:tc>
        <w:tc>
          <w:tcPr>
            <w:tcW w:w="6120" w:type="dxa"/>
            <w:vAlign w:val="bottom"/>
            <w:gridSpan w:val="15"/>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Contract Expirations</w:t>
            </w:r>
          </w:p>
        </w:tc>
        <w:tc>
          <w:tcPr>
            <w:tcW w:w="6140" w:type="dxa"/>
            <w:vAlign w:val="bottom"/>
            <w:gridSpan w:val="16"/>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Human Capital Resources</w:t>
            </w: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Inflation</w:t>
            </w:r>
          </w:p>
        </w:tc>
        <w:tc>
          <w:tcPr>
            <w:tcW w:w="5760" w:type="dxa"/>
            <w:vAlign w:val="bottom"/>
            <w:gridSpan w:val="13"/>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Seasonality</w:t>
            </w:r>
          </w:p>
        </w:tc>
        <w:tc>
          <w:tcPr>
            <w:tcW w:w="6800" w:type="dxa"/>
            <w:vAlign w:val="bottom"/>
            <w:gridSpan w:val="24"/>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Available Information</w:t>
            </w:r>
          </w:p>
        </w:tc>
        <w:tc>
          <w:tcPr>
            <w:tcW w:w="6040" w:type="dxa"/>
            <w:vAlign w:val="bottom"/>
            <w:gridSpan w:val="14"/>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Risk Factors</w:t>
            </w: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40" w:type="dxa"/>
            <w:vAlign w:val="bottom"/>
            <w:gridSpan w:val="14"/>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020" w:type="dxa"/>
            <w:vAlign w:val="bottom"/>
            <w:gridSpan w:val="25"/>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740" w:type="dxa"/>
            <w:vAlign w:val="bottom"/>
            <w:gridSpan w:val="22"/>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Mine Safety Disclosures</w:t>
            </w:r>
          </w:p>
        </w:tc>
      </w:tr>
      <w:tr>
        <w:trPr>
          <w:trHeight w:val="286"/>
        </w:trPr>
        <w:tc>
          <w:tcPr>
            <w:tcW w:w="14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PART II</w:t>
            </w:r>
          </w:p>
        </w:tc>
      </w:tr>
      <w:tr>
        <w:trPr>
          <w:trHeight w:val="194"/>
        </w:trPr>
        <w:tc>
          <w:tcPr>
            <w:tcW w:w="1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FF"/>
              </w:rPr>
              <w:t>Reserved</w:t>
            </w:r>
          </w:p>
        </w:tc>
        <w:tc>
          <w:tcPr>
            <w:tcW w:w="20" w:type="dxa"/>
            <w:vAlign w:val="bottom"/>
          </w:tcPr>
          <w:p>
            <w:pPr>
              <w:spacing w:after="0"/>
              <w:rPr>
                <w:sz w:val="21"/>
                <w:szCs w:val="21"/>
                <w:color w:val="auto"/>
              </w:rPr>
            </w:pPr>
          </w:p>
        </w:tc>
      </w:tr>
      <w:tr>
        <w:trPr>
          <w:trHeight w:val="20"/>
        </w:trPr>
        <w:tc>
          <w:tcPr>
            <w:tcW w:w="14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20" w:type="dxa"/>
            <w:vAlign w:val="bottom"/>
            <w:gridSpan w:val="3"/>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Lamar Advertising Company</w:t>
            </w:r>
          </w:p>
        </w:tc>
        <w:tc>
          <w:tcPr>
            <w:tcW w:w="5520" w:type="dxa"/>
            <w:vAlign w:val="bottom"/>
            <w:gridSpan w:val="12"/>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0"/>
              </w:rPr>
              <w:t>Overview</w:t>
            </w:r>
          </w:p>
        </w:tc>
        <w:tc>
          <w:tcPr>
            <w:tcW w:w="6520" w:type="dxa"/>
            <w:vAlign w:val="bottom"/>
            <w:gridSpan w:val="19"/>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6"/>
              </w:rPr>
              <w:t>Non-GAAP Financial Measures</w:t>
            </w:r>
          </w:p>
        </w:tc>
        <w:tc>
          <w:tcPr>
            <w:tcW w:w="4920" w:type="dxa"/>
            <w:vAlign w:val="bottom"/>
            <w:gridSpan w:val="10"/>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Results of Operations: Years Ended December 31, 2024 and 2023</w:t>
            </w:r>
          </w:p>
        </w:tc>
        <w:tc>
          <w:tcPr>
            <w:tcW w:w="2500" w:type="dxa"/>
            <w:vAlign w:val="bottom"/>
            <w:gridSpan w:val="4"/>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7"/>
              </w:rPr>
              <w:t>Liquidity and Capital Resources</w:t>
            </w:r>
          </w:p>
        </w:tc>
        <w:tc>
          <w:tcPr>
            <w:tcW w:w="4900" w:type="dxa"/>
            <w:vAlign w:val="bottom"/>
            <w:gridSpan w:val="9"/>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6"/>
              </w:rPr>
              <w:t>Critical Accounting Estimates</w:t>
            </w:r>
          </w:p>
        </w:tc>
        <w:tc>
          <w:tcPr>
            <w:tcW w:w="5060" w:type="dxa"/>
            <w:vAlign w:val="bottom"/>
            <w:gridSpan w:val="11"/>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Accounting Standards and Regulatory Update</w:t>
            </w:r>
          </w:p>
        </w:tc>
        <w:tc>
          <w:tcPr>
            <w:tcW w:w="3920" w:type="dxa"/>
            <w:vAlign w:val="bottom"/>
            <w:gridSpan w:val="8"/>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Lamar Media</w:t>
            </w:r>
          </w:p>
        </w:tc>
        <w:tc>
          <w:tcPr>
            <w:tcW w:w="6660" w:type="dxa"/>
            <w:vAlign w:val="bottom"/>
            <w:gridSpan w:val="21"/>
          </w:tcPr>
          <w:p>
            <w:pPr>
              <w:spacing w:after="0"/>
              <w:rPr>
                <w:sz w:val="21"/>
                <w:szCs w:val="21"/>
                <w:color w:val="auto"/>
              </w:rPr>
            </w:pPr>
          </w:p>
        </w:tc>
      </w:tr>
      <w:tr>
        <w:trPr>
          <w:trHeight w:val="250"/>
        </w:trPr>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Results of Operations: Years Ended December 31, 2024 and 2023</w:t>
            </w:r>
          </w:p>
        </w:tc>
        <w:tc>
          <w:tcPr>
            <w:tcW w:w="2540" w:type="dxa"/>
            <w:vAlign w:val="bottom"/>
            <w:gridSpan w:val="5"/>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720" w:type="dxa"/>
            <w:vAlign w:val="bottom"/>
            <w:gridSpan w:val="7"/>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Financial Statements</w:t>
            </w:r>
          </w:p>
        </w:tc>
      </w:tr>
      <w:tr>
        <w:trPr>
          <w:trHeight w:val="20"/>
        </w:trPr>
        <w:tc>
          <w:tcPr>
            <w:tcW w:w="14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60" w:type="dxa"/>
            <w:vAlign w:val="bottom"/>
            <w:gridSpan w:val="1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600" w:type="dxa"/>
            <w:vAlign w:val="bottom"/>
            <w:gridSpan w:val="2"/>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0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Controls and Procedures</w:t>
            </w: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5"/>
          </w:tcPr>
          <w:p>
            <w:pPr>
              <w:spacing w:after="0"/>
              <w:rPr>
                <w:sz w:val="21"/>
                <w:szCs w:val="21"/>
                <w:color w:val="auto"/>
              </w:rPr>
            </w:pPr>
          </w:p>
        </w:tc>
        <w:tc>
          <w:tcPr>
            <w:tcW w:w="6320" w:type="dxa"/>
            <w:vAlign w:val="bottom"/>
            <w:gridSpan w:val="18"/>
          </w:tcPr>
          <w:p>
            <w:pPr>
              <w:spacing w:after="0"/>
              <w:rPr>
                <w:sz w:val="21"/>
                <w:szCs w:val="21"/>
                <w:color w:val="auto"/>
              </w:rPr>
            </w:pPr>
          </w:p>
        </w:tc>
      </w:tr>
      <w:tr>
        <w:trPr>
          <w:trHeight w:val="25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120" w:type="dxa"/>
            <w:vAlign w:val="bottom"/>
            <w:gridSpan w:val="6"/>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101</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101</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102</w:t>
      </w:r>
    </w:p>
    <w:p>
      <w:pPr>
        <w:spacing w:after="0" w:line="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102</w:t>
      </w:r>
    </w:p>
    <w:p>
      <w:pPr>
        <w:spacing w:after="0" w:line="200" w:lineRule="exact"/>
        <w:rPr>
          <w:sz w:val="20"/>
          <w:szCs w:val="20"/>
          <w:color w:val="auto"/>
        </w:rPr>
      </w:pPr>
    </w:p>
    <w:p>
      <w:pPr>
        <w:sectPr>
          <w:pgSz w:w="11900" w:h="16838" w:orient="portrait"/>
          <w:cols w:equalWidth="0" w:num="2">
            <w:col w:w="10200" w:space="720"/>
            <w:col w:w="260"/>
          </w:cols>
          <w:pgMar w:left="320" w:top="121" w:right="39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0000EE"/>
        </w:rPr>
        <w:t>Directors, Executive Officers and Corporate Governance</w:t>
      </w:r>
    </w:p>
    <w:p>
      <w:pPr>
        <w:spacing w:after="0" w:line="58"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u w:val="single" w:color="auto"/>
          <w:color w:val="0000EE"/>
        </w:rPr>
        <w:t>Executive Compensation</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u w:val="single" w:color="auto"/>
          <w:color w:val="0000EE"/>
        </w:rPr>
        <w:t>Security Ownership of Certain Beneficial Owners and Management and Related Stockholder Matters</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u w:val="single" w:color="auto"/>
          <w:color w:val="0000EE"/>
        </w:rPr>
        <w:t>Certain Relationships and Related Transactions, and Director Independence</w:t>
      </w:r>
    </w:p>
    <w:p>
      <w:pPr>
        <w:spacing w:after="0" w:line="63"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u w:val="single" w:color="auto"/>
          <w:color w:val="0000EE"/>
        </w:rPr>
        <w:t>Principal Accounting Fees and Services</w:t>
      </w:r>
    </w:p>
    <w:p>
      <w:pPr>
        <w:spacing w:after="0" w:line="59"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EE"/>
        </w:rPr>
        <w:t>Exhibits, Financial Statement Schedules</w:t>
      </w:r>
    </w:p>
    <w:p>
      <w:pPr>
        <w:spacing w:after="0" w:line="58" w:lineRule="exact"/>
        <w:rPr>
          <w:sz w:val="20"/>
          <w:szCs w:val="20"/>
          <w:color w:val="auto"/>
        </w:rPr>
      </w:pPr>
    </w:p>
    <w:p>
      <w:pPr>
        <w:ind w:left="20"/>
        <w:spacing w:after="0"/>
        <w:tabs>
          <w:tab w:leader="none" w:pos="140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u w:val="single" w:color="auto"/>
          <w:color w:val="0000EE"/>
        </w:rPr>
        <w:t>Form 10-K Summary</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Index to Exhibits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2">
            <w:col w:w="10200" w:space="720"/>
            <w:col w:w="260"/>
          </w:cols>
          <w:pgMar w:left="320" w:top="12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 (i) our future financial performance and condition; (ii) our business plans, objectives, prospects, growth and operating strategies; (iii) our future capital expenditures and level of acquisition activity; (iv) our ability to integrate acquired assets and realize operating efficiency from acquisitions; (v) market opportunities and competitive positions; (vi) our future cash flows and expected cash requirements; (vii) expected timing and amount of distributions to our stockholders; (viii) estimated risks; (ix) our ability to maintain compliance with applicable covenants and restrictions included in Lamar Media Corp’s (“Lamar Media”) senior credit facility, Accounts Receivable Securitization Program (as defined herein) and the indentures relating to its outstanding notes; (x) stock price; and (xi) our ability to remain qualified as a real estate investment trust (“REIT”).</w:t>
      </w:r>
    </w:p>
    <w:p>
      <w:pPr>
        <w:spacing w:after="0" w:line="19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state of the economy and financial markets generally and their effects on the markets in which we operate and the broader demand for advertising; (ii) the levels of expenditures on advertising in general and outdoor advertising in particular; (iii) risks and uncertainties relating to our significant indebtedness; (iv) the demand for outdoor advertising and its continued popularity as an advertising medium; (v) our need for, and ability to obtain, additional funding for acquisitions, operations and debt refinancing; (vi) increased competition within the outdoor advertising industry; (vii) the regulation of the outdoor advertising industry by federal, state and local governments; (viii) our ability to renew expiring contracts at favorable rates;</w:t>
      </w:r>
    </w:p>
    <w:p>
      <w:pPr>
        <w:spacing w:after="0" w:line="3" w:lineRule="exact"/>
        <w:rPr>
          <w:sz w:val="20"/>
          <w:szCs w:val="20"/>
          <w:color w:val="auto"/>
        </w:rPr>
      </w:pPr>
    </w:p>
    <w:p>
      <w:pPr>
        <w:jc w:val="both"/>
        <w:ind w:firstLine="8"/>
        <w:spacing w:after="0" w:line="253" w:lineRule="auto"/>
        <w:tabs>
          <w:tab w:leader="none" w:pos="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businesses and assets that we acquire and our ability to recognize cost savings and operating efficiencies as a result of these acquisitions; (x) our ability to successfully implement our digital deployment strategy; (xi) the market for our Class A common stock; (xii) changes in accounting principles, policies or guidelines; (xiii) our ability to effectively mitigate the threat of and damages caused by hurricanes and other kinds of severe weather; (xiv) our ability to maintain our status as a REIT; and (xv) changes in tax laws applicable to REITs or in the interpretation of those laws.</w:t>
      </w:r>
    </w:p>
    <w:p>
      <w:pPr>
        <w:spacing w:after="0" w:line="18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industry and market data presented throughout this report are based on the experience and estimates of our management and the data in reports issued by third-parties, including the Out of Home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 w:lineRule="exact"/>
        <w:rPr>
          <w:sz w:val="20"/>
          <w:szCs w:val="20"/>
          <w:color w:val="auto"/>
        </w:rPr>
      </w:pPr>
    </w:p>
    <w:p>
      <w:pPr>
        <w:ind w:right="20" w:firstLine="567"/>
        <w:spacing w:after="0" w:line="220" w:lineRule="auto"/>
        <w:rPr>
          <w:sz w:val="20"/>
          <w:szCs w:val="20"/>
          <w:color w:val="auto"/>
        </w:rPr>
      </w:pPr>
      <w:r>
        <w:rPr>
          <w:rFonts w:ascii="Times New Roman" w:cs="Times New Roman" w:eastAsia="Times New Roman" w:hAnsi="Times New Roman"/>
          <w:sz w:val="18"/>
          <w:szCs w:val="18"/>
          <w:color w:val="auto"/>
        </w:rPr>
        <w:t xml:space="preserve">Lamar Advertising Company is one of the largest outdoor advertising companies in the United States based on number of displays and has operated under the Lamar name since 1902. We manage our business through three operating segments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billboard, logo and transit advertising. We rent space for</w:t>
      </w:r>
    </w:p>
    <w:p>
      <w:pPr>
        <w:spacing w:after="0" w:line="1"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8"/>
          <w:szCs w:val="18"/>
          <w:color w:val="auto"/>
        </w:rPr>
        <w:t>advertising on billboards, buses, shelters, benches, logo plates and in airport terminals. We offer our customers a fully integrated service, satisfying all aspects of their display requirements from ad copy production to placement and maintenance.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operate three types of outdoor advertising displays: billboards, logo signs and transit advertising displays.</w:t>
      </w:r>
    </w:p>
    <w:p>
      <w:pPr>
        <w:spacing w:after="0" w:line="223" w:lineRule="exact"/>
        <w:rPr>
          <w:sz w:val="20"/>
          <w:szCs w:val="20"/>
          <w:color w:val="auto"/>
        </w:rPr>
      </w:pPr>
    </w:p>
    <w:p>
      <w:pPr>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Billboards. </w:t>
      </w:r>
      <w:r>
        <w:rPr>
          <w:rFonts w:ascii="Times New Roman" w:cs="Times New Roman" w:eastAsia="Times New Roman" w:hAnsi="Times New Roman"/>
          <w:sz w:val="18"/>
          <w:szCs w:val="18"/>
          <w:color w:val="auto"/>
        </w:rPr>
        <w:t>As of December 31, 2024, we owned and operated approximately 159,000 billboard advertising displays in 45 states and Canada.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 most of our advertising space on two types of billboards: bulletins and posters.</w:t>
      </w:r>
    </w:p>
    <w:p>
      <w:pPr>
        <w:spacing w:after="0" w:line="50" w:lineRule="exact"/>
        <w:rPr>
          <w:sz w:val="20"/>
          <w:szCs w:val="20"/>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Bulletins </w:t>
      </w:r>
      <w:r>
        <w:rPr>
          <w:rFonts w:ascii="Times New Roman" w:cs="Times New Roman" w:eastAsia="Times New Roman" w:hAnsi="Times New Roman"/>
          <w:sz w:val="18"/>
          <w:szCs w:val="18"/>
          <w:color w:val="auto"/>
        </w:rPr>
        <w:t>are generally large, illuminated advertising structures that are located on major highways and target vehicular traffic.</w:t>
      </w:r>
    </w:p>
    <w:p>
      <w:pPr>
        <w:spacing w:after="0" w:line="117" w:lineRule="exact"/>
        <w:rPr>
          <w:rFonts w:ascii="Times New Roman" w:cs="Times New Roman" w:eastAsia="Times New Roman" w:hAnsi="Times New Roman"/>
          <w:sz w:val="18"/>
          <w:szCs w:val="18"/>
          <w:i w:val="1"/>
          <w:iCs w:val="1"/>
          <w:color w:val="auto"/>
        </w:rPr>
      </w:pPr>
    </w:p>
    <w:p>
      <w:pPr>
        <w:ind w:left="1140" w:right="20" w:hanging="565"/>
        <w:spacing w:after="0" w:line="284" w:lineRule="auto"/>
        <w:tabs>
          <w:tab w:leader="none" w:pos="11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Posters </w:t>
      </w:r>
      <w:r>
        <w:rPr>
          <w:rFonts w:ascii="Times New Roman" w:cs="Times New Roman" w:eastAsia="Times New Roman" w:hAnsi="Times New Roman"/>
          <w:sz w:val="18"/>
          <w:szCs w:val="18"/>
          <w:color w:val="auto"/>
        </w:rPr>
        <w:t>are generally smaller advertising structures that are located on major traffic arteries and city streets and target vehicular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pedestrian traffic.</w:t>
      </w:r>
    </w:p>
    <w:p>
      <w:pPr>
        <w:spacing w:after="0" w:line="160"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In addition to traditional billboards, we also rent space on digital billboards, which are generally located on major traffic arteries and city streets. As of December 31, 2024, we owned and operated approximately 5,000 digital billboard advertising displays in 43 states and Canada.</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Logo signs. </w:t>
      </w:r>
      <w:r>
        <w:rPr>
          <w:rFonts w:ascii="Times New Roman" w:cs="Times New Roman" w:eastAsia="Times New Roman" w:hAnsi="Times New Roman"/>
          <w:sz w:val="18"/>
          <w:szCs w:val="18"/>
          <w:color w:val="auto"/>
        </w:rPr>
        <w:t>We rent advertising space on logo signs located near highway exits.</w:t>
      </w:r>
    </w:p>
    <w:p>
      <w:pPr>
        <w:spacing w:after="0" w:line="117" w:lineRule="exact"/>
        <w:rPr>
          <w:sz w:val="20"/>
          <w:szCs w:val="20"/>
          <w:color w:val="auto"/>
        </w:rPr>
      </w:pP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Logo signs </w:t>
      </w:r>
      <w:r>
        <w:rPr>
          <w:rFonts w:ascii="Times New Roman" w:cs="Times New Roman" w:eastAsia="Times New Roman" w:hAnsi="Times New Roman"/>
          <w:sz w:val="18"/>
          <w:szCs w:val="18"/>
          <w:color w:val="auto"/>
        </w:rPr>
        <w:t>generally advertise nearby gas, food, camping, lodging and other attractions.</w:t>
      </w:r>
    </w:p>
    <w:p>
      <w:pPr>
        <w:spacing w:after="0" w:line="227"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We are the largest provider of logo signs in the United States, operating 23 of the 26 privatized state logo sign contracts. As of December 31, 2024, we operated over 138,200 logo sign advertising displays in 23 states and the province of Ontario, Canada.</w:t>
      </w:r>
    </w:p>
    <w:p>
      <w:pPr>
        <w:spacing w:after="0" w:line="16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Transit advertising displays. </w:t>
      </w:r>
      <w:r>
        <w:rPr>
          <w:rFonts w:ascii="Times New Roman" w:cs="Times New Roman" w:eastAsia="Times New Roman" w:hAnsi="Times New Roman"/>
          <w:sz w:val="18"/>
          <w:szCs w:val="18"/>
          <w:color w:val="auto"/>
        </w:rPr>
        <w:t>We also rent advertising space on the exterior and interior of public transportation vehicles, in airport terminals, 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 shelters and benches in over 80 markets. As of December 31, 2024, we operated approximately 47,500 transit advertising displays in 23 states and Canada.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have operated under the Lamar name since our founding in 1902 and have been publicly traded on NASDAQ under the symbol “LAMR”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1996.</w:t>
      </w:r>
    </w:p>
    <w:p>
      <w:pPr>
        <w:spacing w:after="0" w:line="20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During 2014, we completed a reorganization in order to qualify as a real estate investment trust (a “REIT”) for federal income tax purposes. During 2022, the Company completed a tax reorganization to a specific type of REIT known as an Umbrella Partnership Real Estate Investment Trust ("UPREIT"). The UPREIT structure allows property owners of appreciated properties to contribute property to the operating partnership of the REIT, on a tax-deferred basis, in exchange for a partnership interest in the form of operating partnership units.</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and we refer to Lamar Advertising’s wholly owned subsidiary Lamar Media Corp. as “Lamar Media.”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STRATEGIES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strive to be a leading provider of outdoor advertising services in each of the markets that we serve, and our operating strategies for achieving that goal include:</w:t>
      </w:r>
    </w:p>
    <w:p>
      <w:pPr>
        <w:spacing w:after="0" w:line="158"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provide high quality local sales and service. </w:t>
      </w:r>
      <w:r>
        <w:rPr>
          <w:rFonts w:ascii="Times New Roman" w:cs="Times New Roman" w:eastAsia="Times New Roman" w:hAnsi="Times New Roman"/>
          <w:sz w:val="18"/>
          <w:szCs w:val="18"/>
          <w:color w:val="auto"/>
        </w:rPr>
        <w:t>We seek to identify and closely monitor the needs of our tenants and to provide them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full complement of high quality advertising services. Local advertising constituted approximately 79% of our outdoor net revenues for the year ended December 31, 2024, which management believes is higher than the industry average. We believe that the experience of our regional, territory and local managers has contributed greatly to our success. For example, our regional managers have been with us for an average of 33 years. In an effort to provide high quality sales and service at the local level, we employed approximately 975 local account executives as of December 31, 2024. Local account executives are typically supported by additional local staff and have the ability to draw upon the resources of our central office, as well as our offices in other markets, in the event business opportunities or customers’ needs support such an allocation of resources.</w:t>
      </w:r>
    </w:p>
    <w:p>
      <w:pPr>
        <w:spacing w:after="0" w:line="183" w:lineRule="exact"/>
        <w:rPr>
          <w:sz w:val="20"/>
          <w:szCs w:val="20"/>
          <w:color w:val="auto"/>
        </w:rPr>
      </w:pPr>
    </w:p>
    <w:p>
      <w:pPr>
        <w:jc w:val="both"/>
        <w:ind w:firstLine="56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a centralized control and decentralized management structure. </w:t>
      </w:r>
      <w:r>
        <w:rPr>
          <w:rFonts w:ascii="Times New Roman" w:cs="Times New Roman" w:eastAsia="Times New Roman" w:hAnsi="Times New Roman"/>
          <w:sz w:val="18"/>
          <w:szCs w:val="18"/>
          <w:color w:val="auto"/>
        </w:rPr>
        <w:t>Our management believes that, for our particular business, centralized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176"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focus on internal growth. </w:t>
      </w:r>
      <w:r>
        <w:rPr>
          <w:rFonts w:ascii="Times New Roman" w:cs="Times New Roman" w:eastAsia="Times New Roman" w:hAnsi="Times New Roman"/>
          <w:sz w:val="18"/>
          <w:szCs w:val="18"/>
          <w:color w:val="auto"/>
        </w:rPr>
        <w:t>Within our existing markets we seek to increase our revenue and improve cash flow by employing 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17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addition, we routinely invest in upgrading our existing displays and constructing new displays. Since January 1, 2015, we have invested approximately $1.24 billion in capitalized expenditures, which include improvements to our existing real estate portfolio, improvements to recently acquired locations and the construction of new locations. Our regular improvement and expansion of our advertising display inventory allows us to provide high quality service to our current tenants and to attract new tenants.</w:t>
      </w:r>
    </w:p>
    <w:p>
      <w:pPr>
        <w:spacing w:after="0" w:line="176" w:lineRule="exact"/>
        <w:rPr>
          <w:sz w:val="20"/>
          <w:szCs w:val="20"/>
          <w:color w:val="auto"/>
        </w:rPr>
      </w:pPr>
    </w:p>
    <w:p>
      <w:pPr>
        <w:jc w:val="both"/>
        <w:ind w:firstLine="56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Continuing to pursue other outdoor advertising opportunities. </w:t>
      </w:r>
      <w:r>
        <w:rPr>
          <w:rFonts w:ascii="Times New Roman" w:cs="Times New Roman" w:eastAsia="Times New Roman" w:hAnsi="Times New Roman"/>
          <w:sz w:val="18"/>
          <w:szCs w:val="18"/>
          <w:color w:val="auto"/>
        </w:rPr>
        <w:t>We plan to renew existing logo sign contracts and pursue additional logo 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and airport advertising opportunities as they become available.</w:t>
      </w:r>
    </w:p>
    <w:p>
      <w:pPr>
        <w:spacing w:after="0" w:line="179" w:lineRule="exact"/>
        <w:rPr>
          <w:sz w:val="20"/>
          <w:szCs w:val="20"/>
          <w:color w:val="auto"/>
        </w:rPr>
      </w:pPr>
    </w:p>
    <w:p>
      <w:pPr>
        <w:jc w:val="both"/>
        <w:ind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Reinvesting in capital expenditures including digital technology. </w:t>
      </w:r>
      <w:r>
        <w:rPr>
          <w:rFonts w:ascii="Times New Roman" w:cs="Times New Roman" w:eastAsia="Times New Roman" w:hAnsi="Times New Roman"/>
          <w:sz w:val="18"/>
          <w:szCs w:val="18"/>
          <w:color w:val="auto"/>
        </w:rPr>
        <w:t>We have a history of investing in capital expenditures, particularly in our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We spent approximately $125.3 million in total capital expenditures in fiscal year 2024, of which approximately $60.7 million was spent on digital technology. We expect our 2025 capitalized expenditures to be approximately $195 million.</w:t>
      </w:r>
    </w:p>
    <w:p>
      <w:pPr>
        <w:spacing w:after="0" w:line="171" w:lineRule="exact"/>
        <w:rPr>
          <w:sz w:val="20"/>
          <w:szCs w:val="20"/>
          <w:color w:val="auto"/>
        </w:rPr>
      </w:pPr>
    </w:p>
    <w:p>
      <w:pPr>
        <w:jc w:val="both"/>
        <w:ind w:firstLine="56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our out-of-home programmatic channel. </w:t>
      </w:r>
      <w:r>
        <w:rPr>
          <w:rFonts w:ascii="Times New Roman" w:cs="Times New Roman" w:eastAsia="Times New Roman" w:hAnsi="Times New Roman"/>
          <w:sz w:val="18"/>
          <w:szCs w:val="18"/>
          <w:color w:val="auto"/>
        </w:rPr>
        <w:t>We offer a portion of our unsold digital display inventory to advertisers via our programmatic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Through these programmatic partners, advertisers can buy advertising space across multiple channels, allowing them to complement their existing campaigns by leasing our digital out-of-home offerings. While the programmatic out-of-home channel is 2% of our existing outdoor business and relatively new, we believe it represents a growth area for our industry and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 STRATEGY</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excluding net capital gains. After complying with our REIT distribution requirements, we plan to continue to allocate our available capital among investment alternatives that meet our return on investment criteria. During 2024, we generated $873.6 million of cash from operating activities, which was used to repay a portion of our long-term debt outstanding, as well as fund capital expenditures, acquisitions, and dividends to our stockholders.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140" w:hanging="565"/>
        <w:spacing w:after="0" w:line="262"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 expenditures program. </w:t>
      </w:r>
      <w:r>
        <w:rPr>
          <w:rFonts w:ascii="Times New Roman" w:cs="Times New Roman" w:eastAsia="Times New Roman" w:hAnsi="Times New Roman"/>
          <w:sz w:val="18"/>
          <w:szCs w:val="18"/>
          <w:color w:val="auto"/>
        </w:rPr>
        <w:t>We will continue to reinvest in our existing assets and expand our outdoor advertising display portfolio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new construction. This includes growth, maintenance and other non-recurring capital expenditures associated with the construction of new and existing billboard displays, the entrance into and renewal of logo sign and transit contracts, technology-related investments and the purchase of real estate and operating equipment.</w:t>
      </w:r>
    </w:p>
    <w:p>
      <w:pPr>
        <w:spacing w:after="0" w:line="68" w:lineRule="exact"/>
        <w:rPr>
          <w:rFonts w:ascii="Times New Roman" w:cs="Times New Roman" w:eastAsia="Times New Roman" w:hAnsi="Times New Roman"/>
          <w:sz w:val="18"/>
          <w:szCs w:val="18"/>
          <w:color w:val="auto"/>
        </w:rPr>
      </w:pPr>
    </w:p>
    <w:p>
      <w:pPr>
        <w:jc w:val="both"/>
        <w:ind w:left="1140" w:hanging="565"/>
        <w:spacing w:after="0" w:line="268" w:lineRule="auto"/>
        <w:tabs>
          <w:tab w:leader="none" w:pos="1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We will seek to pursue strategic acquisitions of outdoor advertising businesses and assets. This includes acquisitions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markets and in new markets where we can meet our return on investment criteria. When evaluating investments in new markets, our return on investment criteria reflects the additional risks inherent to the particular geographic area.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Billboard Advertising</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rent most of our advertising space on two types of billboard advertising displays: bulletins and posters. As of December 31, 2024, we owned and operated approximately 159,000 billboard advertising displays in 45 states and Canada. In 2024, we derived approximately 76% of our billboard advertising net revenues from bulletin rentals and 24% from poster rentals.</w:t>
      </w:r>
    </w:p>
    <w:p>
      <w:pPr>
        <w:spacing w:after="0" w:line="17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Bulletins </w:t>
      </w:r>
      <w:r>
        <w:rPr>
          <w:rFonts w:ascii="Times New Roman" w:cs="Times New Roman" w:eastAsia="Times New Roman" w:hAnsi="Times New Roman"/>
          <w:sz w:val="18"/>
          <w:szCs w:val="18"/>
          <w:color w:val="auto"/>
        </w:rPr>
        <w:t>are large advertising structures consisting of panels (the most common size is 14 feet high by 48 feet wide, or 672 square feet)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copy is displayed. We wrap advertising copy printed with computer-generated graphics on a single sheet of vinyl around the structure. To attract more attention, some of the panels may extend beyond the linear edges of the display face and may include three-dimensional embellishments. Because of their greater impact and higher cost, bulletins are usually located on major highways and target vehicular traffic. At December 31, 2024, we operated approximately 78,800 bulletin displays.</w:t>
      </w:r>
    </w:p>
    <w:p>
      <w:pPr>
        <w:spacing w:after="0" w:line="18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generally rent individually-selected bulletin space to advertisers for the duration of the contract (ranging from 4 to 52 weeks). We also rent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174"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Posters </w:t>
      </w:r>
      <w:r>
        <w:rPr>
          <w:rFonts w:ascii="Times New Roman" w:cs="Times New Roman" w:eastAsia="Times New Roman" w:hAnsi="Times New Roman"/>
          <w:sz w:val="18"/>
          <w:szCs w:val="18"/>
          <w:color w:val="auto"/>
        </w:rPr>
        <w:t>are smaller advertising structures (the most common panel size is 11 feet high by 23 feet wide, or 253 square feet; we also operate junior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posters, which are 5 feet high by 11 feet wide, or 55 square feet). Poster panels utilize a single flexible sheet of polyethylene material that inserts onto the face of the panel. Posters are concentrated on major traffic arteries and target vehicular traffic, and junior posters are concentrated on city streets and target hard-to-reach pedestrian traffic and nearby residents. At December 31, 2024, we operated approximately 80,200 poster displays.</w:t>
      </w:r>
    </w:p>
    <w:p>
      <w:pPr>
        <w:spacing w:after="0" w:line="18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generally rent poster space for 4 to 26 weeks, determined by the advertiser’s campaign needs. Posters are sold in packages of Target Rating Point (“TRP”) levels, which determine the percentage of a target audience an advertiser needs to reach. A package may include a combination of poster locations in order to meet reach and frequency campaign goals.</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addition to the traditional static displays, we also rent digital billboards. Digital billboards are large electronic light emitting diode (“LED”) displays (the most common sizes are 14 feet high by 48 feet wide, or 672 square feet; 10.5 feet high by 36 feet wide, or 378 square feet; and 10 feet high by 21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2024, our inventory included approximately 5,000 digital display billboards in various markets. These 5,000 digital billboards generated approximately 32% of billboard advertising net revenue.</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advertiser’s market by using software that allows us to analyze the target audience and its demographics. Our artists also assist in developing marketing presentations, demonstrations and strategies to attract new tenant advertisers.</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Logo Sign Advertising</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entered the logo sign advertising business in 1988 and have become the largest provider of logo sign services in the United States, operating 23 of the 26 privatized state logo contracts. We erect logo signs, which generally advertise nearby gas, food, camping, lodging and other attractions, and directional signs, which direct vehicle traffic to nearby services and tourist attractions, near highway exits. As of December 31, 2024, we operated approximately 41,700 logo sign structures containing over 138,200 logo advertising displays in the United States and Canada.</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operate the logo sign contracts in the province of Ontario, Canada and in the following states: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Kansas</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Minnesota</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Montana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Hampshire</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Ohio</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188"/>
        </w:trPr>
        <w:tc>
          <w:tcPr>
            <w:tcW w:w="11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Delaware</w:t>
            </w:r>
          </w:p>
        </w:tc>
        <w:tc>
          <w:tcPr>
            <w:tcW w:w="160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color w:val="auto"/>
              </w:rPr>
              <w:t>Kentucky</w:t>
            </w:r>
          </w:p>
        </w:tc>
        <w:tc>
          <w:tcPr>
            <w:tcW w:w="1640" w:type="dxa"/>
            <w:vAlign w:val="bottom"/>
          </w:tcPr>
          <w:p>
            <w:pPr>
              <w:ind w:left="440"/>
              <w:spacing w:after="0" w:line="188" w:lineRule="exact"/>
              <w:rPr>
                <w:sz w:val="20"/>
                <w:szCs w:val="20"/>
                <w:color w:val="auto"/>
              </w:rPr>
            </w:pPr>
            <w:r>
              <w:rPr>
                <w:rFonts w:ascii="Times New Roman" w:cs="Times New Roman" w:eastAsia="Times New Roman" w:hAnsi="Times New Roman"/>
                <w:sz w:val="18"/>
                <w:szCs w:val="18"/>
                <w:color w:val="auto"/>
              </w:rPr>
              <w:t>Mississippi</w:t>
            </w:r>
          </w:p>
        </w:tc>
        <w:tc>
          <w:tcPr>
            <w:tcW w:w="152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color w:val="auto"/>
              </w:rPr>
              <w:t>Nebraska</w:t>
            </w:r>
          </w:p>
        </w:tc>
        <w:tc>
          <w:tcPr>
            <w:tcW w:w="1840" w:type="dxa"/>
            <w:vAlign w:val="bottom"/>
          </w:tcPr>
          <w:p>
            <w:pPr>
              <w:ind w:left="460"/>
              <w:spacing w:after="0" w:line="188" w:lineRule="exact"/>
              <w:rPr>
                <w:sz w:val="20"/>
                <w:szCs w:val="20"/>
                <w:color w:val="auto"/>
              </w:rPr>
            </w:pPr>
            <w:r>
              <w:rPr>
                <w:rFonts w:ascii="Times New Roman" w:cs="Times New Roman" w:eastAsia="Times New Roman" w:hAnsi="Times New Roman"/>
                <w:sz w:val="18"/>
                <w:szCs w:val="18"/>
                <w:color w:val="auto"/>
              </w:rPr>
              <w:t>New Jersey</w:t>
            </w:r>
          </w:p>
        </w:tc>
        <w:tc>
          <w:tcPr>
            <w:tcW w:w="156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Oklahoma</w:t>
            </w:r>
          </w:p>
        </w:tc>
        <w:tc>
          <w:tcPr>
            <w:tcW w:w="10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Utah</w:t>
            </w: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Louisiana</w:t>
            </w:r>
          </w:p>
        </w:tc>
        <w:tc>
          <w:tcPr>
            <w:tcW w:w="1640" w:type="dxa"/>
            <w:vAlign w:val="bottom"/>
          </w:tcPr>
          <w:p>
            <w:pPr>
              <w:ind w:left="440"/>
              <w:spacing w:after="0" w:line="271" w:lineRule="exact"/>
              <w:rPr>
                <w:sz w:val="20"/>
                <w:szCs w:val="20"/>
                <w:color w:val="auto"/>
              </w:rPr>
            </w:pPr>
            <w:r>
              <w:rPr>
                <w:rFonts w:ascii="Times New Roman" w:cs="Times New Roman" w:eastAsia="Times New Roman" w:hAnsi="Times New Roman"/>
                <w:sz w:val="18"/>
                <w:szCs w:val="18"/>
                <w:color w:val="auto"/>
              </w:rPr>
              <w:t>Missouri</w:t>
            </w:r>
            <w:r>
              <w:rPr>
                <w:rFonts w:ascii="Times New Roman" w:cs="Times New Roman" w:eastAsia="Times New Roman" w:hAnsi="Times New Roman"/>
                <w:sz w:val="28"/>
                <w:szCs w:val="28"/>
                <w:color w:val="auto"/>
                <w:vertAlign w:val="superscript"/>
              </w:rPr>
              <w:t>(1)</w:t>
            </w:r>
          </w:p>
        </w:tc>
        <w:tc>
          <w:tcPr>
            <w:tcW w:w="1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Nevada</w:t>
            </w: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Mexico</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 Carolina</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4"/>
              </w:rPr>
              <w:t>Wisconsin</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Michigan</w:t>
            </w:r>
          </w:p>
        </w:tc>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5430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44" w:lineRule="exact"/>
        <w:rPr>
          <w:sz w:val="20"/>
          <w:szCs w:val="20"/>
          <w:color w:val="auto"/>
        </w:rPr>
      </w:pPr>
    </w:p>
    <w:p>
      <w:pPr>
        <w:ind w:left="560" w:hanging="552"/>
        <w:spacing w:after="0"/>
        <w:tabs>
          <w:tab w:leader="none" w:pos="56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The logo sign contract in Missouri is operated by a 66 2/3% owned partnership.</w:t>
      </w:r>
    </w:p>
    <w:p>
      <w:pPr>
        <w:spacing w:after="0" w:line="198"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also operate the tourist oriented directional signing (“TODS”) programs for the states of Colorado, Kansas, Kentucky, Louisiana, Michigan, Mississippi, Missouri, Montana, Nebraska, Nevada, New Jersey, Ohio, South Carolina, Utah, and the province of Ontario, Canada, providing approximately 15,700 advertising displays.</w:t>
      </w:r>
    </w:p>
    <w:p>
      <w:pPr>
        <w:spacing w:after="0" w:line="1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24 logo sign contracts in place, in the United States and Canada, at December 31, 2024, four are subject to renewal or expiration in 2025.</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 Advertising</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entered into the transit advertising business in 1993 as a way to complement our existing business and maintain market share in certain markets. Transit contracts are generally with the local municipalities and airport authorities and allow us the exclusive right to rent advertising space to customers in airports and on buses, benches or shelters. The terms of the contracts vary but generally range between 3-10 years, many with renewable options for contract extension. We rent transit advertising displays in airport terminals and on bus shelters, benches and buses in over 80 transit markets, and our production staff provides a full range of creative and installation services to our transit advertising tenants. As of December 31, 2024, we operated approximately 47,500 transit advertising displays in 23 states and Canada.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upon being awarded contracts.</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titled — “Competition”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17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54" w:lineRule="exact"/>
        <w:rPr>
          <w:sz w:val="20"/>
          <w:szCs w:val="20"/>
          <w:color w:val="auto"/>
        </w:rPr>
      </w:pPr>
    </w:p>
    <w:p>
      <w:pPr>
        <w:jc w:val="both"/>
        <w:ind w:left="1140" w:hanging="565"/>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outdoor advertising providers, such as (i) Clear Channel Outdoor Holdings, Inc., which operates billboards, street furniture displays, transit displays and other out-of-home advertising displays and (ii) Outfront Media, Inc., which operates traditional outdoor, street furniture and transit advertising properties.</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Broadcast, cable and streaming television, radio, print media, direct mail marketing, the internet, social media and applications used in conjunction with wireless devices.</w:t>
      </w:r>
    </w:p>
    <w:p>
      <w:pPr>
        <w:spacing w:after="0" w:line="53" w:lineRule="exact"/>
        <w:rPr>
          <w:rFonts w:ascii="Times New Roman" w:cs="Times New Roman" w:eastAsia="Times New Roman" w:hAnsi="Times New Roman"/>
          <w:sz w:val="18"/>
          <w:szCs w:val="18"/>
          <w:color w:val="auto"/>
        </w:rPr>
      </w:pPr>
    </w:p>
    <w:p>
      <w:pPr>
        <w:ind w:left="1140" w:right="160" w:hanging="565"/>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increasing variety of out-of-home advertising media, such as advertising displays in shopping centers, malls, airports, stadiums, movie theaters, supermarkets and advertising displays on taxis, trains and buses.</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believe that our strong emphasis on sales and customer service and our position as a major provider of advertising services in each of our primary markets enables us to compete effectively with the other outdoor advertising companies, as well as with other media, within those markets.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DIVERSIFICATION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advertising displays are geographically diversified across the United States and Canada. The following table sets forth information regarding the geographic diversification of our advertising displays, which are listed in order of contribution to total revenue. Markets with less than 1% of total displays are grouped in the category “all other United States.”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Percentage of Revenues for the year 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gridSpan w:val="8"/>
          </w:tcPr>
          <w:p>
            <w:pPr>
              <w:ind w:left="700"/>
              <w:spacing w:after="0"/>
              <w:rPr>
                <w:sz w:val="20"/>
                <w:szCs w:val="20"/>
                <w:color w:val="auto"/>
              </w:rPr>
            </w:pPr>
            <w:r>
              <w:rPr>
                <w:rFonts w:ascii="Times New Roman" w:cs="Times New Roman" w:eastAsia="Times New Roman" w:hAnsi="Times New Roman"/>
                <w:sz w:val="13"/>
                <w:szCs w:val="13"/>
                <w:b w:val="1"/>
                <w:bCs w:val="1"/>
                <w:color w:val="auto"/>
              </w:rPr>
              <w:t>Number of Displays for the year ended,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Static</w:t>
            </w:r>
          </w:p>
        </w:tc>
        <w:tc>
          <w:tcPr>
            <w:tcW w:w="140" w:type="dxa"/>
            <w:vAlign w:val="bottom"/>
          </w:tcPr>
          <w:p>
            <w:pPr>
              <w:spacing w:after="0"/>
              <w:rPr>
                <w:sz w:val="10"/>
                <w:szCs w:val="10"/>
                <w:color w:val="auto"/>
              </w:rPr>
            </w:pPr>
          </w:p>
        </w:tc>
        <w:tc>
          <w:tcPr>
            <w:tcW w:w="86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3"/>
                <w:szCs w:val="13"/>
                <w:b w:val="1"/>
                <w:bCs w:val="1"/>
                <w:color w:val="auto"/>
              </w:rPr>
              <w:t>Digital</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Transit</w:t>
            </w:r>
          </w:p>
        </w:tc>
        <w:tc>
          <w:tcPr>
            <w:tcW w:w="140" w:type="dxa"/>
            <w:vAlign w:val="bottom"/>
          </w:tcPr>
          <w:p>
            <w:pPr>
              <w:spacing w:after="0"/>
              <w:rPr>
                <w:sz w:val="10"/>
                <w:szCs w:val="10"/>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Logo</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w w:val="94"/>
              </w:rPr>
              <w:t>Static</w:t>
            </w:r>
          </w:p>
        </w:tc>
        <w:tc>
          <w:tcPr>
            <w:tcW w:w="9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Digital</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Transit</w:t>
            </w:r>
          </w:p>
        </w:tc>
        <w:tc>
          <w:tcPr>
            <w:tcW w:w="8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Logo</w:t>
            </w: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Billboard</w:t>
            </w:r>
          </w:p>
        </w:tc>
        <w:tc>
          <w:tcPr>
            <w:tcW w:w="1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Billboard</w:t>
            </w: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Billboard</w:t>
            </w: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Billboard</w:t>
            </w: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Total</w:t>
            </w:r>
          </w:p>
        </w:tc>
        <w:tc>
          <w:tcPr>
            <w:tcW w:w="0" w:type="dxa"/>
            <w:vAlign w:val="bottom"/>
          </w:tcPr>
          <w:p>
            <w:pPr>
              <w:spacing w:after="0"/>
              <w:rPr>
                <w:sz w:val="1"/>
                <w:szCs w:val="1"/>
                <w:color w:val="auto"/>
              </w:rPr>
            </w:pPr>
          </w:p>
        </w:tc>
      </w:tr>
      <w:tr>
        <w:trPr>
          <w:trHeight w:val="18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14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Displays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Displays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Displays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Displays</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York, NY</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Chicago, IL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Pittsburgh, PA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San Bernardino,</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83"/>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Cleveland, OH</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4,242</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Atlanta, GA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Knoxville, TN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Seattle, WA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Birmingham, 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Reading, PA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Indianapolis, IN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Raleigh, NC</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2,570</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27"/>
        </w:trPr>
        <w:tc>
          <w:tcPr>
            <w:tcW w:w="11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Greenville-</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Spartanburg, SC</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Oklahoma City,</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OK</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84"/>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Hartford, CT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Richmond, VA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Cincinnati, OH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Baton Rouge, LA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81"/>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Pensacola, FL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All US Logo</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Programs*</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92.7 %</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143,299</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143,299</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39.8 %</w:t>
            </w:r>
          </w:p>
        </w:tc>
        <w:tc>
          <w:tcPr>
            <w:tcW w:w="0" w:type="dxa"/>
            <w:vAlign w:val="bottom"/>
          </w:tcPr>
          <w:p>
            <w:pPr>
              <w:spacing w:after="0"/>
              <w:rPr>
                <w:sz w:val="1"/>
                <w:szCs w:val="1"/>
                <w:color w:val="auto"/>
              </w:rPr>
            </w:pPr>
          </w:p>
        </w:tc>
      </w:tr>
      <w:tr>
        <w:trPr>
          <w:trHeight w:val="129"/>
        </w:trPr>
        <w:tc>
          <w:tcPr>
            <w:tcW w:w="11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All Other United</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63.0 %</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117,360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27,122</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147,956</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41.1 %</w:t>
            </w:r>
          </w:p>
        </w:tc>
        <w:tc>
          <w:tcPr>
            <w:tcW w:w="0" w:type="dxa"/>
            <w:vAlign w:val="bottom"/>
          </w:tcPr>
          <w:p>
            <w:pPr>
              <w:spacing w:after="0"/>
              <w:rPr>
                <w:sz w:val="1"/>
                <w:szCs w:val="1"/>
                <w:color w:val="auto"/>
              </w:rPr>
            </w:pPr>
          </w:p>
        </w:tc>
      </w:tr>
      <w:tr>
        <w:trPr>
          <w:trHeight w:val="1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 Other Canada*</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21,306</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0" w:type="dxa"/>
            <w:vAlign w:val="bottom"/>
          </w:tcPr>
          <w:p>
            <w:pPr>
              <w:spacing w:after="0"/>
              <w:rPr>
                <w:sz w:val="1"/>
                <w:szCs w:val="1"/>
                <w:color w:val="auto"/>
              </w:rPr>
            </w:pPr>
          </w:p>
        </w:tc>
      </w:tr>
      <w:tr>
        <w:trPr>
          <w:trHeight w:val="175"/>
        </w:trPr>
        <w:tc>
          <w:tcPr>
            <w:tcW w:w="1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154,009</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47,495</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153,989</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360,487</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22"/>
        </w:trPr>
        <w:tc>
          <w:tcPr>
            <w:tcW w:w="11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Total Revenue (in</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millions)</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w w:val="97"/>
              </w:rPr>
              <w:t>$1,364.7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591.5</w:t>
            </w:r>
          </w:p>
        </w:tc>
        <w:tc>
          <w:tcPr>
            <w:tcW w:w="100" w:type="dxa"/>
            <w:vAlign w:val="bottom"/>
          </w:tcPr>
          <w:p>
            <w:pPr>
              <w:spacing w:after="0"/>
              <w:rPr>
                <w:sz w:val="15"/>
                <w:szCs w:val="15"/>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auto"/>
                <w:w w:val="95"/>
              </w:rPr>
              <w:t>$166.9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84.0</w:t>
            </w:r>
          </w:p>
        </w:tc>
        <w:tc>
          <w:tcPr>
            <w:tcW w:w="120" w:type="dxa"/>
            <w:vAlign w:val="bottom"/>
          </w:tcPr>
          <w:p>
            <w:pPr>
              <w:spacing w:after="0"/>
              <w:rPr>
                <w:sz w:val="15"/>
                <w:szCs w:val="15"/>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w w:val="97"/>
              </w:rPr>
              <w:t>$2,207.1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Logo displays at December 31, 2024 include 15,768 displays related to the tourist oriented direction signing ("TODS") programs.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TAXABLE REIT SUBSIDIARIES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and our foreign operations. We may, from time to time, change the election of previously designated TRSs to be treated as qualified REIT subsidiaries (“QRSs”) or other disregarded entities, and may reorganize and transfer certain assets or operations from our TRSs to other subsidiaries, including QRSs.</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2024, and 2023, the annual taxable income generated by our TRSs in the aggregate was approximately $29.8 million and $30.4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TENANTS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tenant base is diverse. The table below sets forth the industries from which we derived most of our billboard advertising revenues for the year ended December 31, 2024, as well as the percentage of billboard advertising revenues attributable to the advertisers in those industries. The individual advertisers in these industries accounted for approximately 72% of our billboard advertising net revenues in the year ended December 31, 2024. No individual tenant accounted for more than 2% of our billboard advertising net revenues in that period.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Net</w:t>
            </w:r>
          </w:p>
        </w:tc>
        <w:tc>
          <w:tcPr>
            <w:tcW w:w="0" w:type="dxa"/>
            <w:vAlign w:val="bottom"/>
          </w:tcPr>
          <w:p>
            <w:pPr>
              <w:spacing w:after="0"/>
              <w:rPr>
                <w:sz w:val="1"/>
                <w:szCs w:val="1"/>
                <w:color w:val="auto"/>
              </w:rPr>
            </w:pPr>
          </w:p>
        </w:tc>
      </w:tr>
      <w:tr>
        <w:trPr>
          <w:trHeight w:val="137"/>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Categories</w:t>
            </w:r>
          </w:p>
        </w:tc>
        <w:tc>
          <w:tcPr>
            <w:tcW w:w="100" w:type="dxa"/>
            <w:vAlign w:val="bottom"/>
          </w:tcPr>
          <w:p>
            <w:pPr>
              <w:spacing w:after="0"/>
              <w:rPr>
                <w:sz w:val="11"/>
                <w:szCs w:val="11"/>
                <w:color w:val="auto"/>
              </w:rPr>
            </w:pPr>
          </w:p>
        </w:tc>
        <w:tc>
          <w:tcPr>
            <w:tcW w:w="1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Billboard</w:t>
            </w:r>
          </w:p>
        </w:tc>
        <w:tc>
          <w:tcPr>
            <w:tcW w:w="0" w:type="dxa"/>
            <w:vAlign w:val="bottom"/>
          </w:tcPr>
          <w:p>
            <w:pPr>
              <w:spacing w:after="0"/>
              <w:rPr>
                <w:sz w:val="1"/>
                <w:szCs w:val="1"/>
                <w:color w:val="auto"/>
              </w:rPr>
            </w:pPr>
          </w:p>
        </w:tc>
      </w:tr>
      <w:tr>
        <w:trPr>
          <w:trHeight w:val="190"/>
        </w:trPr>
        <w:tc>
          <w:tcPr>
            <w:tcW w:w="9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Advertising Revenues</w:t>
            </w:r>
          </w:p>
        </w:tc>
        <w:tc>
          <w:tcPr>
            <w:tcW w:w="0" w:type="dxa"/>
            <w:vAlign w:val="bottom"/>
          </w:tcPr>
          <w:p>
            <w:pPr>
              <w:spacing w:after="0"/>
              <w:rPr>
                <w:sz w:val="1"/>
                <w:szCs w:val="1"/>
                <w:color w:val="auto"/>
              </w:rPr>
            </w:pPr>
          </w:p>
        </w:tc>
      </w:tr>
      <w:tr>
        <w:trPr>
          <w:trHeight w:val="23"/>
        </w:trPr>
        <w:tc>
          <w:tcPr>
            <w:tcW w:w="9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Amusement/Attractions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 Banks, Credit Unions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Service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8"/>
        </w:trPr>
        <w:tc>
          <w:tcPr>
            <w:tcW w:w="9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continued to expand the deployment of digital billboards, which display static digital advertising copy from various advertisers that change every 6 to 8 seconds. We have encountered some existing regulations that restrict or prohibit these types of digital displays, but it has not yet materially impacted our digital deployment. However, new regulations could be enacted to impose greater restrictions on digital billboards due to alleged concerns over aesthetics or driver safety.</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findings of future studies related to the impact of digital billboards on driver safety issues, if any,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PORTFOLIO</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headquarters is located in Baton Rouge, Louisiana. We also own 126 local operating facilities with front office administration and sales office space connected to back-shop poster and bulletin production space. In addition, we lease an additional 162 operating facilities at an aggregate lease expense for 2024 of approximately $10.2 million.</w:t>
      </w:r>
    </w:p>
    <w:p>
      <w:pPr>
        <w:spacing w:after="0" w:line="17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We own approximately 10,900 parcels of property beneath our advertising displays. As of December 31, 2024, we leased approximately 71,500 outdoor sites, accounting for an annualized lease expense of approximately $334.5 million. This amount represented approximately 17% of billboard advertising net revenues for that period. These leases are for varying terms ranging from month-to-month to a term of over ten years, and many provide us with renewal options. Our lease agreements generally permit us to use the land for the construction, repair and relocation of outdoor advertising displays, including all rights necessary to access and maintain the site. Approximately 75% of our leases will expire or be subject to renewal in the next 5 years, 15% will expire or be subject to renewal in 6 to 10 years and 10%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number of leased and owned sites by state as of December 31, 2024, which is sorted from greatest to least in number and percentage of leased sites. States in which we lease less than 2% of our portfolio are grouped in the category “All Other States and Canada”.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0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billboard leased</w:t>
            </w: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owned</w:t>
            </w:r>
          </w:p>
        </w:tc>
        <w:tc>
          <w:tcPr>
            <w:tcW w:w="142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sites</w:t>
            </w:r>
          </w:p>
        </w:tc>
        <w:tc>
          <w:tcPr>
            <w:tcW w:w="1540" w:type="dxa"/>
            <w:vAlign w:val="bottom"/>
            <w:gridSpan w:val="2"/>
            <w:vMerge w:val="continue"/>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billboard sites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States and Canada</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8"/>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71,481</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EXPIRATIONS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People. </w:t>
      </w:r>
      <w:r>
        <w:rPr>
          <w:rFonts w:ascii="Times New Roman" w:cs="Times New Roman" w:eastAsia="Times New Roman" w:hAnsi="Times New Roman"/>
          <w:sz w:val="18"/>
          <w:szCs w:val="18"/>
          <w:color w:val="auto"/>
        </w:rPr>
        <w:t>We employed over 3,500 people as of December 31, 2024. Over 325 employees were engaged in overall management and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at our corporate headquarters in Baton Rouge, Louisiana, and the remainder, including approximately 975 local account executives, were employed in our operating offices.</w:t>
      </w:r>
    </w:p>
    <w:p>
      <w:pPr>
        <w:spacing w:after="0" w:line="17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Fifteen of our local offices employ billposters and construction personnel who are covered by collective bargaining agreements. We believe that our relationship with our employees, including our approximately 100 unionized employees, is favorable, and we have never experienced a strike or work stoppage.</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Lamar’s business continues to grow, so does the Company’s strong commitment to recruiting a work force with diverse talents, as well as to developing and retaining the successful members of our sales and management teams. Our 975 local account executives and approximately 170 local management employees have been with the Company for an average of 12 years. We regularly provide on-site training and remote sales training videos to enhance the skills of our sales and management team members.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employ approximately 1,100 operations employees, including operations management. These employees are responsible for installing advertising copy, maintaining our billboard inventory and ensuring our billboards, logos and transit displays are in safe operating condition. We empower these employees to have a safety-first mentality, which includes the authority to stop an installation or other work job for any safety concern. We also provide training and certification to our operations employees, including training for crane operations and climbing safety. Our management regularly conducts scheduled safety meetings and unscheduled job observations to ensure that we maintain a safety mindset every day.</w:t>
      </w:r>
    </w:p>
    <w:p>
      <w:pPr>
        <w:spacing w:after="0" w:line="18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We recognize that our organization grows stronger as we are able to draw on the skills of employees with a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backgrounds and life experiences, particularly as the audiences that we serve become more diverse. We want to embrace Lamar employees’ unique differences of race, gender and gender identity, religion, sexual orientation, ethnicity, nationality, socioeconomic status, language, ability, age, religious commitment, veteran status, or political perspective. As such, we are committed to cultivating a culture where all employees see the opportunity to show up to work as their most authentic selves.</w:t>
      </w:r>
    </w:p>
    <w:p>
      <w:pPr>
        <w:spacing w:after="0" w:line="185"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2024, approximately 37% of our work force was female, 18% of our employees and 33% of our named executive officers identified themselves as minorities, while 33% of our Board of Directors was female and one of our nine directors was a member of a minority group.</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have established several initiatives aimed at further diversifying our work force, including establishing an alliance with several hiring networks that helps bring us a more diverse pool of candidates. Our Executive Vice President of Human Resources and the HR department are charged with providing training that grows and develops our teams and reinforces our commitment to treat all of our employees with dignity and respect.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a result of the inflationary environment in the U.S., we have experienced increases in our direct and general and administrative costs, including increases in labor costs, utilities and equipment rentals. Increases in expenses were largely offset by increases in our advertising rates. We also experienced increased interest expenses related to rising interest rates. We will continue to monitor the inflationary environment and these pressures and any resulting impacts on our financial position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 a significant portion of our expenses is fixed, a reduction in revenues in any quarter is likely to result in a period-to-period decline in operating performance and net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our website is not part of this Annual Report.</w:t>
      </w: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substantial debt may adversely affect its business, financial condition and financial results.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has borrowed substantially in the past and will continue to borrow in the future. At December 31, 2024, Lamar Advertising Company’s wholly owned subsidiary, Lamar Media, had approximately $3.21 billion of total debt outstanding, net of deferred financing costs, consisting of approximately $877.9 million in bank debt outstanding under Lamar Media’s senior credit facility, $2.08 billion in various series of senior notes, $249.4 million under the Accounts Receivable Securitization Program and $1.2 million in other seller notes. Despite the level of debt presently outstanding, the terms of the indentures governing Lamar Media’s notes and the terms of the senior credit facility and Accounts Receivable Securitization Program allow Lamar Media to incur substantially more debt, including approximately $457.2 million available for borrowing under the revolving credit facility as of December 31,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substantial debt and its use of cash flow from operations to make principal and interest payments on its debt may, among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things:</w:t>
      </w:r>
    </w:p>
    <w:p>
      <w:pPr>
        <w:spacing w:after="0" w:line="99" w:lineRule="exact"/>
        <w:rPr>
          <w:sz w:val="20"/>
          <w:szCs w:val="20"/>
          <w:color w:val="auto"/>
        </w:rPr>
      </w:pPr>
    </w:p>
    <w:p>
      <w:pPr>
        <w:jc w:val="both"/>
        <w:ind w:left="1140" w:hanging="565"/>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the Company to comply with the financial covenants in its senior credit facility and in its Accounts Receivable Securitization Program, which could result in a default and an acceleration of all amounts outstanding under the facility or under the Accounts Receivable Securitization Program;</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cash flow available to fund the Company’s working capital, capital expenditures, acquisitions or other general corporate requirements;</w:t>
      </w:r>
    </w:p>
    <w:p>
      <w:pPr>
        <w:spacing w:after="0" w:line="53"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obtain additional financing to fund future dividend distributions, working capital, capital expenditures or other general corporate requirements;</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Company at a competitive disadvantage relative to those of its competitors that have less debt;</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flexibility in planning for, or reacting to, changes in its business and industry;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vulnerability to general adverse economic and industry conditions.</w:t>
      </w:r>
    </w:p>
    <w:p>
      <w:pPr>
        <w:spacing w:after="0" w:line="200" w:lineRule="exact"/>
        <w:rPr>
          <w:sz w:val="20"/>
          <w:szCs w:val="20"/>
          <w:color w:val="auto"/>
        </w:rPr>
      </w:pPr>
    </w:p>
    <w:p>
      <w:pPr>
        <w:spacing w:after="0" w:line="268"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Lamar Media has variable rate debt outstanding under the senior credit facility and its Accounts Receivable Securitization Program. Increases in the interest rates applicable to these borrowings have resulted in increased interest expense, which has impacted the Company's net income. Interest rates may continue to increase as a result of macroeconomic factors outside of our control. The Company may take actions in the future to mitigate its interest rate exposure, however, it cannot guarantee that the actions that it takes to mitigate these risks will be effective. Additionally, to the extent we refinance existing debt obligations or seek to enter into new debt financing arrangements in the current interest rate environment, we expect that such arrangements would be subject to higher interest rates than our existing debt obligations, which would further increase our interest expense.</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of these problems could adversely affect the Company’s business, financial condition and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generate sufficient cash flow to satisfy its significant debt service obligations.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Company’s ability to generate cash flow from operations to make principal and interest payments on its debt will depend on its future performance, which will be affected by a range of economic, competitive and business factors. The Company cannot control many of these factors, including general economic conditions, its customers’ allocation of advertising expenditures among available media and the amount spent on advertising in general, and its business would be negatively impacted if the general economy were to deteriorate in the future. If its operations do not generate sufficient cash flow from operations to satisfy its debt service obligations, the Company may need to borrow additional funds to make these payments or undertake alternative financing plans, such as refinancing or restructuring its debt, or reducing or delaying capital investments and acquisitions. The Company cannot guarantee that such additional funds or alternative financing will be available on favorable terms, if at all. The Company’s inability to generate sufficient cash flow from operations or obtain additional funds or alternative financing on acceptable terms could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5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the ability of the Company and Lamar Media to, among other things:</w:t>
      </w:r>
    </w:p>
    <w:p>
      <w:pPr>
        <w:spacing w:after="0" w:line="54" w:lineRule="exact"/>
        <w:rPr>
          <w:sz w:val="20"/>
          <w:szCs w:val="20"/>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affiliate transactions;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inter-company distributions.</w:t>
      </w:r>
    </w:p>
    <w:p>
      <w:pPr>
        <w:spacing w:after="0" w:line="22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At December 31, 2024, the terms of Lamar Media’s senior credit facility and of its Accounts Receivable Securitization Program also restrict the Company from exceeding a specified secured debt ratio. Lamar Media is also subject to certain other financial covenants relating to the incurrence of additional debt. Please see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8"/>
          <w:szCs w:val="18"/>
          <w:color w:val="auto"/>
        </w:rPr>
        <w:t>” for a description of the specific financial ratio requirements under the senior credit facility.</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Company’s ability to comply with the financial covenants in the senior credit facility, Accounts Receivable Securitization Program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183"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Company is currently in compliance with all financial covenants. However, if in the future there are economic declines the Company can make no assurance that these declines will not negatively impact the Company’s financial results and, in turn, its ability to meet these financial covenant requirements. If Lamar Media fails to comply with its financial covenants, Lamar Media could be in default under the senior credit facility and the Accounts Receivable Securitization Program (which could result in an event of default under the indentures governing its outstanding notes). In the event of such a default under the senior credit facility, the lenders under the senior credit facility could accelerate all of the debt outstanding, could elect to institute foreclosure proceedings against Lamar Media’s assets, and the Company could be forced into bankruptcy or liquidation. Any of these events could adversely affect Lamar Media’s business, financial condition and financial results. In the event of such a default under the Accounts Receivable Securitization Program, the lenders under the Accounts Receivable Securitization Program could accelerate all of the debt outstanding, could elect to institute foreclosure proceedings against the assets of the Special Purpose Subsidiaries (as defined herein), and the Special Purpose Subsidiaries could be forced into bankruptcy or liquidation. Any of these events could adversely affect the Company’s business, financial condition and financial results.</w:t>
      </w:r>
    </w:p>
    <w:p>
      <w:pPr>
        <w:spacing w:after="0" w:line="19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51" w:lineRule="exact"/>
        <w:rPr>
          <w:sz w:val="20"/>
          <w:szCs w:val="20"/>
          <w:color w:val="auto"/>
        </w:rPr>
      </w:pPr>
    </w:p>
    <w:p>
      <w:pPr>
        <w:jc w:val="both"/>
        <w:ind w:right="20"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2024, members of the Reilly family, including Kevin P. Reilly, Jr., the Company’s Executive Chairman, and Sean Reilly, the Company’s President and Chief Executive Officer, and their affiliates owned in the aggregate approximately 15% of the Company’s outstanding common stock, assuming the conversion of all Class B common stock to Class A common stock. As of that date, their combined holdings represented approximately 62% of the voting power of Lamar Advertising’s outstanding capital stock, which would give the Reilly family and their affiliates the power to:</w:t>
      </w:r>
    </w:p>
    <w:p>
      <w:pPr>
        <w:spacing w:after="0" w:line="72" w:lineRule="exact"/>
        <w:rPr>
          <w:sz w:val="20"/>
          <w:szCs w:val="20"/>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Company’s entire Board of Directors;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Company’s management and policies; and</w:t>
      </w:r>
    </w:p>
    <w:p>
      <w:pPr>
        <w:spacing w:after="0" w:line="117" w:lineRule="exact"/>
        <w:rPr>
          <w:rFonts w:ascii="Times New Roman" w:cs="Times New Roman" w:eastAsia="Times New Roman" w:hAnsi="Times New Roman"/>
          <w:sz w:val="18"/>
          <w:szCs w:val="18"/>
          <w:color w:val="auto"/>
        </w:rPr>
      </w:pPr>
    </w:p>
    <w:p>
      <w:pPr>
        <w:ind w:left="1140" w:right="20" w:hanging="565"/>
        <w:spacing w:after="0" w:line="282" w:lineRule="auto"/>
        <w:tabs>
          <w:tab w:leader="none" w:pos="1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outcome of any corporate transaction or other matter requiring stockholder approval, including charter amendments, mergers, consolidations, financings and asset sales.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Reilly family may have interests that are different than yours in making these decisions.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UPREIT structure may result in potential conflicts of interest.</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are structured as an “UPREIT,” which stands for “umbrella partnership real estate investment trust.” While limited partners of Lamar Advertising Limited Partnership (the “Operating Partnership”) do not generally have any right to participate in or exercise management power over the business and affairs of the Operating Partnership, they do have the right to vote on certain amendments to the partnership agreement of the Operating Partnership, as well as on certain other matters. Persons holding such voting rights may exercise them in a manner that conflicts with the interests of our stockholders.</w:t>
      </w:r>
    </w:p>
    <w:p>
      <w:pPr>
        <w:spacing w:after="0" w:line="18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partnership agreement of the Operating Partnership provides that, for so long as we own a controlling interest in the Operating Partnership, any conflict that cannot be resolved in a manner not adverse to either our stockholders or the limited partners shall be resolved by the general partner in favor of our stockholders. Circumstances may arise in the future when the interests of limited partners in the Operating Partnership may conflict with the interests of our stockholders.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51" w:lineRule="exact"/>
        <w:rPr>
          <w:sz w:val="20"/>
          <w:szCs w:val="20"/>
          <w:color w:val="auto"/>
        </w:rPr>
      </w:pPr>
    </w:p>
    <w:p>
      <w:pPr>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has historically grown through acquisitions. During the year ended December 31, 2024, we completed acquisitions for a total cash purchase price of approximately $45.4 million.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future success of our acquisition strategy could be adversely affected by many factors, including the following:</w:t>
      </w:r>
    </w:p>
    <w:p>
      <w:pPr>
        <w:spacing w:after="0" w:line="117" w:lineRule="exact"/>
        <w:rPr>
          <w:sz w:val="20"/>
          <w:szCs w:val="20"/>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pool of suitable acquisition candidates is dwindling, and we may have a more difficult time negotiating acquisitions on favorable terms;</w:t>
      </w:r>
    </w:p>
    <w:p>
      <w:pPr>
        <w:spacing w:after="0" w:line="117" w:lineRule="exact"/>
        <w:rPr>
          <w:rFonts w:ascii="Times New Roman" w:cs="Times New Roman" w:eastAsia="Times New Roman" w:hAnsi="Times New Roman"/>
          <w:sz w:val="18"/>
          <w:szCs w:val="18"/>
          <w:color w:val="auto"/>
        </w:rPr>
      </w:pPr>
    </w:p>
    <w:p>
      <w:pPr>
        <w:jc w:val="both"/>
        <w:ind w:left="1140" w:right="20" w:hanging="565"/>
        <w:spacing w:after="0" w:line="266"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for acquisition candidates from other outdoor advertising companies and private equity funds (particularly funds that are focused on investing in media and/or infrastructure), some of which may have greater financial resources than we do, which may result in higher prices for those businesses and assets;</w:t>
      </w:r>
    </w:p>
    <w:p>
      <w:pPr>
        <w:spacing w:after="0" w:line="6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the capital needed to finance potential acquisitions and may be unable to obtain any required consents from our current lenders to obtain alternate financing;</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REIT requirements may hinder our ability to make certain investments and may limit our acquisition opportunities;</w:t>
      </w:r>
    </w:p>
    <w:p>
      <w:pPr>
        <w:spacing w:after="0" w:line="117"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6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key personnel of acquired businesses;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benefits and cost savings anticipated in our acquisitions;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industry consolidates further, larger mergers and acquisitions may face substantial scrutiny under antitrust laws.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obstacles to our opportunistic acquisition strategy may have an adverse effect on our future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could suffer losses due to asset impairment charges for goodwill and other intangible assets.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tested goodwill for impairment on December 31, 2024. Based on the Company’s review at December 31, 2024,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more of our reporting units is below the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logo sign contracts are subject to state award and renewal.</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2024, the Company generated approximately 4% of its revenues from state-awarded logo sign contracts. In bidding for these contracts, the Company competes against other national logo sign providers as well as numerous smaller local logo sign providers. As a logo sign provider, the Company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Company as a logo sign provider for early termination. At the end of the contract term, the Company, as a logo sign provider, transfers ownership of the logo sign structures to the state. Depending on the contract, the logo provider may or may not be entitled to compensation for the structures at the end of the contract term.</w:t>
      </w:r>
    </w:p>
    <w:p>
      <w:pPr>
        <w:spacing w:after="0" w:line="7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Of the Company’s 24 logo sign contracts in place at December 31, 2024, four are subject to renewal or expiration in 2025. The Company may be unable to renew its expiring contracts. The Company may also lose the bidding on new contracts.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transit advertising contracts are subject to the Company’s ability to obtain and renew favorable contracts with municipalities and airport authorities.</w:t>
      </w:r>
    </w:p>
    <w:p>
      <w:pPr>
        <w:spacing w:after="0" w:line="5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2024, the Company generated approximately 8% of its revenues from transit advertisements, which requires the Company to obtain, support, and renew its transit contracts. Transit contracts are generally with the local municipalities and airport authorities and allow us the exclusive right to rent advertising space to customers in airports and on buses, benches or shelters. We currently rent transit advertising displays in airport terminals and on bus shelters, benches and buses in over 80 transit markets. The terms of the contracts vary, but generally range between three to ten years, many with renewable options for contract extension. However, the Company may be unable to renew its expiring transit contracts or may lose the bidding on new contracts.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Company’s contingency plans relating to hurricanes and other natural disasters fail, the resulting losses could hurt the Company’s business.</w:t>
      </w:r>
    </w:p>
    <w:p>
      <w:pPr>
        <w:spacing w:after="0" w:line="108"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The Company has determined that it is uneconomical to insure against losses resulting from hurricanes and other natural disasters for its outdoor or logo structure assets. Although the Company has fortified many of its advertising structures and developed contingency plans designed to mitigate the threat posed by hurricanes and other forms of inclement weather to its real estate portfolio (e.g., removing advertising faces at the onset of a storm, when</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possible, which better permits the structures to withstand high winds during the storm), these plans could fail and significant losses could result. To the extent that such natural disaster events become more frequent or destructive because of climate change, we may incur increased costs related to storm remediation and preparation.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strategy involves continued investment in its digital platform, and we may fail to realize certain expected benefits of these investments and such investments may become more costly.</w:t>
      </w:r>
    </w:p>
    <w:p>
      <w:pPr>
        <w:spacing w:after="0" w:line="37" w:lineRule="exact"/>
        <w:rPr>
          <w:sz w:val="20"/>
          <w:szCs w:val="20"/>
          <w:color w:val="auto"/>
        </w:rPr>
      </w:pPr>
    </w:p>
    <w:p>
      <w:pPr>
        <w:jc w:val="both"/>
        <w:ind w:firstLine="567"/>
        <w:spacing w:after="0" w:line="237" w:lineRule="auto"/>
        <w:rPr>
          <w:sz w:val="20"/>
          <w:szCs w:val="20"/>
          <w:color w:val="auto"/>
        </w:rPr>
      </w:pPr>
      <w:r>
        <w:rPr>
          <w:rFonts w:ascii="Times New Roman" w:cs="Times New Roman" w:eastAsia="Times New Roman" w:hAnsi="Times New Roman"/>
          <w:sz w:val="18"/>
          <w:szCs w:val="18"/>
          <w:color w:val="auto"/>
        </w:rPr>
        <w:t>The success of the Company’s strategy of investing in its digital platform, and the realization of the benefits thereof, depends upon our ability to demonstrate the increased value and capabilities of digital advertising displays. If we experience significant technological failures with respect to our digital displays or if our customers fail to realize the anticipated benefits of the digital platform, we may experience decreased demand for advertising on our digital billboards. Additionally, we may experience increased costs related to our deployment of digital billboards, if the technological components used in our digital billboards increase in cost or if there are shortages of such components. We may also face difficulties obtaining new permits for digital displays or we may be unable to renew permits for our existing digital displays due to a variety of factors, including due to potential new governmental regulations and restrictions on digital signs. Any of these factors may make it more difficult to realize the benefits of our investments in our digital platform, which may have a negative impact on our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The Company may have available net operating loss (“NOL”) carry forwards that could reduce or substantially eliminate its REIT taxable income, and thus it may not be required to distribute material amounts of cash to qualify for taxation as a REIT. The Company expects that it may utilize available NOL carry forwards to reduce its REIT taxable income.</w:t>
      </w:r>
    </w:p>
    <w:p>
      <w:pPr>
        <w:spacing w:after="0" w:line="7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rent. Consequently, the Company’s distribution levels may fluctuate.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5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54" w:lineRule="exact"/>
        <w:rPr>
          <w:sz w:val="20"/>
          <w:szCs w:val="20"/>
          <w:color w:val="auto"/>
        </w:rPr>
      </w:pPr>
    </w:p>
    <w:p>
      <w:pPr>
        <w:ind w:left="1140" w:hanging="565"/>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and transfer of Lamar Advertising common stock that are intended to facilitate the Company’s compliance with certain REIT rules relating to share ownership;</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and informational requirements and time limitations on any director nomination or proposal that a stockholder wishes to make at a meeting of stockholders;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565"/>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its directors, which would otherwise permit less than a majority of stockholders to elect directors; and</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54"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68"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These provisions may have the effect of entrenching the Company’s management team and may deprive the Company’s stockholders of the opportunity to sell their shares to potential acquirers at a premium over prevailing prices. This potential inability to obtain a control premium could reduce the price of Lamar Advertising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revenues are sensitive to the state of the economy and the financial markets generally and other external events beyond the Company’s control.</w:t>
      </w:r>
    </w:p>
    <w:p>
      <w:pPr>
        <w:spacing w:after="0" w:line="5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rents advertising space on outdoor structures to generate revenues. Advertising spending is particularly sensitive to changes in economic conditions, and macroeconomic conditions such as rising interest rates and inflation may impact our industry more negatively than the economy as a whole.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Additionally, the occurrence of any of the following external events could further depress the Company’s revenues:</w:t>
      </w:r>
    </w:p>
    <w:p>
      <w:pPr>
        <w:spacing w:after="0" w:line="117" w:lineRule="exact"/>
        <w:rPr>
          <w:sz w:val="20"/>
          <w:szCs w:val="20"/>
          <w:color w:val="auto"/>
        </w:rPr>
      </w:pPr>
    </w:p>
    <w:p>
      <w:pPr>
        <w:ind w:left="1140" w:hanging="565"/>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widespread reallocation of advertising expenditures to other available media by significant renters of the Company’s displays; and</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amount spent on advertising, in general, or outdoor advertising in particular as a result of macroeconomic factors, which may occur during a recession or in periods of economic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competition from larger and more diversified outdoor advertisers and other forms of advertising that could hurt its performance.</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72"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 also competes against an increasing variety of out-of-home advertising media, such as advertising displays in shopping centers, malls, airports, stadiums, movie theaters and supermarkets, and on taxis, trains and buses. The Company also faces competition from advertising in other forms of media including online (including display, search, and social media advertising); applications used in conjunction with wireless devices; broadcast, cable and streaming television; radio; direct mail marketing; and traditional print media.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content-based restrictions on the categories of customers that can advertise on our outdoor advertising structures may be implemented by governmental authorities.</w:t>
      </w:r>
    </w:p>
    <w:p>
      <w:pPr>
        <w:spacing w:after="0" w:line="5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Federal, state or local authorities may seek to restrict or prohibit the use of outdoor advertising with respect to certain products and services. For instance, the use of billboards to advertise certain types of tobacco products is effectively banned in our markets, and in certain cases, state and local governments also prohibit or restrict the use of outdoor advertising for other types of products or services. If additional content-based restrictions are implemented by governmental authorities, certain segments of our customers may not be able to utilize outdoor advertising in the future, which could have a negative impact on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local regulation impact the Company’s operations, financial condition and financial results.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 Federal law, principally the Highway Beautification Act of 1965, or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These state standards, or their local and municipal equivalents, may be modified over time in response to legal challenges or otherwise, which may have an adverse effect on our business. The HBA requires any state or political subdivision that compels the removal of a lawful billboard along a Federal — Aid Primary or Interstate highway to pay just compensation to the billboard owner.</w:t>
      </w:r>
    </w:p>
    <w:p>
      <w:pPr>
        <w:spacing w:after="0" w:line="19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88"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continued to expand the deployment of digital billboards, which display static digital advertising copy from various advertisers that change every 6 to 8 seconds. We have encountered some existing regulations that restrict or prohibit these types of digital displays but it has not yet materially impacted our digital deployment. However, new regulations could be enacted to impose greater restrictions on digital billboards due to alleged concerns over aesthetics or driver safety.</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findings of future studies related to the impact of digital billboards on driver safety issues, if any,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cybersecurity breaches and we may incur significant legal and financial exposure.</w:t>
      </w:r>
    </w:p>
    <w:p>
      <w:pPr>
        <w:spacing w:after="0" w:line="108"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intrusions, has generally increased and become more sophisticated over time. Although we have implemented physical and electronic security measures designed to protect against the loss, misuse and alteration of our websites, digital assets, proprietary business information and any personal identifiable information (“PII”) that we collect, no security measures are impenetrable and we and outside parties we interact with may be unable to anticipate or prevent unauthorized access. A security breach could occur due to the actions of outside parties, employee error, malfeasance or a combination of these or other actions. An increase in the number of our employees and outside parties with which we do business working remotely may increase the risk of a cybersecurity incident, which has required us to modify our security measures.</w:t>
      </w:r>
    </w:p>
    <w:p>
      <w:pPr>
        <w:spacing w:after="0" w:line="18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If an actual or perceived breach of our security were to occur, proprietary or competitive information may be misappropriated, and we could experience disruptions in our business operations, information processes and internal controls. In addition, the public perception of the effectiveness of our security measures may be harmed and adversely affect our competitive position. In the event of a security breach, we could suffer significant legal and financial exposure in connection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remediation efforts, investigations and legal proceedings, which could lead to the need for additional resources in our security and system protection measures.</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We have been and expect to continue to be the target of fraudulent activities and security breaches; however, to date they have not had a material impact on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and sustainability matters.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Governments, shareholders, customers, employees and other stakeholders are increasingly focusing on corporate ESG practices and disclosures, and expectations in this area are rapidly evolving and growing. We may incur costs related to ESG initiatives, including those related to producing enhanced mandatory or voluntary disclosures about our business. If we are unable to respond effectively to ESG matters, our reputation, business, financial condition and results of operations could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5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Lamar Advertising elected to qualify as a REIT for U.S. federal income tax purposes starting with its taxable year ended December 31, 2014 and for each subsequent taxable year thereafter. REIT qualification involves the application of highly technical and complex provisions of the U.S. Internal Revenue Code of 1986, as amended, (the “Code”) to Lamar Advertising’s assets and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rules, the Company cannot assure you that it will so qualify or remain so qualified. Lamar Media is treated as a qualified REIT subsidiary of Lamar Advertising that is disregarded as separate from its parent REIT for U.S. federal income tax purposes.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in any taxable year, Lamar Advertising fails to qualify for taxation as a REIT, and is not entitled to relief under the Code:</w:t>
      </w:r>
    </w:p>
    <w:p>
      <w:pPr>
        <w:spacing w:after="0" w:line="117" w:lineRule="exact"/>
        <w:rPr>
          <w:sz w:val="20"/>
          <w:szCs w:val="20"/>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be allowed a deduction for distributions to its stockholders in computing its taxable income;</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its corporate subsidiaries, including Lamar Media, will be subject to applicable federal and state income tax, including any applicable state-level alternative minimum tax, on its taxable income at regular corporate rates;</w:t>
      </w:r>
    </w:p>
    <w:p>
      <w:pPr>
        <w:spacing w:after="0" w:line="53"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and its REIT subsidiaries would be subject to a 15% corporate minimum tax under the Organization for Economic Co-Operation and Development (OECD) Global Anti-Base Erosion Rules (referred to as Pillar Two rules);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be disqualified from REIT tax treatment for the four taxable years following the year during which it was so disqualified.</w:t>
      </w:r>
    </w:p>
    <w:p>
      <w:pPr>
        <w:spacing w:after="0" w:line="22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distributions to Lamar Advertising’s stockholders, and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 qualifies as a REIT, certain of Lamar Advertising’s and its subsidiaries’ business activities will be subject to U.S. and foreign taxes which will continue to reduce its cash flows, and it will have potential deferred and contingent tax liabilities.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Even if it qualifies as a REIT, Lamar Advertising may be subject to certain U.S. federal, state and local taxes and foreign taxes on its income and assets, including any applicable state-level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order to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18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was subject to a U.S. federal income tax at the highest regular corporate rate (currently 21%) on all or a portion of the gain recognized from a sale of assets occurring within five years after the effective date of our REIT conversion, to the extent of the built-in gain based on the fair market value of those assets held by the Company on the effective date of REIT conversion in excess of the Company’s then tax basis in those assets. Such five-year period has expired with respect to the Company but certain tax years for which this rule applied remain open such that additional taxes could be assessed with respect to sales in those tax years. The same rules apply to any assets we acquire from a “C” corporation in a carry-over basis transaction with built-in gain at the time of the acquisition by us. Gain from a sale of an asset occurring after the specified period ends will not be subject to this corporate level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generally do not qualify for the reduced tax rates on dividend income from non-REIT corporations.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Qualified dividend income payable to U.S. stockholders that are individuals, trusts and estates are generally subject to tax at reduced rates. Dividends payable by REITs, however, generally are not eligible for the reduced qualified dividend rates. For taxable years beginning before January 1, 2026, non-corporate taxpayers may generally deduct 20% of certain pass-through business income, including “qualified REIT dividends” (generally, dividends received by a REIT shareholder that are not designated as capital gain dividends or qualified dividend income), subject to certain limitations.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the stock of REITs, including our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assets deemed held for sale in the ordinary course of business is subject to 100% tax.</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If we sell any of our assets, the IRS may determine that the sale is a disposition of an asset held primarily for sale to customers in the ordinary course of a trade or business. Gain from this kind of sale will generally be subject to a 100% tax. Whether an asset is held "primarily for sale to customers in the ordinary course of a trade or business" depends on the particular facts and circumstances of the sale. Although we will attempt to comply with the terms of safe-harbor provisions in the Internal Revenue Code prescribing when asset sales will not be so characterized, we cannot assure you that we will be able to do so.</w:t>
      </w:r>
    </w:p>
    <w:p>
      <w:pPr>
        <w:spacing w:after="0" w:line="20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make sufficient distributions would jeopardize Lamar Advertising’s qualification as a REIT and/or would subject it to U.S. federal income and excise taxes.</w:t>
      </w:r>
    </w:p>
    <w:p>
      <w:pPr>
        <w:spacing w:after="0" w:line="6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a REIT, Lamar Advertising is required to distribute to its stockholders with respect to each taxable year at least 90% of its REIT taxable income (excluding capital gains and net of any available NOL carry forwards) in order to qualify as a REIT, and 100% of its REIT taxable income (excluding capital gains and net of any available NOL carry forwards) in order to avoid U.S. federal income and excise taxes. For these purposes, Lamar Advertising’s subsidiaries that are not TRSs, including Lamar Media, will be treated as part of the REIT and therefore Lamar Advertising also will be required to distribute out their taxable income.</w:t>
      </w:r>
    </w:p>
    <w:p>
      <w:pPr>
        <w:spacing w:after="0" w:line="18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Because the REIT distribution requirements will prevent us from retaining earnings, we may be required to refinance debt at maturity with additional debt or equity, which may not be available on acceptable terms,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specified in our existing and future debt instruments may limit Lamar Advertising’s ability to make required REIT distributions.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Media’s senior credit facility and the indentures relating to Lamar Media’s outstanding notes contain certain covenants that could limit Lamar Advertising’s distributions to its stockholders. If these limits prevent Lamar Advertising from satisfying its REIT distribution requirements, it could fail to qualify for taxation as a REIT. If these limits do not jeopardize Lamar Advertising’s qualification for taxation as a REIT but do nevertheless prevent it from distributing 100% of its REIT taxable income, it will be subject to U.S. federal corporate income tax, and potentially a nondeductible excise tax, on the retained amounts.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5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In order to meet the REIT distribution requirements and maintain its qualification and taxation as a REIT and avoid corporate income taxes, Lamar Advertising and/or its subsidiaries, including Lamar Media, may need to borrow funds, sell assets or raise equity, even if the then-prevailing market conditions are not favorable for these borrowings, sales or offerings. Any insufficiency of its cash flows to cover Lamar Advertising’s REIT distribution requirements could require it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Lamar Advertising, its subsidiaries (other than TRSs) to forego otherwise attractive opportunities.</w:t>
      </w:r>
    </w:p>
    <w:p>
      <w:pPr>
        <w:spacing w:after="0" w:line="22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To qualify as a REIT for U.S.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 opportunities. Furthermore, acquisition opportunities in domestic and international markets may be adversely affected if Lamar Advertising needs or requires the target company to comply with certain REIT requirements prior to closing.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limitations contained in the Lamar Advertising charter may restrict stockholders from acquiring or transferring certain amounts of shares.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 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Lamar Advertising’s operating partnership does not qualify as a partnership, its income may be subject to taxation, and Lamar Advertising would no longer qualify as a REIT.</w:t>
      </w:r>
    </w:p>
    <w:p>
      <w:pPr>
        <w:spacing w:after="0" w:line="5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Internal Revenue Code classifies “publicly traded partnerships” as associations taxable as corporations (rather than as partnerships), unless substantially all of their taxable income consists of specified types of passive income. Lamar Advertising structured the Operating Partnership to be classified as a partnership for federal income tax purposes. However, no assurance can be given the IRS will not challenge Lamar Advertising’s position or will not classify the Operating Partnership as a “publicly traded partnership” for federal income tax purposes. To minimize this risk, Lamar Advertising has placed certain restrictions on the transfer and/or redemption of partnership units in the Amended and Restated Limited Partnership Agreement of the Operating Partnership. If the IRS would assert successfully that the Operating Partnership should be treated as a “publicly traded partnership” and substantially all of the Operating Partnership’s gross income did not consist of the specified types of passive income, the Internal Revenue Code would treat the Operating Partnership as an association taxable as a corporation. In such event, the character of our assets and items of gross income would change and would likely prevent us from satisfying the REIT asset and income tests. This, in turn, would likely prevent Lamar Advertising from qualifying as a REIT. In addition, the imposition of a corporate tax on the Operating Partnership would reduce the amount of distributions the Operating Partnership</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make to Lamar Advertising and, in turn, reduce the amount of cash available to Lamar Advertising to pay dividends to our shareholders.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Cuts and Jobs Act, the CARES Act and the Inflation Reduction Act, OECD Global Anti-Base Erosion Rules, as well as any future tax legislation, may impact the Company’s business and security holders.</w:t>
      </w:r>
    </w:p>
    <w:p>
      <w:pPr>
        <w:spacing w:after="0" w:line="5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In recent years, numerous legislative, judicial, and administrative changes have been made in the provisions of federal and state income tax laws applicable to investments similar to an investment in our notes. In particular, the comprehensive tax reform legislation enacted in December 2017 and commonly known as the Tax Cuts and Jobs Act (“TCJA”) made many significant changes to the U.S. federal income tax laws that have profoundly impacted the taxation of individuals and corporations (including both regular C corporations and corporations that have elected to be taxed as REITs). A number of changes that affect noncorporate taxpayers will expire at the end of 2025 unless Congress acts to extend them. Among other changes, the Coronavirus Aid, Relief, and Economic Security Act (the “CARES Act”), signed into law on March 27, 2020, makes certain changes to the TCJA. These changes have impacted us and holders of our securities in various ways, some of which are adverse or potentially adverse compared to prior law. Additional changes to tax laws were enacted with the Inflation Reduction Act (“IRA”) of 2022, signed into law on August 16, 2022. Many of the material provisions of the IRA exempt REITs. To date, the IRS has issued only limited guidance with respect to certain of the new provisions, and there are numerous interpretive issues that will require further guidance. It is highly likely that technical corrections of legislation will be needed to clarify certain aspects of the new law and give proper effect to Congressional intent.</w:t>
      </w:r>
    </w:p>
    <w:p>
      <w:pPr>
        <w:spacing w:after="0" w:line="19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individual and collective impact of the changes made by the TCJA, the CARES Act and the IRA on REITs and their security holders is uncertain and may not become evident for some period of time. The effect of any technical corrections with respect to the TCJA, the CARES Act or the IRA could have an adverse effect on Lamar Advertising, its subsidiaries, and holders of its securities. It is also possible additional tax legislation could be enacted in the future, as a result of the COVID-19 pandemic or otherwise, which could have an adverse effect on Lamar Advertising, its subsidiaries, and holders of its securities.</w:t>
      </w:r>
    </w:p>
    <w:p>
      <w:pPr>
        <w:spacing w:after="0" w:line="18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On December 20, 2021, the OECD published model rules to assist in the implementation of the Pillar Two minimum global tax rate of 15%. The Pillar Two model rules are designed to provide governments with a template for implementing Pillar Two of the agreement reached by 137 countries and jurisdictions under the OECD/G20 Inclusive Framework on BEPS to address the tax challenges arising from digitalization of the economy. Several OECD member countries have enacted Pillar Two related laws effective January 1, 2024, including Canada, where the Company operates. It is still uncertain whether the U.S. will enact Pillar Two legislation. The Pillar Two Rules, however, do not apply to “Excluded Entities” considered “Real Estate Investment Vehicles” and certain subsidiaries of Excluded Entities. We do not expect Pillar Two to have a material impact on the Company but additional legislation could be enacted in the future which could have an adverse effect on Lamar Advertising, its subsidiaries, and holders of its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may potentially be unable to deduct the full amount of its interest expense pursuant to the TCJA and the CARES Act.</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For taxable years beginning after December 31, 2017, interest deductions for businesses with average annual gross receipts of over $25 million are capped at 30% of the business’ “adjusted taxable income” plus business interest income pursuant to the TCJA. For these purposes, for taxable years beginning after December 31, 2017 and before January 1, 2022, “adjusted taxable income” is computed without regard to deductions allowable for depreciation, amortization, or depletion. The CARES Act increased the aforementioned 30% limitation to 50% for taxable years beginning in 2019 or 2020 and permitted an entity to elect to use its 2019 adjusted taxable income to calculate the applicable limitation for its 2020 taxable year. For taxable years beginning after December 31, 2021, “adjusted taxable income” is calculated by taking deductions allowable for depreciation, amortization, or depletion into account. This limitation, however, does not apply to an “electing real property trade or business.” As a REIT, Lamar Advertising would generally constitute a real property trade or businesses, and thus would retain the ability to fully deduct interest expenses if it makes such an election. However, an entity making such an election must use a longer depreciation cost recovery period for its property. Lamar Advertising has not made such election to date and has not yet determined whether it will make such election at a later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changes or other actions affecting REITs could have a negative effect on Lamar Advertising and its subsidiaries.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At any time, the U.S. federal income tax laws governing REITs or the administrative and judicial interpretations of those laws may be amended or interpreted in a different manner. Federal and state tax laws are constantly under review by persons involved in the legislative process, the IRS, the U.S. Department of the Treasury, and state taxing authorities. Additional changes to the tax laws, regulations and administrative and judicial interpretations, which may have retroactive application, could adversely affect Lamar Advertising and its subsidiaries. The Company cannot predict with certainty whether, when, in what forms, or with what effective dates, the tax laws, regulations and administrative and judicial interpretations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applicable to Lamar Advertising may be changed. Accordingly, the Company cannot assure you that any such change will not significantly affect Lamar Advertising’s ability to qualify for taxation as a REIT or the U.S. federal income tax consequences to it of such qualification.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be subject to U.S. federal income tax at regular corporate rates and applicable state and local corporate taxes, which may have adverse consequences on its total return to its stockholders.</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manage risks from cybersecurity threats through our overall enterprise risk management process. Management has created an information security program, which encompasses a dedicated information security team and policies, procedures, and processes for assessing, identifying, and managing risks from cybersecurity threats. We “proactively” assess, identify, and manage risks from cybersecurity threats through various mechanisms, which from time to time may include internal audits, external audits, penetration tests, and engagement of third parties to conduct analyses of our information security program. Through our centralized enterprise risk management function, we also maintain processes for overseeing and identifying risks associated with third party service providers with whom we do business, including risks related to cybersecurity.</w:t>
      </w:r>
    </w:p>
    <w:p>
      <w:pPr>
        <w:spacing w:after="0" w:line="187"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While to date we have not had a major cyber incident against our platforms, nor experienced significant data loss or any material financial losses related to cybersecurity attacks, it is possible that we could experience a significant event in the future. Risks and exposures related to cybersecurity attacks are expected to remain high for the foreseeable future due to the rapidly evolving nature and sophistication of these threats. See Item 1A. “Risk Factors.” – “Our business and operations could suffer in the event of cybersecurity breaches and we may incur significant legal and financial exposure.” for further discussion of potential risks related to cybersecurity incidents.</w:t>
      </w:r>
    </w:p>
    <w:p>
      <w:pPr>
        <w:spacing w:after="0" w:line="18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Our Senior Vice President of Technology and Innovation and Vice President of Network Infrastructure and Cyber Strategy oversee our cybersecurity program. They hold degrees in industrial engineering and computer science and information systems and decision science, respectively. The team responsible with administering our cyber security program has a combined 37 years of experience in cybersecurity, information security and information technology risk management, governance, risk, and compliance. Our board of directors and our audit committee are regularly updated on cyber security as part of their oversight of relevant cybersecurity risks. These reports address key cybersecurity topics, including the implementation and operation of preventative controls and the detection, mitigation and remediation of cybersecurity incidents.</w:t>
      </w: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headquarters is located in Baton Rouge, Louisiana. We also own 126 local operating facilities with front office administration and sales office space connected to back-shop poster and bulletin production space. In addition, the Company leases an additional 162 operating facilities at an aggregate lease expense for 2024 of approximately $10.2 million.</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own approximately 10,900 parcels of property beneath our outdoor advertising structures. As of December 31, 2024, we leased approximately 71,500 active outdoor sites, accounting for a total annual lease expense of approximately $334.5 million. This amount represented approximately 17% of billboard advertising net revenues for the year ended December 31, 2024.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left="840" w:right="10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THE REGISTRANT’S COMMON EQUITY, RELATED STOCKHOLDER MATTERS AND ISSUER PURCHASES OF EQUITY SECURITIES</w:t>
      </w:r>
    </w:p>
    <w:p>
      <w:pPr>
        <w:spacing w:after="0" w:line="5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Class A common stock has been publicly traded since August 2, 1996 and is currently listed on the NASDAQ Global Select Market under the symbol “LAMR.” As of December 31, 2024, the Class A common stock was held by 81 stockholders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Class B common stock is not publicly traded and is held of record by members of the Reilly family and their affiliated entities, including the Reilly Family, LLC (the “RFLLC”), formerly the Reilly Family Limited Partnership. Kevin P. Reilly, Jr., our Executive Chairman of the Board, is the executive manager of the RFLLC and Sean E. Reilly, our President and Chief Executive Officer, and Wendell Reilly and Anna Reilly, each of whom is a member of our Board of Directors, are also managers of the RFLLC.</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Series AA preferred stock is entitled to preferential dividends, in an annual aggregate amount of $364,903,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to avoid being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authorized the repurchase of up to $250.0 million of the Company’s Class A common stock. On September 24, 2024, the Company’s Board of Directors authorized the extension of the repurchase program through March 31, 2026. There were no repurchases under the program as of December 31, 2024. The Company’s management may opt not to make any repurchases under the program, or may make aggregate purchases less than the total amount authorized.</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the Company for the years ended December 31, 2024 and 2023. This discussion should be read in conjunction with the consolidated financial statements of the Company and the related notes.</w:t>
      </w:r>
    </w:p>
    <w:p>
      <w:pPr>
        <w:spacing w:after="0" w:line="5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Discussion of our results of operations for the years ended December 31, 2023 and 2022 can be found in Part II, Item 7 of our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The Company’s net revenues are derived primarily from the rental of advertising space on outdoor advertising displays owned and operated by the Company. We manage our business through three operating segments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billboard, logo and transit advertising.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capital expenditures</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the senior credit facility and the Accounts Receivable Securitization Program or the issuance of debt or equity securities. See </w:t>
      </w:r>
      <w:r>
        <w:rPr>
          <w:rFonts w:ascii="Times New Roman" w:cs="Times New Roman" w:eastAsia="Times New Roman" w:hAnsi="Times New Roman"/>
          <w:sz w:val="18"/>
          <w:szCs w:val="18"/>
          <w:i w:val="1"/>
          <w:iCs w:val="1"/>
          <w:color w:val="auto"/>
        </w:rPr>
        <w:t>“Liquidity and Capital Resources- Sources of Cash,</w:t>
      </w:r>
      <w:r>
        <w:rPr>
          <w:rFonts w:ascii="Times New Roman" w:cs="Times New Roman" w:eastAsia="Times New Roman" w:hAnsi="Times New Roman"/>
          <w:sz w:val="18"/>
          <w:szCs w:val="18"/>
          <w:color w:val="auto"/>
        </w:rPr>
        <w:t>” for more information. During the year ended December 31, 2024, the Company completed multiple acquisitions for a total cash purchase price of approximately $45.4 million. See “</w:t>
      </w:r>
      <w:r>
        <w:rPr>
          <w:rFonts w:ascii="Times New Roman" w:cs="Times New Roman" w:eastAsia="Times New Roman" w:hAnsi="Times New Roman"/>
          <w:sz w:val="18"/>
          <w:szCs w:val="18"/>
          <w:i w:val="1"/>
          <w:iCs w:val="1"/>
          <w:color w:val="auto"/>
        </w:rPr>
        <w:t>Uses of Cash-Acquisitions</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two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Billboard — Traditional</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28,490</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Billboard — Digital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Logos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15,494</w:t>
            </w: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PP&amp;E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14,776</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16,643</w:t>
            </w:r>
          </w:p>
        </w:tc>
      </w:tr>
      <w:tr>
        <w:trPr>
          <w:trHeight w:val="248"/>
        </w:trPr>
        <w:tc>
          <w:tcPr>
            <w:tcW w:w="84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125,284</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178,271</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expect our 2025 capital expenditures to be approximately $195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Our management uses this measure internally to evaluate the performance of our business as a whole and our individual business segments.</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FFO is defined as net income before (gain) loss from the sale or disposal of real estate assets and investments, net of tax, and real estate related depreciation and amortization and including adjustments to eliminate unconsolidated affiliates and non-controlling interest.</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define AFFO as FFO before (i) straight-line income and expense; (ii) capitalized contract fulfillment costs, net; (iii) stock-based compensation expense; (iv) non-cash portion of tax expense (benefit); (v) non-real estate related depreciation and amortization; (vi) amortization of deferred financing costs; (vii) loss on extinguishment of debt; (viii) transaction expenses; (ix) non-recurring infrequent or unusual losses (gains); (x) less maintenance capital expenditures; and (xi) an adjustment for unconsolidated affiliates and non-controlling interest.</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8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w:t>
      </w:r>
    </w:p>
    <w:p>
      <w:pPr>
        <w:spacing w:after="0" w:line="1" w:lineRule="exact"/>
        <w:rPr>
          <w:sz w:val="20"/>
          <w:szCs w:val="20"/>
          <w:color w:val="auto"/>
        </w:rPr>
      </w:pPr>
    </w:p>
    <w:p>
      <w:pPr>
        <w:jc w:val="both"/>
        <w:ind w:firstLine="8"/>
        <w:spacing w:after="0" w:line="253" w:lineRule="auto"/>
        <w:tabs>
          <w:tab w:leader="none" w:pos="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certain items in the Consolidated Statements of Income as a percentage of net revenues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$96.1 million or 4.6% to $2.21 billion for the year ended December 31, 2024 from $2.11 billion for the same period in 2023. This increase was attributable to an increase in billboard net revenues of $78.4 million, an increase in transit net revenues of $16.1 million and an increase in logo net revenues of $1.7 million over the prior year.</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for the year ended December 31, 2024, as compared to acquisition-adjusted net revenues for the comparable period in 2023, increased $89.1 million, or 4.2%. This increase was attributable to an increase of $71.2 million in billboard net revenues, an increase of $16.2 million in transit net revenues and an increase of $1.7 million in logo net revenues. See “</w:t>
      </w:r>
      <w:r>
        <w:rPr>
          <w:rFonts w:ascii="Times New Roman" w:cs="Times New Roman" w:eastAsia="Times New Roman" w:hAnsi="Times New Roman"/>
          <w:sz w:val="18"/>
          <w:szCs w:val="18"/>
          <w:i w:val="1"/>
          <w:iCs w:val="1"/>
          <w:color w:val="auto"/>
        </w:rPr>
        <w:t>Reconciliations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$70.5 million, or 6.1% to $1.22 billion for the year ended December 31, 2024 from $1.15 billion in the same period in 2023. The $70.5 million increase over the prior year is primarily comprised of an increase in total direct, general and administrative and corporate expenses (excluding stock-based compensation expense) of $48.7 million primarily related to the operations of our outdoor advertising assets, as well as an increase in stock-based compensation expense of $21.9 million.</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$169.5 million to $463.0 million for the year ended December 31, 2024 as compared to $293.4 million for the same period in 2023. The increase is primarily due to the revision in the cost estimate included in the calculation of asset retirement obligations during 2024.</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a gain on disposition of assets of $6.1 million as compared to a gain on disposition of assets of $5.5 million for the same period in 2023. The gain on disposition of assets for the year ended December 31, 2024 primarily resulted from transactions related to the sale of billboard locations and displays.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decreased $143.4 million to $532.0 million for the year ended December 31, 2024 compared to $675.4 million for the same period in 2023.</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$2.8 million for the year ended December 31, 2024 to $171.7 million as compared to $174.5 million for the year ended December 31, 2023. The decrease in interest expense is related to the repayment of the Term A loans outstanding under the senior credit facility during the year ended December 31, 2024.</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of investee was $5.1 million and $3.7 million for the years ended December 31, 2024 and 2023, respectively.</w:t>
      </w:r>
    </w:p>
    <w:p>
      <w:pPr>
        <w:spacing w:after="0" w:line="225"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decrease in operating income, partially offset by the decrease in interest expense over the comparable period in 2023, resulted in a $139.1 million decrease in net income before income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$4.5 million for the year ended December 31, 2024 as compared to income tax expense of $9.8 million for the same period in 2023. The $4.5 million equates to an effective tax rate for the year ended December 31, 2024 of approximately 1.2%, which differs from the federal statutory rate primarily due to our qualification for taxation as a REIT and adjustments for foreign items.</w:t>
      </w:r>
    </w:p>
    <w:p>
      <w:pPr>
        <w:spacing w:after="0" w:line="176"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the Company recognized net income for the year ended December 31, 2024 of $362.9 million, as compared to net income of $496.8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year ended December 31, 2023 by adding to or subtracting from it the net revenue generated by the acquired or divested assets prior to our acquisition or divestiture of these assets for the same time frame that those assets were owned in the year ended December 31, 2024.</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year ended December 31, 2023 as well as a comparison of 2023 acquisition-adjusted net revenue to 2024 reported net revenue for the year ended December 31, 2024,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13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2,207,103</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48"/>
        </w:trPr>
        <w:tc>
          <w:tcPr>
            <w:tcW w:w="5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2,207,103</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2,117,973</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5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32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6"/>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6"/>
                <w:szCs w:val="16"/>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2024 increased 4.8% to $1.03 billion. The increase in adjusted EBITDA was primarily attributable to the increase in our gross margin (net revenue less direct advertising expense, exclusive of depreciation and amortization and capitalized contract fulfillment costs, net) of $65.0 million, and was partially offset by an increase in general and administrative and corporate expenses of $17.6 million, excluding the impact of stock-based compensation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60,636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(6,042)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(7,160)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1,033,158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47,434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Logo and transit advertising do not meet the criteria to be reportable segments, and accordingly, are included in Other.</w:t>
      </w:r>
    </w:p>
    <w:p>
      <w:pPr>
        <w:spacing w:after="0" w:line="82"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9"/>
          <w:szCs w:val="9"/>
          <w:color w:val="auto"/>
        </w:rPr>
        <w:t>(b)</w:t>
      </w:r>
      <w:r>
        <w:rPr>
          <w:rFonts w:ascii="Times New Roman" w:cs="Times New Roman" w:eastAsia="Times New Roman" w:hAnsi="Times New Roman"/>
          <w:sz w:val="14"/>
          <w:szCs w:val="14"/>
          <w:color w:val="auto"/>
        </w:rPr>
        <w:t>Corporate operations are not an operating segment. Corporate expenses include expenses related to infrastructure and support, including information technology, human resources, legal, finance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and administrative functions of the Company, as well as overall executive, administrative and support functions.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Adjusted EBITDA for the year ended December 31, 2024 increased 4.8% to $1.03 billion. The increase in adjusted EBITDA was primarily attributable to the increase in our billboard advertising adjusted EBITDA of $60.6 million, offset by a decrease in other adjusted EBITDA of $6.0 million and an increase in corporate expenses of $7.2 million, excluding the impact of stock-based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year ended December 31, 2024 was $798.4 million as compared to FFO of $767.9 million for the same period in 2023. AFFO for the year ended December 31, 2024 increased 7.4% to $819.0 million as compared to $762.3 million for the same period in 2023. The increase in AFFO was primarily attributable to the increase in our gross margin (net revenue less direct advertising expense, exclusive of depreciation and amortization and capitalized contract fulfillment costs, net), partially offset by an increase in total general and administrative and corporate expenses (excluding the effect of stock-based compensation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has historically satisfied its working capital requirements with cash from operations and borrowings under its senior credit facility and Accounts Receivable Securitization Program. The Company’s wholly owned subsidiary, Lamar Media Corp., is the principal borrower under the senior credit facility and maintains all corporate operating cash balances. Certain subsidiaries of Lamar Media are the principal borrowers under the Accounts Receivable Securitization Program. Any cash requirements of the Company, therefore, must be funded by distributions from Lamar Media.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1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Liquidity. </w:t>
      </w:r>
      <w:r>
        <w:rPr>
          <w:rFonts w:ascii="Times New Roman" w:cs="Times New Roman" w:eastAsia="Times New Roman" w:hAnsi="Times New Roman"/>
          <w:sz w:val="18"/>
          <w:szCs w:val="18"/>
          <w:color w:val="auto"/>
        </w:rPr>
        <w:t>As of December 31, 2024 we had $506.7 million of total liquidity, which is comprised of $49.5 million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$457.2 million of availability under the revolving portion of the senior credit facility. We expect our total liquidity to be adequate for the Company to meet its operational requirements for the next twelve months.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85"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a working capital deficit of $353.2 million and $340.7 million, respectively. The working capital deficit for the year ended December 31, 2024 is primarily related to the $249.4 million outstanding under the Accounts Receivable Securitization Program as well as $218.1 million in current operating lease liabilities which has a corresponding right of use asset recorded in long term assets. We expect to have enough cash on hand and availability under our revolving credit facility to meet our operating needs for the next twelve months.</w:t>
      </w:r>
    </w:p>
    <w:p>
      <w:pPr>
        <w:spacing w:after="0" w:line="178"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Generated by Operations. </w:t>
      </w:r>
      <w:r>
        <w:rPr>
          <w:rFonts w:ascii="Times New Roman" w:cs="Times New Roman" w:eastAsia="Times New Roman" w:hAnsi="Times New Roman"/>
          <w:sz w:val="18"/>
          <w:szCs w:val="18"/>
          <w:color w:val="auto"/>
        </w:rPr>
        <w:t>For the years ended December 31, 2024 and 2023 our cash provided by operating activities was $873.6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$783.6 million, respectively. The increase in cash provided by operating activities for the year ended December 31, 2024 over the same period in 2023 relates to an increase in revenues, offset by an increase in operating expenses (excluding depreciation and amortization). We expect to generate cash flows from operations during 2025 in excess of our cash needs for operations, capital expenditures and dividends, as described herein.</w:t>
      </w:r>
    </w:p>
    <w:p>
      <w:pPr>
        <w:spacing w:after="0" w:line="18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Securitization Program. </w:t>
      </w:r>
      <w:r>
        <w:rPr>
          <w:rFonts w:ascii="Times New Roman" w:cs="Times New Roman" w:eastAsia="Times New Roman" w:hAnsi="Times New Roman"/>
          <w:sz w:val="18"/>
          <w:szCs w:val="18"/>
          <w:color w:val="auto"/>
        </w:rPr>
        <w:t>On June 24, 2022, Lamar Media and the Special Purpose Subsidiaries entered into the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"Sixth Amendment") to the Accounts Receivable Securitization Program, as amended. The Sixth Amendment increased the Accounts Receivable Securitization Program from $175.0 million to $250.0 million and extended the maturity date of the Accounts Receivable Securitization Program to July 21, 2025. Additionally, the Sixth Amendment provides for the replacement of LIBOR-based interest rate mechanics with Term Secured Overnight Financing Rate ("Term SOFR") based interest rate mechanics for the Accounts Receivable Securitization Program.</w:t>
      </w:r>
    </w:p>
    <w:p>
      <w:pPr>
        <w:spacing w:after="0" w:line="185"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provided, that, if on the date (a “Securitization Springing Maturity Test Date”) that is 91 days prior to the then scheduled maturity date of Lamar Media’s Term Loan B loans (which is currently February 6, 2027), (a) any of the outstanding Term B loans has a scheduled maturity date prior to the date that is 91 days prior to the then scheduled maturity date of Lamar Media’s revolving credit facility (which is currently July 31, 2028) and (b) the Company and its restricted subsidiaries do not have sufficient liquidity (defined as (i) unused commitments under the revolving credit facility plus (ii) unrestricted cash and cash equivalents of the Company and its restricted subsidiaries plus</w:t>
      </w:r>
    </w:p>
    <w:p>
      <w:pPr>
        <w:spacing w:after="0" w:line="5" w:lineRule="exact"/>
        <w:rPr>
          <w:sz w:val="20"/>
          <w:szCs w:val="20"/>
          <w:color w:val="auto"/>
        </w:rPr>
      </w:pPr>
    </w:p>
    <w:p>
      <w:pPr>
        <w:jc w:val="both"/>
        <w:ind w:firstLine="8"/>
        <w:spacing w:after="0" w:line="253" w:lineRule="auto"/>
        <w:tabs>
          <w:tab w:leader="none" w:pos="3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availability under the Accounts Receivable Securitization Program) to repay in full the aggregate outstanding amount (including all accrued and unpaid interest, premiums and make-whole amounts (if any)) of the Term Loan B loans, then the Accounts Receivable Securitization Program will mature on such Securitization Springing Maturity Test Date.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Media’s TRSs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Accounts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$250.0 million of outstanding aggregate borrowings under the Accounts Receivable Securitization Program at a borrowing rate of approximately 5.4%. Lamar Media had no additional availability under the Accounts Receivable Securitization Program as of December 31, 2024.</w:t>
      </w:r>
    </w:p>
    <w:p>
      <w:pPr>
        <w:spacing w:after="0" w:line="17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On July 24, 2024, the Company entered into an equity distribution agreement, or At-the-Market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(the "2021 Sales Agreement". Under the terms of the 2024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 The Company intends to use the net proceeds, if any, from the sale of the Class A common stock pursuant to the 2024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during the twelve months ended December 31, 2024. The Company did not issue any shares under the 2021 Sales Agreement from inception through expiration.</w:t>
      </w:r>
    </w:p>
    <w:p>
      <w:pPr>
        <w:spacing w:after="0" w:line="183" w:lineRule="exact"/>
        <w:rPr>
          <w:sz w:val="20"/>
          <w:szCs w:val="20"/>
          <w:color w:val="auto"/>
        </w:rPr>
      </w:pPr>
    </w:p>
    <w:p>
      <w:pPr>
        <w:jc w:val="both"/>
        <w:ind w:firstLine="567"/>
        <w:spacing w:after="0" w:line="259" w:lineRule="auto"/>
        <w:rPr>
          <w:sz w:val="20"/>
          <w:szCs w:val="20"/>
          <w:color w:val="auto"/>
        </w:rPr>
      </w:pPr>
      <w:r>
        <w:rPr>
          <w:rFonts w:ascii="Times New Roman" w:cs="Times New Roman" w:eastAsia="Times New Roman" w:hAnsi="Times New Roman"/>
          <w:sz w:val="18"/>
          <w:szCs w:val="18"/>
          <w:i w:val="1"/>
          <w:iCs w:val="1"/>
          <w:color w:val="auto"/>
        </w:rPr>
        <w:t>Shelf Registration Statement</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21, 2021, the Company filed an automatically effective shelf registration statement that allows Lamar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to offer and sell an indeterminate amount of additional shares of its Class A common stock. The shelf registration statement expired on June 21, 2024. On July 24, 2024, the Company filed a new automatically effective shelf registration statement that allows the Company to offer and sell an indeterminate amount of additional shares of its Class A common stock, which replaces the previous shelf registration statement. During the year ended December 31, 2024, the Company did not issue any shares under either of the shelf registration statements.</w:t>
      </w:r>
    </w:p>
    <w:p>
      <w:pPr>
        <w:spacing w:after="0" w:line="18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On February 6, 2020, Lamar Media entered into a Fourth Amended and Restated Credit Agreement (the “Fourth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5"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of non-Subsidiary entities such as the Lamar Partnering Entities, except to the extent that income of such entities is received by Lamar Media in the form of dividends or distributions.</w:t>
      </w:r>
    </w:p>
    <w:p>
      <w:pPr>
        <w:spacing w:after="0" w:line="162"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senior credit facility, as established by the Fourth Amended and Restated Credit Agreement (the “senior credit facility”), consists of (i) a $750.0 million senior secured revolving credit facility which will mature on July 31, 2028, subject to certain conditions (see description of Amendment No. 4 below) (the “revolving credit facility”), (ii) a $600.0 million senior secured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Times New Roman" w:cs="Times New Roman" w:eastAsia="Times New Roman" w:hAnsi="Times New Roman"/>
          <w:sz w:val="18"/>
          <w:szCs w:val="18"/>
          <w:i w:val="1"/>
          <w:iCs w:val="1"/>
          <w:color w:val="auto"/>
        </w:rPr>
        <w:t>“Restrictions under Senior Credit Facility”</w:t>
      </w:r>
      <w:r>
        <w:rPr>
          <w:rFonts w:ascii="Times New Roman" w:cs="Times New Roman" w:eastAsia="Times New Roman" w:hAnsi="Times New Roman"/>
          <w:sz w:val="18"/>
          <w:szCs w:val="18"/>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89"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Term B loans bear interest at rates based on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 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8"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and bore interest based on Term SOFR ("Term SOFR Term A loans") or the Adjusted Base Rate ("Base Rate Term A loans"), at Lamar Media's option. Term SOFR Term A loans bore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 million in Term A loans on July 29, 2022. Proceeds from the Term A loans were used to repay outstanding balances on the revolving credit facility and a portion of the outstanding balance on our Accounts Receivable Securitization Program. The Term A loans were subsequently repaid in full on July 31, 2024.</w:t>
      </w:r>
    </w:p>
    <w:p>
      <w:pPr>
        <w:spacing w:after="0" w:line="19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183"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31, 2023, Lamar Media entered into Amendment No. 4 (the "Amendment No. 4") to the Fourth Amended and Restated Credit Agreement with certain of Lamar Media's subsidiaries as guarantors, JPMorgan Chase Bank, N.A. as administrative agent and the lenders party thereto. Amendment No. 4 extends the maturity date of Lamar Media's $750.0 million 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194"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Amendment No. 4 also establishes a $75.0 million swingline as a sublimit of the revolving credit facility, which allows Lamar Media to borrow revolving loans on a same-day basis, in an aggregate outstanding principal amount of up to $75.0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million.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2024, the aggregate balance outstanding under the senior credit facility was $884.0 million, consisting of $600.0 million in Term B loans aggregate principal balance and $284.0 million outstanding borrowings under our revolving credit facility. Lamar Media had approximately $457.2 million of unused capacity under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2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internally generated cash flow are general economic conditions, specific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in the markets where the Company conducts its business and overall spending on advertising by advertisers. We expect to generate cash flows from operations during 2025 in excess of our cash needs for operations, capital expenditures and dividends, as described herein, and we believe we have sufficient liquidity with cash on hand and availability under our revolving credit facility to meet our operating cash needs for the next twelve months.</w:t>
      </w:r>
    </w:p>
    <w:p>
      <w:pPr>
        <w:spacing w:after="0" w:line="180"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and Other Debt Securities. </w:t>
      </w:r>
      <w:r>
        <w:rPr>
          <w:rFonts w:ascii="Times New Roman" w:cs="Times New Roman" w:eastAsia="Times New Roman" w:hAnsi="Times New Roman"/>
          <w:sz w:val="18"/>
          <w:szCs w:val="18"/>
          <w:color w:val="auto"/>
        </w:rPr>
        <w:t>The Company and Lamar Media must comply with certain covenants and restrictions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credit facility, its outstanding debt securities and its Accounts Receivable Securitization Program.</w:t>
      </w:r>
    </w:p>
    <w:p>
      <w:pPr>
        <w:spacing w:after="0" w:line="16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outstanding Term A loans were set to mature on February 6, 2025. On July 31, 2024, Lamar Media paid in full its $350.0 million in Term A loans outstanding under its Senior Credit facility. The repayment of the Term A loans was completed using a combination of borrowings under our revolving credit facility and cash on hand.</w:t>
      </w:r>
    </w:p>
    <w:p>
      <w:pPr>
        <w:spacing w:after="0" w:line="174"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Restrictions under Debt Securities. </w:t>
      </w:r>
      <w:r>
        <w:rPr>
          <w:rFonts w:ascii="Times New Roman" w:cs="Times New Roman" w:eastAsia="Times New Roman" w:hAnsi="Times New Roman"/>
          <w:sz w:val="18"/>
          <w:szCs w:val="18"/>
          <w:color w:val="auto"/>
        </w:rPr>
        <w:t>As of December 31, 2024, Lamar Media has outstanding all of the 3 3/4% Senior Notes, the 4% Senior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4 7/8% Senior Notes and the 3 5/8% Senior Notes.</w:t>
      </w:r>
    </w:p>
    <w:p>
      <w:pPr>
        <w:spacing w:after="0" w:line="16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87" w:lineRule="exact"/>
        <w:rPr>
          <w:sz w:val="20"/>
          <w:szCs w:val="20"/>
          <w:color w:val="auto"/>
        </w:rPr>
      </w:pPr>
    </w:p>
    <w:p>
      <w:pPr>
        <w:jc w:val="both"/>
        <w:ind w:right="20" w:firstLine="567"/>
        <w:spacing w:after="0" w:line="281" w:lineRule="auto"/>
        <w:rPr>
          <w:sz w:val="20"/>
          <w:szCs w:val="20"/>
          <w:color w:val="auto"/>
        </w:rPr>
      </w:pPr>
      <w:r>
        <w:rPr>
          <w:rFonts w:ascii="Times New Roman" w:cs="Times New Roman" w:eastAsia="Times New Roman" w:hAnsi="Times New Roman"/>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1" w:lineRule="exact"/>
        <w:rPr>
          <w:sz w:val="20"/>
          <w:szCs w:val="20"/>
          <w:color w:val="auto"/>
        </w:rPr>
      </w:pPr>
    </w:p>
    <w:p>
      <w:pPr>
        <w:ind w:left="1060" w:hanging="485"/>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billion of indebtedness under the senior credit facility;</w:t>
      </w:r>
    </w:p>
    <w:p>
      <w:pPr>
        <w:spacing w:after="0" w:line="63"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outstanding on the date of the indentures or debt incurred to refinance outstanding debt;</w:t>
      </w:r>
    </w:p>
    <w:p>
      <w:pPr>
        <w:spacing w:after="0" w:line="63"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debt between Lamar Media and its restricted subsidiaries or between restricted subsidiaries;</w:t>
      </w:r>
    </w:p>
    <w:p>
      <w:pPr>
        <w:spacing w:after="0" w:line="63" w:lineRule="exact"/>
        <w:rPr>
          <w:rFonts w:ascii="Times New Roman" w:cs="Times New Roman" w:eastAsia="Times New Roman" w:hAnsi="Times New Roman"/>
          <w:sz w:val="18"/>
          <w:szCs w:val="18"/>
          <w:color w:val="auto"/>
        </w:rPr>
      </w:pPr>
    </w:p>
    <w:p>
      <w:pPr>
        <w:ind w:left="1060" w:hanging="485"/>
        <w:spacing w:after="0" w:line="281" w:lineRule="auto"/>
        <w:tabs>
          <w:tab w:leader="none" w:pos="10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1"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to exceed $75.0 million; and</w:t>
      </w:r>
    </w:p>
    <w:p>
      <w:pPr>
        <w:spacing w:after="0" w:line="63" w:lineRule="exact"/>
        <w:rPr>
          <w:rFonts w:ascii="Times New Roman" w:cs="Times New Roman" w:eastAsia="Times New Roman" w:hAnsi="Times New Roman"/>
          <w:sz w:val="18"/>
          <w:szCs w:val="18"/>
          <w:color w:val="auto"/>
        </w:rPr>
      </w:pPr>
    </w:p>
    <w:p>
      <w:pPr>
        <w:ind w:left="1060" w:hanging="485"/>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 million of permitted securitization financings.</w:t>
      </w:r>
    </w:p>
    <w:p>
      <w:pPr>
        <w:spacing w:after="0" w:line="22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Senior Credit Facility. </w:t>
      </w:r>
      <w:r>
        <w:rPr>
          <w:rFonts w:ascii="Times New Roman" w:cs="Times New Roman" w:eastAsia="Times New Roman" w:hAnsi="Times New Roman"/>
          <w:sz w:val="18"/>
          <w:szCs w:val="18"/>
          <w:color w:val="auto"/>
        </w:rPr>
        <w:t>Lamar Media is required to comply with certain covenants and restrictions under the senior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Company or Lamar Media fails to comply with these tests, the lenders under the senior credit facility will be entitled to exercise certain remedies, including the termination of the lending commitments and the acceleration of the debt payments under the senior credit facility. At December 31, 2024 we were, and currently we are in compliance with all such tests under the senior credit facility.</w:t>
      </w:r>
    </w:p>
    <w:p>
      <w:pPr>
        <w:spacing w:after="0" w:line="18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Times New Roman" w:cs="Times New Roman" w:eastAsia="Times New Roman" w:hAnsi="Times New Roman"/>
          <w:sz w:val="18"/>
          <w:szCs w:val="18"/>
          <w:i w:val="1"/>
          <w:iCs w:val="1"/>
          <w:color w:val="auto"/>
        </w:rPr>
        <w:t>Sources of Cash- Accounts Receivable Securitization Program</w:t>
      </w:r>
      <w:r>
        <w:rPr>
          <w:rFonts w:ascii="Times New Roman" w:cs="Times New Roman" w:eastAsia="Times New Roman" w:hAnsi="Times New Roman"/>
          <w:sz w:val="18"/>
          <w:szCs w:val="18"/>
          <w:color w:val="auto"/>
        </w:rPr>
        <w:t>)) to EBITDA, as defined below, for the period of four consecutive fiscal quarters then ended, of less than or equal to 4.5 to 1.0.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Lamar Media is also restricted from incurring additional unsecured senior indebtedness under certain circumstances unless, after giving effect to the incurrence of such indebtedness, Lamar Media would have a total debt ratio, defined as (x)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(y) EBITDA, as defined below, for the most recent four fiscal quarters then ended, of less than 7.0 to 1.0.</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62" w:lineRule="exact"/>
        <w:rPr>
          <w:sz w:val="20"/>
          <w:szCs w:val="20"/>
          <w:color w:val="auto"/>
        </w:rPr>
      </w:pPr>
    </w:p>
    <w:p>
      <w:pPr>
        <w:jc w:val="both"/>
        <w:ind w:firstLine="567"/>
        <w:spacing w:after="0" w:line="252" w:lineRule="auto"/>
        <w:rPr>
          <w:sz w:val="20"/>
          <w:szCs w:val="20"/>
          <w:color w:val="auto"/>
        </w:rPr>
      </w:pPr>
      <w:r>
        <w:rPr>
          <w:rFonts w:ascii="Times New Roman" w:cs="Times New Roman" w:eastAsia="Times New Roman" w:hAnsi="Times New Roman"/>
          <w:sz w:val="18"/>
          <w:szCs w:val="18"/>
          <w:color w:val="auto"/>
        </w:rPr>
        <w:t>Under the senior credit facility, as amended, “EBITDA” means, for any period, net income, plus (a) to the extent deducted in determining net income for such period, the sum determined without duplication and in accordance with GAAP, of (i) taxes, (ii) interest expense, (iii) 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provided,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minus (c) to the extent included in net income for such period (determined without duplication and in accordance with GAAP) (i) any extraordinary and unusual gains or losses during such period, and (ii) the proceeds of any casualty events and dispositions. For purposes of this EBITDA definition, the effect thereon of any adjustments required under Statement of Financial Accounting Standards No. 141R shall be excluded. If during any period for which EBITDA is being determined, Lamar Media has consummated any acquisition or disposition, EBITDA will be determined on a pro forma basis as if such acquisition or disposition had been made or consummated on the first day of such period.</w:t>
      </w:r>
    </w:p>
    <w:p>
      <w:pPr>
        <w:spacing w:after="0" w:line="18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Under the senior credit facility, "net income" means for any period, the consolidated net income (or loss) of Lamar Advertising, Lamar Media, and its restricted subsidiaries, determined on a consolidated basis in accordance with GAAP; provided that the following is excluded from net income: (a) the income (or deficit) of any person accrued prior to the date it becomes a restricted subsidiary or is merged into or consolidated with Lamar Advertising, Lamar Media or any of its restricted subsidiaries, and (b) the income (or deficit) of any person (other than any of our restricted subsidiaries) in which Lamar Advertising, Lamar Media or any of its subsidiaries has an ownership interest, except to the extent that any such income is received by Lamar Advertising, Lamar Media or any of its restricted subsidiaries in the form of dividends or similar distributions.</w:t>
      </w:r>
    </w:p>
    <w:p>
      <w:pPr>
        <w:spacing w:after="0" w:line="18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16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Restrictions under Accounts Receivable Securitization Program. </w:t>
      </w:r>
      <w:r>
        <w:rPr>
          <w:rFonts w:ascii="Times New Roman" w:cs="Times New Roman" w:eastAsia="Times New Roman" w:hAnsi="Times New Roman"/>
          <w:sz w:val="18"/>
          <w:szCs w:val="18"/>
          <w:color w:val="auto"/>
        </w:rPr>
        <w:t>The agreements governing the Accounts Receivable Securitization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 indebtedness, a change of control occurs, or if Lamar Media fails to maintain the maximum secured debt ratio of 4.5 to 1.0 required under the senior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25" w:lineRule="exact"/>
        <w:rPr>
          <w:sz w:val="20"/>
          <w:szCs w:val="20"/>
          <w:color w:val="auto"/>
        </w:rPr>
      </w:pPr>
    </w:p>
    <w:p>
      <w:pPr>
        <w:ind w:firstLine="567"/>
        <w:spacing w:after="0" w:line="286" w:lineRule="auto"/>
        <w:rPr>
          <w:sz w:val="20"/>
          <w:szCs w:val="20"/>
          <w:color w:val="auto"/>
        </w:rPr>
      </w:pPr>
      <w:r>
        <w:rPr>
          <w:rFonts w:ascii="Times New Roman" w:cs="Times New Roman" w:eastAsia="Times New Roman" w:hAnsi="Times New Roman"/>
          <w:sz w:val="18"/>
          <w:szCs w:val="18"/>
          <w:i w:val="1"/>
          <w:iCs w:val="1"/>
          <w:color w:val="auto"/>
        </w:rPr>
        <w:t>Long-term debt prepayments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31, 2024, Lamar Media paid in full its $350.0 million in Term A loans outstanding under its Senior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The repayment of the Term A loans was completed using a combination of borrowings under our revolving credit facility and cash on hand.</w:t>
      </w:r>
    </w:p>
    <w:p>
      <w:pPr>
        <w:spacing w:after="0" w:line="49" w:lineRule="exact"/>
        <w:rPr>
          <w:sz w:val="20"/>
          <w:szCs w:val="20"/>
          <w:color w:val="auto"/>
        </w:rPr>
      </w:pPr>
    </w:p>
    <w:p>
      <w:pPr>
        <w:ind w:right="2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Capital expenditures, excluding acquisitions, were approximately $125.3 million for the year ended December 31, 2024.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are categorized as growth, maintenance, and other as described below.</w:t>
      </w:r>
    </w:p>
    <w:p>
      <w:pPr>
        <w:spacing w:after="0" w:line="50" w:lineRule="exact"/>
        <w:rPr>
          <w:sz w:val="20"/>
          <w:szCs w:val="20"/>
          <w:color w:val="auto"/>
        </w:rPr>
      </w:pPr>
    </w:p>
    <w:p>
      <w:pPr>
        <w:jc w:val="both"/>
        <w:ind w:left="660" w:firstLine="239"/>
        <w:spacing w:after="0" w:line="261" w:lineRule="auto"/>
        <w:tabs>
          <w:tab w:leader="none" w:pos="13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capital expenditures </w:t>
      </w:r>
      <w:r>
        <w:rPr>
          <w:rFonts w:ascii="Times New Roman" w:cs="Times New Roman" w:eastAsia="Times New Roman" w:hAnsi="Times New Roman"/>
          <w:sz w:val="18"/>
          <w:szCs w:val="18"/>
          <w:color w:val="auto"/>
        </w:rPr>
        <w:t>include discretionary capital expenditures incurred primarily for the expansion or development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markets and construction of new advertising sites. Growth capital expenditures also include certain technology-related investments necessary to support and scale for future customer demand of our outdoor advertising services, and other capital projects. Growth capital expenditures were $63.5 million for the year ended December 31, 2024.</w:t>
      </w:r>
    </w:p>
    <w:p>
      <w:pPr>
        <w:spacing w:after="0" w:line="71" w:lineRule="exact"/>
        <w:rPr>
          <w:rFonts w:ascii="Times New Roman" w:cs="Times New Roman" w:eastAsia="Times New Roman" w:hAnsi="Times New Roman"/>
          <w:sz w:val="18"/>
          <w:szCs w:val="18"/>
          <w:color w:val="auto"/>
        </w:rPr>
      </w:pPr>
    </w:p>
    <w:p>
      <w:pPr>
        <w:jc w:val="both"/>
        <w:ind w:left="660" w:right="20" w:firstLine="239"/>
        <w:spacing w:after="0" w:line="267" w:lineRule="auto"/>
        <w:tabs>
          <w:tab w:leader="none" w:pos="13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Maintenance capital expenditures </w:t>
      </w:r>
      <w:r>
        <w:rPr>
          <w:rFonts w:ascii="Times New Roman" w:cs="Times New Roman" w:eastAsia="Times New Roman" w:hAnsi="Times New Roman"/>
          <w:sz w:val="18"/>
          <w:szCs w:val="18"/>
          <w:color w:val="auto"/>
        </w:rPr>
        <w:t>include recurring capital expenditures not otherwise categorized as growth or other non-recurring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expenditures, including costs incurred to enhance existing advertising sites, general asset improvements, and ordinary corporate capital expenditures. Maintenance capital expenditures were $52.0 million for the year ended December 31, 2024.</w:t>
      </w:r>
    </w:p>
    <w:p>
      <w:pPr>
        <w:spacing w:after="0" w:line="65" w:lineRule="exact"/>
        <w:rPr>
          <w:rFonts w:ascii="Times New Roman" w:cs="Times New Roman" w:eastAsia="Times New Roman" w:hAnsi="Times New Roman"/>
          <w:sz w:val="18"/>
          <w:szCs w:val="18"/>
          <w:color w:val="auto"/>
        </w:rPr>
      </w:pPr>
    </w:p>
    <w:p>
      <w:pPr>
        <w:jc w:val="both"/>
        <w:ind w:left="660" w:firstLine="239"/>
        <w:spacing w:after="0" w:line="267" w:lineRule="auto"/>
        <w:tabs>
          <w:tab w:leader="none" w:pos="1303"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non-recurring capital expenditures </w:t>
      </w:r>
      <w:r>
        <w:rPr>
          <w:rFonts w:ascii="Times New Roman" w:cs="Times New Roman" w:eastAsia="Times New Roman" w:hAnsi="Times New Roman"/>
          <w:sz w:val="18"/>
          <w:szCs w:val="18"/>
          <w:color w:val="auto"/>
        </w:rPr>
        <w:t>include capital expenditures to develop new non-revenue generating assets, such as office 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local markets and the costs to re-develop advertising sites impacted by hurricanes. Other non-recurring capital expenditures were $9.8 million for the year ended December 31, 2024.</w:t>
      </w:r>
    </w:p>
    <w:p>
      <w:pPr>
        <w:spacing w:after="0" w:line="67" w:lineRule="exact"/>
        <w:rPr>
          <w:rFonts w:ascii="Times New Roman" w:cs="Times New Roman" w:eastAsia="Times New Roman" w:hAnsi="Times New Roman"/>
          <w:sz w:val="18"/>
          <w:szCs w:val="18"/>
          <w:i w:val="1"/>
          <w:iCs w:val="1"/>
          <w:color w:val="auto"/>
        </w:rPr>
      </w:pPr>
    </w:p>
    <w:p>
      <w:pPr>
        <w:ind w:left="1300" w:hanging="401"/>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our 2025 total capital expenditures will be approximately $195 million.</w:t>
      </w:r>
    </w:p>
    <w:p>
      <w:pPr>
        <w:spacing w:after="0" w:line="223" w:lineRule="exact"/>
        <w:rPr>
          <w:sz w:val="20"/>
          <w:szCs w:val="20"/>
          <w:color w:val="auto"/>
        </w:rPr>
      </w:pPr>
    </w:p>
    <w:p>
      <w:pPr>
        <w:jc w:val="both"/>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During the year ended December 31, 2024, the Company completed 24 acquisitions for a total cash purchase price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$45.4 million. The acquisitions occurring during the year ended December 31, 2024 were financed using available cash on hand.</w:t>
      </w:r>
    </w:p>
    <w:p>
      <w:pPr>
        <w:spacing w:after="0" w:line="158"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During the year ended December 31, 2024, the Company declared and paid distributions of $578.8 million, or $5.65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During the year ended December 31, 2023, the Company declared and paid distributions of $510.3 million, or $5.00 per share of common stock. On February 19, 2025, the Company’s Board of Directors approved a dividend of $1.55 per common share to be paid on March 28, 2025. Subject to the approval of the Company’s Board of Directors, the Company expects aggregate quarterly distributions to stockholders in 2025 will be at least $6.20 per common share (excluding any distributions related to the sale of Vistar Media, Inc.), including the dividend payable on March 28, 2025.</w:t>
      </w:r>
    </w:p>
    <w:p>
      <w:pPr>
        <w:spacing w:after="0" w:line="185"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The foregoing factors may also impact management's recommendations to the Board of Directors as to the timing, amount and frequency of future distributions.</w:t>
      </w:r>
    </w:p>
    <w:p>
      <w:pPr>
        <w:spacing w:after="0" w:line="186"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and Debt Repurchasing Program. </w:t>
      </w:r>
      <w:r>
        <w:rPr>
          <w:rFonts w:ascii="Times New Roman" w:cs="Times New Roman" w:eastAsia="Times New Roman" w:hAnsi="Times New Roman"/>
          <w:sz w:val="18"/>
          <w:szCs w:val="18"/>
          <w:color w:val="auto"/>
        </w:rPr>
        <w:t>On March 16, 2020, the Company’s Board of Directors authorized the repurchase of up to $250.0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Class A common stock. Additionally, the Board of Directors has authorized Lamar Media to repurchase up to $250.0 million in outstanding senior or senior subordinated notes and other indebtedness outstanding from time to time under the senior credit facility. On September 24, 2024, the Board of Directors authorized the extension of the repurchase program through March 31, 2026. There were no repurchases under the program as of December 31, 2024. The Company's management may opt not to make any repurchases under the program, or may make aggregate purchases less than the total amount authorized.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Our expected material cash requirements for the twelve months ended December 31, 2025 and thereafter are comprised of contractual obligations, required annual distributions and other opportunistic expenditures.</w:t>
      </w:r>
    </w:p>
    <w:p>
      <w:pPr>
        <w:spacing w:after="0" w:line="160" w:lineRule="exact"/>
        <w:rPr>
          <w:sz w:val="20"/>
          <w:szCs w:val="20"/>
          <w:color w:val="auto"/>
        </w:rPr>
      </w:pPr>
    </w:p>
    <w:p>
      <w:pPr>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Contractual Obligations. </w:t>
      </w:r>
      <w:r>
        <w:rPr>
          <w:rFonts w:ascii="Times New Roman" w:cs="Times New Roman" w:eastAsia="Times New Roman" w:hAnsi="Times New Roman"/>
          <w:sz w:val="18"/>
          <w:szCs w:val="18"/>
          <w:color w:val="auto"/>
        </w:rPr>
        <w:t>The following table summarizes our future debt maturities, interest payment obligations, and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including required payments under operating and financing leases as of December 31, 2024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Debt maturities</w:t>
            </w:r>
            <w:r>
              <w:rPr>
                <w:rFonts w:ascii="Times New Roman" w:cs="Times New Roman" w:eastAsia="Times New Roman" w:hAnsi="Times New Roman"/>
                <w:sz w:val="25"/>
                <w:szCs w:val="25"/>
                <w:color w:val="auto"/>
                <w:vertAlign w:val="superscript"/>
              </w:rPr>
              <w:t>(1)</w:t>
            </w: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2,961.1</w:t>
            </w:r>
          </w:p>
        </w:tc>
      </w:tr>
      <w:tr>
        <w:trPr>
          <w:trHeight w:val="229"/>
        </w:trPr>
        <w:tc>
          <w:tcPr>
            <w:tcW w:w="84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Interest obligations on long-term debt</w:t>
            </w:r>
            <w:r>
              <w:rPr>
                <w:rFonts w:ascii="Times New Roman" w:cs="Times New Roman" w:eastAsia="Times New Roman" w:hAnsi="Times New Roman"/>
                <w:sz w:val="26"/>
                <w:szCs w:val="26"/>
                <w:color w:val="auto"/>
                <w:vertAlign w:val="superscript"/>
              </w:rPr>
              <w:t>(2)</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 including operating and financing leases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payments due</w:t>
            </w:r>
          </w:p>
        </w:tc>
        <w:tc>
          <w:tcPr>
            <w:tcW w:w="8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708.4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5,151.0</w:t>
            </w:r>
          </w:p>
        </w:tc>
      </w:tr>
      <w:tr>
        <w:trPr>
          <w:trHeight w:val="21"/>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maturities assume there is no refinancing prior to the existing maturity date.</w:t>
      </w:r>
    </w:p>
    <w:p>
      <w:pPr>
        <w:spacing w:after="0" w:line="27"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on our variable rate instruments assume rates at the December 2024 levels. See Item 7A, "Quantitative and Qualitative Disclosures About Market Risk" for further discussion on interest rate risk.</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Required Annual Distributions. </w:t>
      </w:r>
      <w:r>
        <w:rPr>
          <w:rFonts w:ascii="Times New Roman" w:cs="Times New Roman" w:eastAsia="Times New Roman" w:hAnsi="Times New Roman"/>
          <w:sz w:val="18"/>
          <w:szCs w:val="18"/>
          <w:color w:val="auto"/>
        </w:rPr>
        <w:t>As a REIT, the Company must annually distribute to its stockholders an amount equal to at least 90% of its REIT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(determined before the deduction for distributed earnings and excluding any net capital gain). On February 19, 2025, the Company’s Board of Directors approved a dividend of $1.55 per common share to be paid on March 28, 2025. Our Board of Directors will continue to evaluate future dividends in order to continue to satisfy the requirements needed to maintain our REIT status.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Opportunistic Expenditures. </w:t>
      </w:r>
      <w:r>
        <w:rPr>
          <w:rFonts w:ascii="Times New Roman" w:cs="Times New Roman" w:eastAsia="Times New Roman" w:hAnsi="Times New Roman"/>
          <w:sz w:val="18"/>
          <w:szCs w:val="18"/>
          <w:color w:val="auto"/>
        </w:rPr>
        <w:t>As part of our capital allocation strategy, we plan to continue to allocate our available capital among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alternatives that meet our return on investment criteria. We will continue to reinvest in our existing assets and expand our outdoor advertising display portfolio through new construction. We will also continue to pursue strategic acquisitions of outdoor advertising businesses and assets. This includes acquisitions in our existing markets and in new markets where we can meet our return on investment criteria.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Company’s cash flows provided by operating activities increased $90.0 million from $783.6 million in 2023 to $873.6 million for the year ended December 31, 2024, primarily resulting from an increase in revenues of approximately $96.1 million.</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Cash flows used in investing activities decreased $145.2 million from $310.1 million in 2023 to $164.9 million in 2024 primarily due to a net decrease in the amount of assets acquired through acquisitions and capital expenditures of $146.6 million, as compared to the same period in 2023.</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cash flows used in financing activities were $703.4 million for the year ended December 31, 2024 as compared to $481.6 million in 2023. This increase in cash used in financing activities of $221.8 million for the year ended December 31, 2024 is primarily due to the repayment of the Term A loans outstanding on the senior credit facility as well as an increase in dividends/distributions during the year, offset by additional borrowings on the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intangible assets, goodwill impairment and asset retirement obligations.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had an asset retirement obligation of $614.7 million as of December 31, 2024. This liability relates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obligation upon the termination or non-renewal of a lease to dismantle and remove its billboard structures from the leased land and to restore the site to its original condition. The Company records the present value of obligations 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This calculation includes 100% of the Company’s billboard structures on leased land (which currently consist of approximately 71,500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183"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The Company accounts for transactions that meet the definition of a business and group asset purchases as acquisitions.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 business,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allocates the purchase price to the assets acquired and the liabilities assumed at their estimated relative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w:t>
      </w:r>
    </w:p>
    <w:p>
      <w:pPr>
        <w:spacing w:after="0" w:line="176"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Liabilities and Right of Use Assets. </w:t>
      </w:r>
      <w:r>
        <w:rPr>
          <w:rFonts w:ascii="Times New Roman" w:cs="Times New Roman" w:eastAsia="Times New Roman" w:hAnsi="Times New Roman"/>
          <w:sz w:val="18"/>
          <w:szCs w:val="18"/>
          <w:color w:val="auto"/>
        </w:rPr>
        <w:t>On January 1, 2019, the Company adopted ASU No. 2016-02,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 (Codified as ASC 842),”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resulted in recording operating lease liabilities and right of use assets on our consolidated balance sheet. Our operating lease liabilities (including short-term liabilities) and right of use asset balances were $1.33 billion and $1.36 billion as of December 31, 2024, respectively. The balance is recorded based on the present value of the remaining minimum rental payments under the leasing standard for our existing operating leases. The key estimates for our leases include (1) the discount rate used to discount the unpaid lease payments to present value and (2) lease term. Our leases generally do not include a readily determinable implicit rate, therefore, using a portfolio approach, we determine our collateralized incremental borrowing rate to discount the lease payments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AND REGULATORY UPDATE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See Note 22, "New Accounting Pronouncements" to our consolidated financial statements included in Part II, Item 8 of this report for a discussion of our Accounting Standards and Regulatory Update.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consolidated financial condition and results of operations of Lamar Media for the years ended December 31, 2024 and 2023. This discussion should be read in conjunction with the consolidated financial statements of Lamar Media and the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certain items in the Consolidated Statements of Income as a percentage of net revenues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2023</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increased $96.1 million or 4.6% to $2.21 billion for the year ended December 31, 2024 from $2.11 billion for the same period in 2023. This increase was attributable to an increase in billboard net revenues of $78.4 million, an increase in transit net revenues of $16.1 million and an increase in logo net revenues of $1.7 million over the prior year.</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Net revenues for the year ended December 31, 2024, as compared to acquisition-adjusted net revenues for the comparable period in 2023, increased $89.1 million, or 4.2%. The $89.1 million increase in net revenues is due to a $71.2 million increase in billboard net revenues, a $16.2 million increase in transit net revenues and an increase of $1.7 million in logo net revenues. See “Reconciliations” below.</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Total operating expenses, exclusive of depreciation and amortization and gain on disposition of assets, increased $70.5 million, or 6.1% to $1.22 billion for the year ended December 31, 2024 from $1.15 billion in the same period in 2023. The $70.5 million increase over the prior year is primarily comprised of an increase in total direct, general and administrative and corporate expenses (excluding non-cash compensation expense) of $48.6 million primarily related to the operations of our outdoor advertising assets, as well as an increase in stock-based compensation expense of $21.9 million.</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$169.5 million to $463.0 million for the year ended December 31, 2024 as compared to $293.4 million for the same period in 2023. The increase is primarily due to the revision in the cost estimate included in the calculation of asset retirement obligations during 2024.</w:t>
      </w:r>
    </w:p>
    <w:p>
      <w:pPr>
        <w:spacing w:after="0" w:line="176"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Lamar Media recognized a gain on disposition of assets of $6.1 million as compared to a gain on disposition of assets of $5.5 million for the same period in 2023. The gain on disposition of assets for the year ended December 31, 2024 primarily resulted from transactions related to the sale of billboard locations and displays.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Due to the above factors, operating income decreased $143.3 million to $532.6 million for the year ended December 31, 2024 compared to $675.9 million for the same period in 2023.</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Interest expense decreased $2.8 million for the year ended December 31, 2024 to $171.7 million as compared to $174.5 million for the year ended December 31, 2023. The decrease in interest expense is related to the repayment of the Term A loans outstanding under the senior credit facility during the year ended December 31, 2024.</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in earnings of investee was $5.1 million and $3.7 million for the years ended December 31, 2024 and 2023,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decrease in operating income, partially offset by the decrease in interest expense over the comparable period in 2023, resulted in a $139.1 million decrease in net income before income taxes.</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 recorded income tax expense of $4.5 million for the year ended December 31, 2024 as compared to income tax expense of $9.8 million for the same period in 2023. The $4.5 million equates to an effective tax rate for the year ended December 31, 2024 of approximately 1.2%, which differs from the federal statutory rate primarily due to our qualification for taxation as a REIT and adjustments for foreign items.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Lamar Media recognized net income for the year ended December 31, 2024 of $363.5 million, as compared to net income of $497.3 million for the same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acquisitions occurring after December 31, 2022 have contributed to our net revenue results for the periods presented, we provide 2023 acquisition-adjusted net revenue, which adjusts our 2023 net revenue for the year ended December 31, 2023 by adding to or subtracting from it the net revenue generated by the acquired or divested assets prior to our acquisition or divestiture of these assets for the same time frame that those assets were owned in the year ended December 31, 2024.</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Reconciliations of 2023 reported net revenue to 2023 acquisition-adjusted net revenue for the year ended December 31, 2023 as well as a comparison of 2023 acquisition-adjusted net revenue to 2024 reported net revenue for the year ended December 31, 2024, are provided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and Comparison of Reported Net Revenue to Acquisition-Adjusted Net 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6"/>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6"/>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2,207,103</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net revenue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0" w:type="dxa"/>
            <w:vAlign w:val="bottom"/>
          </w:tcPr>
          <w:p>
            <w:pPr>
              <w:spacing w:after="0"/>
              <w:rPr>
                <w:sz w:val="1"/>
                <w:szCs w:val="1"/>
                <w:color w:val="auto"/>
              </w:rPr>
            </w:pPr>
          </w:p>
        </w:tc>
      </w:tr>
      <w:tr>
        <w:trPr>
          <w:trHeight w:val="248"/>
        </w:trPr>
        <w:tc>
          <w:tcPr>
            <w:tcW w:w="5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totals</w:t>
            </w: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2,207,103</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2,117,973</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5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320" w:type="dxa"/>
            <w:vAlign w:val="bottom"/>
            <w:gridSpan w:val="2"/>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6"/>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6"/>
                <w:szCs w:val="16"/>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Adjusted EBITDA for the year ended December 31, 2024 increased 4.8% to $1.03 billion. The increase in adjusted EBITDA was primarily attributable to the increase in our gross margin (net revenue less direct advertising expense, exclusive of depreciation and amortization and capitalized contract fulfillment costs, net) of $65.0 million, and was partially offset by an increase in general and administrative and corporate expenses of $17.5 million, excluding the impact of non-cash compensation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Segmented 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60,636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adjusted EBITDA</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(6,042)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(7,089)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47,505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40" w:hanging="132"/>
        <w:spacing w:after="0"/>
        <w:tabs>
          <w:tab w:leader="none" w:pos="14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Logo and transit advertising do not meet the criteria to be reportable segments, and accordingly, are included in Other.</w:t>
      </w:r>
    </w:p>
    <w:p>
      <w:pPr>
        <w:spacing w:after="0" w:line="82"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9"/>
          <w:szCs w:val="9"/>
          <w:color w:val="auto"/>
        </w:rPr>
        <w:t>(b)</w:t>
      </w:r>
      <w:r>
        <w:rPr>
          <w:rFonts w:ascii="Times New Roman" w:cs="Times New Roman" w:eastAsia="Times New Roman" w:hAnsi="Times New Roman"/>
          <w:sz w:val="14"/>
          <w:szCs w:val="14"/>
          <w:color w:val="auto"/>
        </w:rPr>
        <w:t>Corporate operations are not an operating segment. Corporate expenses include expenses related to infrastructure and support, including information technology, human resources, legal, finance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and administrative functions of the Company, as well as overall executive, administrative and support functions.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Adjusted EBITDA for the year ended December 31, 2024 increased 4.8% to $1.03 billion. The increase in adjusted EBITDA was primarily attributable to the increase in our billboard advertising adjusted EBITDA of $60.6 million, offset by a decrease in other adjusted EBITDA of $6.0 million and an increase in corporate expenses of $7.1 million, excluding the impact of non-cash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Income/FFO/AFFO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Increase</w:t>
            </w:r>
          </w:p>
        </w:tc>
        <w:tc>
          <w:tcPr>
            <w:tcW w:w="100" w:type="dxa"/>
            <w:vAlign w:val="bottom"/>
          </w:tcPr>
          <w:p>
            <w:pPr>
              <w:spacing w:after="0"/>
              <w:rPr>
                <w:sz w:val="16"/>
                <w:szCs w:val="16"/>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FFO for the year ended December 31, 2024 was $799.0 million as compared to FFO of $768.4 million for the same period in 2023. AFFO for the year ended December 31, 2024 increased 7.4% to $819.6 million as compared to $762.8 million for the same period in 2023. The increase in AFFO was primarily attributable to the increase in our gross margin (net revenue less direct advertising expense, exclusive of depreciation and amortization and capitalized contract fulfillment costs, net), partially offset by an increase in total general and administrative and corporate expenses (excluding the effect of non-cash compensation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Lamar Advertising Company and Lamar Media Corp.</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2024, and should be read in conjunction with Note 9 of the Notes to the Company’s Consolidated Financial Statements.</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 Corp. has variable rate debt outstanding under the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At December 31, 2024 there was approximately $1.13 billion of indebtedness outstanding under the senior credit facility and Accounts Receivable Securitization Program, or approximately 35.0% of the Company’s outstanding long-term debt (including current maturities) on that date, bearing interest at variable rates. The aggregate interest expense for 2024 with respect to borrowings under the senior credit facility and the Accounts Receivable Securitization Program was $79.7 million, and the weighted average interest rate applicable to these borrowings during 2024 was 6.5%. Assuming that the weighted average interest rate was 200 basis points higher (that is 8.5% rather than 6.5%), then the Company’s 2024 interest expense would have increased by approximately $23.8 million for the year ended December 31, 2024.</w:t>
      </w:r>
    </w:p>
    <w:p>
      <w:pPr>
        <w:spacing w:after="0" w:line="18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the Adjusted Term SOFR Rate (as applicable),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6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42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6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20" w:type="dxa"/>
            <w:vAlign w:val="bottom"/>
            <w:gridSpan w:val="8"/>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6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Internal Control Over Financial Reporting </w:t>
            </w:r>
            <w:r>
              <w:rPr>
                <w:rFonts w:ascii="Times New Roman" w:cs="Times New Roman" w:eastAsia="Times New Roman" w:hAnsi="Times New Roman"/>
                <w:sz w:val="18"/>
                <w:szCs w:val="18"/>
                <w:color w:val="000000"/>
              </w:rPr>
              <w:t>(KPMG LLP, Baton</w:t>
            </w:r>
          </w:p>
        </w:tc>
        <w:tc>
          <w:tcPr>
            <w:tcW w:w="6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4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Rouge, LA, Audit Firm ID: 185)</w:t>
            </w:r>
          </w:p>
        </w:tc>
        <w:tc>
          <w:tcPr>
            <w:tcW w:w="2180" w:type="dxa"/>
            <w:vAlign w:val="bottom"/>
            <w:gridSpan w:val="2"/>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0" w:type="dxa"/>
            <w:vAlign w:val="bottom"/>
          </w:tcPr>
          <w:p>
            <w:pPr>
              <w:spacing w:after="0"/>
              <w:rPr>
                <w:sz w:val="19"/>
                <w:szCs w:val="19"/>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the Consolidated Financial Statements </w:t>
            </w:r>
            <w:r>
              <w:rPr>
                <w:rFonts w:ascii="Times New Roman" w:cs="Times New Roman" w:eastAsia="Times New Roman" w:hAnsi="Times New Roman"/>
                <w:sz w:val="18"/>
                <w:szCs w:val="18"/>
                <w:color w:val="000000"/>
              </w:rPr>
              <w:t>(KPMG LLP, Baton Rouge,</w:t>
            </w:r>
          </w:p>
        </w:tc>
        <w:tc>
          <w:tcPr>
            <w:tcW w:w="6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1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LA, Audit Firm ID: 185)</w:t>
            </w:r>
          </w:p>
        </w:tc>
        <w:tc>
          <w:tcPr>
            <w:tcW w:w="2420" w:type="dxa"/>
            <w:vAlign w:val="bottom"/>
            <w:gridSpan w:val="3"/>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0" w:type="dxa"/>
            <w:vAlign w:val="bottom"/>
          </w:tcPr>
          <w:p>
            <w:pPr>
              <w:spacing w:after="0"/>
              <w:rPr>
                <w:sz w:val="19"/>
                <w:szCs w:val="19"/>
                <w:color w:val="auto"/>
              </w:rPr>
            </w:pPr>
          </w:p>
        </w:tc>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920" w:type="dxa"/>
            <w:vAlign w:val="bottom"/>
            <w:gridSpan w:val="8"/>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20" w:type="dxa"/>
            <w:vAlign w:val="bottom"/>
          </w:tcPr>
          <w:p>
            <w:pPr>
              <w:spacing w:after="0"/>
              <w:rPr>
                <w:sz w:val="21"/>
                <w:szCs w:val="21"/>
                <w:color w:val="auto"/>
              </w:rPr>
            </w:pPr>
          </w:p>
        </w:tc>
        <w:tc>
          <w:tcPr>
            <w:tcW w:w="8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2024, 2023 and 2022</w:t>
            </w:r>
          </w:p>
        </w:tc>
        <w:tc>
          <w:tcPr>
            <w:tcW w:w="18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20" w:type="dxa"/>
            <w:vAlign w:val="bottom"/>
          </w:tcPr>
          <w:p>
            <w:pPr>
              <w:spacing w:after="0"/>
              <w:rPr>
                <w:sz w:val="21"/>
                <w:szCs w:val="21"/>
                <w:color w:val="auto"/>
              </w:rPr>
            </w:pPr>
          </w:p>
        </w:tc>
        <w:tc>
          <w:tcPr>
            <w:tcW w:w="7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2980" w:type="dxa"/>
            <w:vAlign w:val="bottom"/>
            <w:gridSpan w:val="5"/>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20" w:type="dxa"/>
            <w:vAlign w:val="bottom"/>
          </w:tcPr>
          <w:p>
            <w:pPr>
              <w:spacing w:after="0"/>
              <w:rPr>
                <w:sz w:val="21"/>
                <w:szCs w:val="21"/>
                <w:color w:val="auto"/>
              </w:rPr>
            </w:pPr>
          </w:p>
        </w:tc>
        <w:tc>
          <w:tcPr>
            <w:tcW w:w="6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660" w:type="dxa"/>
            <w:vAlign w:val="bottom"/>
            <w:gridSpan w:val="6"/>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20" w:type="dxa"/>
            <w:vAlign w:val="bottom"/>
            <w:gridSpan w:val="9"/>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2024, 2023 and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76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5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III — Schedule of Real Estate and Accumulated Depreciation as of December 31, 2024, 2023 and 2022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Lamar Advertising’s management assessed the effectiveness of Lamar Advertising’s internal control over financial reporting as of December 31, 2024.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Lamar Advertising’s management has concluded that, as of December 31, 2024, Lamar Advertising’s internal control over financial reporting is effective based on those criteria. The effectiveness of Lamar Advertising’s internal control over financial reporting as of December 31, 2024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Lamar Advertising Company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and comprehensive income, stockholders’ equity, and cash flows for each of the years in the three-year period ended December 31, 2024, and the related notes and financial statement schedules II to III (collectively, the consolidated financial statements), and our report dated February 20, 2025 expressed an unqualified opinion on those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Arial" w:cs="Arial" w:eastAsia="Arial" w:hAnsi="Arial"/>
          <w:sz w:val="18"/>
          <w:szCs w:val="18"/>
          <w:color w:val="auto"/>
        </w:rPr>
        <w:t>.</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Advertising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Lamar Advertising Company and subsidiaries (the Company) as of December 31, 2024 and 2023, the related consolidated statements of income and comprehensive income, stockholders’ equity, and cash flows for each of the years in the three-year period ended December 31, 2024, and the related notes and financial statement schedules II to III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2025 expressed an unqualified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the accounting lease term for the portfolio of billboard land leases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7 to the consolidated financial statements, a lessee determines the lease term at the commencement date by identifying the non-cancellable period of the lease and then adding any periods for which it is reasonably certain to exercise a renewal option (or not to exercise a termination option). The Company has approximately 71,500 billboard land leases for which they determined the lease term using a portfolio approach, in accordance with which the negotiated stated initial lease term for each billboard land lease was concluded to be the lease term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involved a high degree of subjectivity as to whether the lease term should or should not include renewal periods (including periods after an optional termination date), the evaluation of which required subjective auditor judgment.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billboard land lease process, including controls related to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4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FF0FC"/>
          </w:tcPr>
          <w:p>
            <w:pPr>
              <w:ind w:left="3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49,461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44,605</w:t>
            </w: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$12,404 and $12,477 as of 2024 and 2023, respectively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301,189</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41,009</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27,392</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425,268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373,186</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(note 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4,574,894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4,274,831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(2,974,085)</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(2,708,361)</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1,600,809</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1,566,470</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1,315,433</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right of use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2,035,271</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 (note 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1,062,601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1,171,434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6,586,549</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6,563,622</w:t>
            </w:r>
          </w:p>
        </w:tc>
        <w:tc>
          <w:tcPr>
            <w:tcW w:w="0" w:type="dxa"/>
            <w:vAlign w:val="bottom"/>
          </w:tcPr>
          <w:p>
            <w:pPr>
              <w:spacing w:after="0"/>
              <w:rPr>
                <w:sz w:val="1"/>
                <w:szCs w:val="1"/>
                <w:color w:val="auto"/>
              </w:rPr>
            </w:pPr>
          </w:p>
        </w:tc>
      </w:tr>
      <w:tr>
        <w:trPr>
          <w:trHeight w:val="20"/>
        </w:trPr>
        <w:tc>
          <w:tcPr>
            <w:tcW w:w="8440" w:type="dxa"/>
            <w:vAlign w:val="bottom"/>
            <w:tcBorders>
              <w:top w:val="single" w:sz="8" w:color="CFF0FC"/>
              <w:bottom w:val="single" w:sz="8" w:color="CFF0FC"/>
            </w:tcBorders>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Current maturities of long-term debt, net of deferred financing costs of $611 and $380 in 2024 and 2023,</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 (note 9)</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249,806</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 (note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210,568</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financing lease liabilities (note 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(note 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107,195</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153,700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126,547</w:t>
            </w:r>
          </w:p>
        </w:tc>
        <w:tc>
          <w:tcPr>
            <w:tcW w:w="0" w:type="dxa"/>
            <w:vAlign w:val="bottom"/>
          </w:tcPr>
          <w:p>
            <w:pPr>
              <w:spacing w:after="0"/>
              <w:rPr>
                <w:sz w:val="1"/>
                <w:szCs w:val="1"/>
                <w:color w:val="auto"/>
              </w:rPr>
            </w:pP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713,897</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costs of $22,826 and $28,865 in 2024 and 2023, respectively (note 9)</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2,961,058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1,075,285</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liabilities (note 7)</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(note 12)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0" w:type="dxa"/>
            <w:vAlign w:val="bottom"/>
          </w:tcPr>
          <w:p>
            <w:pPr>
              <w:spacing w:after="0"/>
              <w:rPr>
                <w:sz w:val="1"/>
                <w:szCs w:val="1"/>
                <w:color w:val="auto"/>
              </w:rPr>
            </w:pPr>
          </w:p>
        </w:tc>
      </w:tr>
      <w:tr>
        <w:trPr>
          <w:trHeight w:val="22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retirement obligation (note 10)</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614,713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397,991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0" w:type="dxa"/>
            <w:vAlign w:val="bottom"/>
          </w:tcPr>
          <w:p>
            <w:pPr>
              <w:spacing w:after="0"/>
              <w:rPr>
                <w:sz w:val="1"/>
                <w:szCs w:val="1"/>
                <w:color w:val="auto"/>
              </w:rPr>
            </w:pPr>
          </w:p>
        </w:tc>
      </w:tr>
      <w:tr>
        <w:trPr>
          <w:trHeight w:val="223"/>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5,538,529</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5,346,834</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(note 14):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Series AA preferred stock, par value $0.001, $63.80 cumulative dividends, authorized 5,720 shares; 5,720 shares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and outstanding at 2024 and 2023</w:t>
            </w:r>
          </w:p>
        </w:tc>
        <w:tc>
          <w:tcPr>
            <w:tcW w:w="2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Class A common stock, par value $0.001, 362,500,000 shares authorized, 88,867,481 and 88,486,495 shares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87,976,923 and 87,645,560 outstanding at 2024 and 2023, respectively</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75"/>
        </w:trPr>
        <w:tc>
          <w:tcPr>
            <w:tcW w:w="844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Class B common stock, par value $0.001, 37,500,000 shares authorized, 14,420,085 shares issued and</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outstanding at 2024 and 2023</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2,159,292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2,103,282</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comprehensive loss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(819,235)</w:t>
            </w:r>
          </w:p>
        </w:tc>
        <w:tc>
          <w:tcPr>
            <w:tcW w:w="0" w:type="dxa"/>
            <w:vAlign w:val="bottom"/>
          </w:tcPr>
          <w:p>
            <w:pPr>
              <w:spacing w:after="0"/>
              <w:rPr>
                <w:sz w:val="1"/>
                <w:szCs w:val="1"/>
                <w:color w:val="auto"/>
              </w:rPr>
            </w:pPr>
          </w:p>
        </w:tc>
      </w:tr>
      <w:tr>
        <w:trPr>
          <w:trHeight w:val="230"/>
        </w:trPr>
        <w:tc>
          <w:tcPr>
            <w:tcW w:w="8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shares held in treasury, 890,558 and 840,935 shares in 2024 and 2023, respectively</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(72,688)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1,216,788</w:t>
            </w:r>
          </w:p>
        </w:tc>
        <w:tc>
          <w:tcPr>
            <w:tcW w:w="0" w:type="dxa"/>
            <w:vAlign w:val="bottom"/>
          </w:tcPr>
          <w:p>
            <w:pPr>
              <w:spacing w:after="0"/>
              <w:rPr>
                <w:sz w:val="1"/>
                <w:szCs w:val="1"/>
                <w:color w:val="auto"/>
              </w:rPr>
            </w:pPr>
          </w:p>
        </w:tc>
      </w:tr>
      <w:tr>
        <w:trPr>
          <w:trHeight w:val="223"/>
        </w:trPr>
        <w:tc>
          <w:tcPr>
            <w:tcW w:w="8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6,586,549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6,563,622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revenues (note 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667,288</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361,133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344,780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350,623</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(note 11)</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1,675,063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1,435,553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1,454,139</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578,001</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456,099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(note 12)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102,258,760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101,920,268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101,527,778</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102,561,151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102,106,647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101,634,543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496,836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438,647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437,133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437,133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960" w:type="dxa"/>
            <w:vAlign w:val="bottom"/>
          </w:tcPr>
          <w:p>
            <w:pPr>
              <w:spacing w:after="0"/>
              <w:rPr>
                <w:sz w:val="11"/>
                <w:szCs w:val="11"/>
                <w:color w:val="auto"/>
              </w:rPr>
            </w:pPr>
          </w:p>
        </w:tc>
        <w:tc>
          <w:tcPr>
            <w:tcW w:w="700" w:type="dxa"/>
            <w:vAlign w:val="bottom"/>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w w:val="98"/>
              </w:rPr>
              <w:t>Series AA</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920" w:type="dxa"/>
            <w:vAlign w:val="bottom"/>
            <w:vMerge w:val="restart"/>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0" w:type="dxa"/>
            <w:vAlign w:val="bottom"/>
          </w:tcPr>
          <w:p>
            <w:pPr>
              <w:spacing w:after="0"/>
              <w:rPr>
                <w:sz w:val="1"/>
                <w:szCs w:val="1"/>
                <w:color w:val="auto"/>
              </w:rPr>
            </w:pPr>
          </w:p>
        </w:tc>
      </w:tr>
      <w:tr>
        <w:trPr>
          <w:trHeight w:val="108"/>
        </w:trPr>
        <w:tc>
          <w:tcPr>
            <w:tcW w:w="1960" w:type="dxa"/>
            <w:vAlign w:val="bottom"/>
          </w:tcPr>
          <w:p>
            <w:pPr>
              <w:spacing w:after="0"/>
              <w:rPr>
                <w:sz w:val="9"/>
                <w:szCs w:val="9"/>
                <w:color w:val="auto"/>
              </w:rPr>
            </w:pPr>
          </w:p>
        </w:tc>
        <w:tc>
          <w:tcPr>
            <w:tcW w:w="700" w:type="dxa"/>
            <w:vAlign w:val="bottom"/>
          </w:tcPr>
          <w:p>
            <w:pPr>
              <w:jc w:val="center"/>
              <w:ind w:left="161"/>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PREF</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CMN</w:t>
            </w:r>
          </w:p>
        </w:tc>
        <w:tc>
          <w:tcPr>
            <w:tcW w:w="10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CMN</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700" w:type="dxa"/>
            <w:vAlign w:val="bottom"/>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92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Stock</w:t>
            </w:r>
          </w:p>
        </w:tc>
        <w:tc>
          <w:tcPr>
            <w:tcW w:w="0" w:type="dxa"/>
            <w:vAlign w:val="bottom"/>
          </w:tcPr>
          <w:p>
            <w:pPr>
              <w:spacing w:after="0"/>
              <w:rPr>
                <w:sz w:val="1"/>
                <w:szCs w:val="1"/>
                <w:color w:val="auto"/>
              </w:rPr>
            </w:pPr>
          </w:p>
        </w:tc>
      </w:tr>
      <w:tr>
        <w:trPr>
          <w:trHeight w:val="164"/>
        </w:trPr>
        <w:tc>
          <w:tcPr>
            <w:tcW w:w="19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December 31, 2021</w:t>
            </w:r>
          </w:p>
        </w:tc>
        <w:tc>
          <w:tcPr>
            <w:tcW w:w="70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(50,852)</w:t>
            </w:r>
          </w:p>
        </w:tc>
        <w:tc>
          <w:tcPr>
            <w:tcW w:w="0" w:type="dxa"/>
            <w:vAlign w:val="bottom"/>
          </w:tcPr>
          <w:p>
            <w:pPr>
              <w:spacing w:after="0"/>
              <w:rPr>
                <w:sz w:val="1"/>
                <w:szCs w:val="1"/>
                <w:color w:val="auto"/>
              </w:rPr>
            </w:pPr>
          </w:p>
        </w:tc>
      </w:tr>
      <w:tr>
        <w:trPr>
          <w:trHeight w:val="171"/>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Non-cash compensation</w:t>
            </w:r>
          </w:p>
        </w:tc>
        <w:tc>
          <w:tcPr>
            <w:tcW w:w="7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248,947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common stock through stock awards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Exercise of 194,035 shares of stock</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127,108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common stock through employee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Purchase of 95,679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treasury stock</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0" w:type="dxa"/>
            <w:vAlign w:val="bottom"/>
          </w:tcPr>
          <w:p>
            <w:pPr>
              <w:spacing w:after="0"/>
              <w:rPr>
                <w:sz w:val="1"/>
                <w:szCs w:val="1"/>
                <w:color w:val="auto"/>
              </w:rPr>
            </w:pPr>
          </w:p>
        </w:tc>
      </w:tr>
      <w:tr>
        <w:trPr>
          <w:trHeight w:val="17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shareholders ($5.00 per common</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 ($63.80 per preferred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December 31, 2022</w:t>
            </w:r>
          </w:p>
        </w:tc>
        <w:tc>
          <w:tcPr>
            <w:tcW w:w="70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(61,358)</w:t>
            </w:r>
          </w:p>
        </w:tc>
        <w:tc>
          <w:tcPr>
            <w:tcW w:w="0" w:type="dxa"/>
            <w:vAlign w:val="bottom"/>
          </w:tcPr>
          <w:p>
            <w:pPr>
              <w:spacing w:after="0"/>
              <w:rPr>
                <w:sz w:val="1"/>
                <w:szCs w:val="1"/>
                <w:color w:val="auto"/>
              </w:rPr>
            </w:pPr>
          </w:p>
        </w:tc>
      </w:tr>
      <w:tr>
        <w:trPr>
          <w:trHeight w:val="171"/>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Non-cash compensation</w:t>
            </w:r>
          </w:p>
        </w:tc>
        <w:tc>
          <w:tcPr>
            <w:tcW w:w="7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168,176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common stock through stock awards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Exercise of 60,385 shares of stock</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147,006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common stock through employee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Purchase of 57,239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treasury stock</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0" w:type="dxa"/>
            <w:vAlign w:val="bottom"/>
          </w:tcPr>
          <w:p>
            <w:pPr>
              <w:spacing w:after="0"/>
              <w:rPr>
                <w:sz w:val="1"/>
                <w:szCs w:val="1"/>
                <w:color w:val="auto"/>
              </w:rPr>
            </w:pPr>
          </w:p>
        </w:tc>
      </w:tr>
      <w:tr>
        <w:trPr>
          <w:trHeight w:val="17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Reallocation of capital</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shareholders ($5.00 per common</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 ($63.80 per preferred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December 31, 2023</w:t>
            </w:r>
          </w:p>
        </w:tc>
        <w:tc>
          <w:tcPr>
            <w:tcW w:w="70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(67,347)</w:t>
            </w:r>
          </w:p>
        </w:tc>
        <w:tc>
          <w:tcPr>
            <w:tcW w:w="0" w:type="dxa"/>
            <w:vAlign w:val="bottom"/>
          </w:tcPr>
          <w:p>
            <w:pPr>
              <w:spacing w:after="0"/>
              <w:rPr>
                <w:sz w:val="1"/>
                <w:szCs w:val="1"/>
                <w:color w:val="auto"/>
              </w:rPr>
            </w:pPr>
          </w:p>
        </w:tc>
      </w:tr>
      <w:tr>
        <w:trPr>
          <w:trHeight w:val="171"/>
        </w:trPr>
        <w:tc>
          <w:tcPr>
            <w:tcW w:w="1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compensation</w:t>
            </w:r>
          </w:p>
        </w:tc>
        <w:tc>
          <w:tcPr>
            <w:tcW w:w="7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143,002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common stock through stock awards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Exercise of 112,575 shares of stock</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Issuance of 125,409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common stock through employee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Purchase of 49,623 shares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treasury stock</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0" w:type="dxa"/>
            <w:vAlign w:val="bottom"/>
          </w:tcPr>
          <w:p>
            <w:pPr>
              <w:spacing w:after="0"/>
              <w:rPr>
                <w:sz w:val="1"/>
                <w:szCs w:val="1"/>
                <w:color w:val="auto"/>
              </w:rPr>
            </w:pPr>
          </w:p>
        </w:tc>
      </w:tr>
      <w:tr>
        <w:trPr>
          <w:trHeight w:val="175"/>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Reallocation of capital</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Dividends/distributions to common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shareholders ($5.65 per common</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19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Dividends ($63.80 per preferred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w:t>
            </w:r>
          </w:p>
        </w:tc>
        <w:tc>
          <w:tcPr>
            <w:tcW w:w="7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9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 December 31, 2024</w:t>
            </w:r>
          </w:p>
        </w:tc>
        <w:tc>
          <w:tcPr>
            <w:tcW w:w="70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(72,688)</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-5751195</wp:posOffset>
            </wp:positionV>
            <wp:extent cx="713232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-5520055</wp:posOffset>
            </wp:positionV>
            <wp:extent cx="7132320"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-5125720</wp:posOffset>
            </wp:positionV>
            <wp:extent cx="713232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-4653915</wp:posOffset>
            </wp:positionV>
            <wp:extent cx="7132320" cy="111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-4431030</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-3959860</wp:posOffset>
            </wp:positionV>
            <wp:extent cx="713232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-3728720</wp:posOffset>
            </wp:positionV>
            <wp:extent cx="7132320"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-3333750</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-1936750</wp:posOffset>
            </wp:positionV>
            <wp:extent cx="7132320" cy="1111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-1156970</wp:posOffset>
            </wp:positionV>
            <wp:extent cx="713232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11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Add’l</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1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Non-controlling</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Paid in</w:t>
            </w:r>
          </w:p>
        </w:tc>
        <w:tc>
          <w:tcPr>
            <w:tcW w:w="110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060" w:type="dxa"/>
            <w:vAlign w:val="bottom"/>
            <w:gridSpan w:val="2"/>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40" w:type="dxa"/>
            <w:vAlign w:val="bottom"/>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6"/>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2,001,399</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(734,415)</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1,217,089</w:t>
            </w: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11,012</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11,012</w:t>
            </w:r>
          </w:p>
        </w:tc>
        <w:tc>
          <w:tcPr>
            <w:tcW w:w="0" w:type="dxa"/>
            <w:vAlign w:val="bottom"/>
          </w:tcPr>
          <w:p>
            <w:pPr>
              <w:spacing w:after="0"/>
              <w:rPr>
                <w:sz w:val="1"/>
                <w:szCs w:val="1"/>
                <w:color w:val="auto"/>
              </w:rPr>
            </w:pPr>
          </w:p>
        </w:tc>
      </w:tr>
      <w:tr>
        <w:trPr>
          <w:trHeight w:val="31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30,366</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30,366</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8,671</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8,671</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10,223</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10,223</w:t>
            </w:r>
          </w:p>
        </w:tc>
        <w:tc>
          <w:tcPr>
            <w:tcW w:w="0" w:type="dxa"/>
            <w:vAlign w:val="bottom"/>
          </w:tcPr>
          <w:p>
            <w:pPr>
              <w:spacing w:after="0"/>
              <w:rPr>
                <w:sz w:val="1"/>
                <w:szCs w:val="1"/>
                <w:color w:val="auto"/>
              </w:rPr>
            </w:pPr>
          </w:p>
        </w:tc>
      </w:tr>
      <w:tr>
        <w:trPr>
          <w:trHeight w:val="31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(10,506)</w:t>
            </w:r>
          </w:p>
        </w:tc>
        <w:tc>
          <w:tcPr>
            <w:tcW w:w="0" w:type="dxa"/>
            <w:vAlign w:val="bottom"/>
          </w:tcPr>
          <w:p>
            <w:pPr>
              <w:spacing w:after="0"/>
              <w:rPr>
                <w:sz w:val="1"/>
                <w:szCs w:val="1"/>
                <w:color w:val="auto"/>
              </w:rPr>
            </w:pPr>
          </w:p>
        </w:tc>
      </w:tr>
      <w:tr>
        <w:trPr>
          <w:trHeight w:val="176"/>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0" w:type="dxa"/>
            <w:vAlign w:val="bottom"/>
          </w:tcPr>
          <w:p>
            <w:pPr>
              <w:spacing w:after="0"/>
              <w:rPr>
                <w:sz w:val="1"/>
                <w:szCs w:val="1"/>
                <w:color w:val="auto"/>
              </w:rPr>
            </w:pPr>
          </w:p>
        </w:tc>
      </w:tr>
      <w:tr>
        <w:trPr>
          <w:trHeight w:val="175"/>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438,647</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438,647</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(508,249)</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(508,249)</w:t>
            </w:r>
          </w:p>
        </w:tc>
        <w:tc>
          <w:tcPr>
            <w:tcW w:w="0" w:type="dxa"/>
            <w:vAlign w:val="bottom"/>
          </w:tcPr>
          <w:p>
            <w:pPr>
              <w:spacing w:after="0"/>
              <w:rPr>
                <w:sz w:val="1"/>
                <w:szCs w:val="1"/>
                <w:color w:val="auto"/>
              </w:rPr>
            </w:pPr>
          </w:p>
        </w:tc>
      </w:tr>
      <w:tr>
        <w:trPr>
          <w:trHeight w:val="32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64"/>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2,061,671</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(804,382)</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1,195,374</w:t>
            </w: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10,323</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10,323</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16,615</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16,615</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11,389</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11,389</w:t>
            </w:r>
          </w:p>
        </w:tc>
        <w:tc>
          <w:tcPr>
            <w:tcW w:w="0" w:type="dxa"/>
            <w:vAlign w:val="bottom"/>
          </w:tcPr>
          <w:p>
            <w:pPr>
              <w:spacing w:after="0"/>
              <w:rPr>
                <w:sz w:val="1"/>
                <w:szCs w:val="1"/>
                <w:color w:val="auto"/>
              </w:rPr>
            </w:pPr>
          </w:p>
        </w:tc>
      </w:tr>
      <w:tr>
        <w:trPr>
          <w:trHeight w:val="31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0" w:type="dxa"/>
            <w:vAlign w:val="bottom"/>
          </w:tcPr>
          <w:p>
            <w:pPr>
              <w:spacing w:after="0"/>
              <w:rPr>
                <w:sz w:val="1"/>
                <w:szCs w:val="1"/>
                <w:color w:val="auto"/>
              </w:rPr>
            </w:pPr>
          </w:p>
        </w:tc>
      </w:tr>
      <w:tr>
        <w:trPr>
          <w:trHeight w:val="176"/>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75"/>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495,763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496,836</w:t>
            </w: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(510,251)</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(511,307)</w:t>
            </w:r>
          </w:p>
        </w:tc>
        <w:tc>
          <w:tcPr>
            <w:tcW w:w="0" w:type="dxa"/>
            <w:vAlign w:val="bottom"/>
          </w:tcPr>
          <w:p>
            <w:pPr>
              <w:spacing w:after="0"/>
              <w:rPr>
                <w:sz w:val="1"/>
                <w:szCs w:val="1"/>
                <w:color w:val="auto"/>
              </w:rPr>
            </w:pPr>
          </w:p>
        </w:tc>
      </w:tr>
      <w:tr>
        <w:trPr>
          <w:trHeight w:val="32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64"/>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2,103,282</w:t>
            </w:r>
          </w:p>
        </w:tc>
        <w:tc>
          <w:tcPr>
            <w:tcW w:w="1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(819,235)</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1,216,788</w:t>
            </w:r>
          </w:p>
        </w:tc>
        <w:tc>
          <w:tcPr>
            <w:tcW w:w="0" w:type="dxa"/>
            <w:vAlign w:val="bottom"/>
          </w:tcPr>
          <w:p>
            <w:pPr>
              <w:spacing w:after="0"/>
              <w:rPr>
                <w:sz w:val="1"/>
                <w:szCs w:val="1"/>
                <w:color w:val="auto"/>
              </w:rPr>
            </w:pPr>
          </w:p>
        </w:tc>
      </w:tr>
      <w:tr>
        <w:trPr>
          <w:trHeight w:val="171"/>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19,059</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19,059</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16,990</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16,990</w:t>
            </w:r>
          </w:p>
        </w:tc>
        <w:tc>
          <w:tcPr>
            <w:tcW w:w="0" w:type="dxa"/>
            <w:vAlign w:val="bottom"/>
          </w:tcPr>
          <w:p>
            <w:pPr>
              <w:spacing w:after="0"/>
              <w:rPr>
                <w:sz w:val="1"/>
                <w:szCs w:val="1"/>
                <w:color w:val="auto"/>
              </w:rPr>
            </w:pPr>
          </w:p>
        </w:tc>
      </w:tr>
      <w:tr>
        <w:trPr>
          <w:trHeight w:val="310"/>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9,089</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9,090</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11,890</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11,890</w:t>
            </w:r>
          </w:p>
        </w:tc>
        <w:tc>
          <w:tcPr>
            <w:tcW w:w="0" w:type="dxa"/>
            <w:vAlign w:val="bottom"/>
          </w:tcPr>
          <w:p>
            <w:pPr>
              <w:spacing w:after="0"/>
              <w:rPr>
                <w:sz w:val="1"/>
                <w:szCs w:val="1"/>
                <w:color w:val="auto"/>
              </w:rPr>
            </w:pPr>
          </w:p>
        </w:tc>
      </w:tr>
      <w:tr>
        <w:trPr>
          <w:trHeight w:val="31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w:t>
            </w:r>
          </w:p>
        </w:tc>
        <w:tc>
          <w:tcPr>
            <w:tcW w:w="0" w:type="dxa"/>
            <w:vAlign w:val="bottom"/>
          </w:tcPr>
          <w:p>
            <w:pPr>
              <w:spacing w:after="0"/>
              <w:rPr>
                <w:sz w:val="1"/>
                <w:szCs w:val="1"/>
                <w:color w:val="auto"/>
              </w:rPr>
            </w:pPr>
          </w:p>
        </w:tc>
      </w:tr>
      <w:tr>
        <w:trPr>
          <w:trHeight w:val="175"/>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0" w:type="dxa"/>
            <w:vAlign w:val="bottom"/>
          </w:tcPr>
          <w:p>
            <w:pPr>
              <w:spacing w:after="0"/>
              <w:rPr>
                <w:sz w:val="1"/>
                <w:szCs w:val="1"/>
                <w:color w:val="auto"/>
              </w:rPr>
            </w:pPr>
          </w:p>
        </w:tc>
      </w:tr>
      <w:tr>
        <w:trPr>
          <w:trHeight w:val="175"/>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361,867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362,939</w:t>
            </w: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32"/>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(578,849)</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(580,504)</w:t>
            </w:r>
          </w:p>
        </w:tc>
        <w:tc>
          <w:tcPr>
            <w:tcW w:w="0" w:type="dxa"/>
            <w:vAlign w:val="bottom"/>
          </w:tcPr>
          <w:p>
            <w:pPr>
              <w:spacing w:after="0"/>
              <w:rPr>
                <w:sz w:val="1"/>
                <w:szCs w:val="1"/>
                <w:color w:val="auto"/>
              </w:rPr>
            </w:pPr>
          </w:p>
        </w:tc>
      </w:tr>
      <w:tr>
        <w:trPr>
          <w:trHeight w:val="32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70"/>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2,159,292</w:t>
            </w:r>
          </w:p>
        </w:tc>
        <w:tc>
          <w:tcPr>
            <w:tcW w:w="1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(2,954)</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(1,036,582)</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1,048,020</w:t>
            </w: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5940" w:space="120"/>
            <w:col w:w="518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LAMAR ADVERTISING COMPANY</w:t>
      </w:r>
    </w:p>
    <w:p>
      <w:pPr>
        <w:spacing w:after="0" w:line="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Years Ended December 31, 2024, 2023 and 2022</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362,939</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496,836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438,647</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293,423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349,449</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included in interest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6,158</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on disposition of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(15,721)</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Equity in earnings of investee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Receivables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Increase (decrease) 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Trade 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0" w:type="dxa"/>
            <w:vAlign w:val="bottom"/>
          </w:tcPr>
          <w:p>
            <w:pPr>
              <w:spacing w:after="0"/>
              <w:rPr>
                <w:sz w:val="1"/>
                <w:szCs w:val="1"/>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7,198</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(4,862)</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873,610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783,613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781,612</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(167,078)</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(479,766)</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Decrease in notes receivable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disposition of assets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15,649</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(164,906)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(310,119)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(619,071)</w:t>
            </w:r>
          </w:p>
        </w:tc>
        <w:tc>
          <w:tcPr>
            <w:tcW w:w="0" w:type="dxa"/>
            <w:vAlign w:val="bottom"/>
          </w:tcPr>
          <w:p>
            <w:pPr>
              <w:spacing w:after="0"/>
              <w:rPr>
                <w:sz w:val="1"/>
                <w:szCs w:val="1"/>
                <w:color w:val="auto"/>
              </w:rPr>
            </w:pP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proceeds from issuance of common stock</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18,894</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Cash used for purchase of treasury shares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(10,506)</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revolving credit facility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403,000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revolving credit facility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on financing leases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senior credit facility term loans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senior credit facility term loans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received from accounts receivable securitization program</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114,900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265,000</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on accounts receivable securitization program</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0" w:type="dxa"/>
            <w:vAlign w:val="bottom"/>
          </w:tcPr>
          <w:p>
            <w:pPr>
              <w:spacing w:after="0"/>
              <w:rPr>
                <w:sz w:val="1"/>
                <w:szCs w:val="1"/>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Dividends/distributions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(579,214)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(510,616)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(508,614)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(703,425)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(209,319)</w:t>
            </w:r>
          </w:p>
        </w:tc>
        <w:tc>
          <w:tcPr>
            <w:tcW w:w="0" w:type="dxa"/>
            <w:vAlign w:val="bottom"/>
          </w:tcPr>
          <w:p>
            <w:pPr>
              <w:spacing w:after="0"/>
              <w:rPr>
                <w:sz w:val="1"/>
                <w:szCs w:val="1"/>
                <w:color w:val="auto"/>
              </w:rPr>
            </w:pPr>
          </w:p>
        </w:tc>
      </w:tr>
      <w:tr>
        <w:trPr>
          <w:trHeight w:val="18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in cash and cash equivalents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(47,169)</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44,605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52,619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99,788</w:t>
            </w:r>
          </w:p>
        </w:tc>
        <w:tc>
          <w:tcPr>
            <w:tcW w:w="0" w:type="dxa"/>
            <w:vAlign w:val="bottom"/>
          </w:tcPr>
          <w:p>
            <w:pPr>
              <w:spacing w:after="0"/>
              <w:rPr>
                <w:sz w:val="1"/>
                <w:szCs w:val="1"/>
                <w:color w:val="auto"/>
              </w:rPr>
            </w:pPr>
          </w:p>
        </w:tc>
      </w:tr>
      <w:tr>
        <w:trPr>
          <w:trHeight w:val="221"/>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44,605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52,619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165,827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168,011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Cash paid for state and federal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11,432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Nature of Business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Company (the Company) is engaged in the outdoor advertising business, operating approximately 159,000 billboard advertising displays in 45 states and Canada. The Company’s operating strategy is to be the leading provider of outdoor advertising services in the markets it serves.</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addition, the Company operates a logo sign business in 23 states throughout the United States and the province of Ontario, Canada and operates approximately 47,500 transit advertising displays in 23 states and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operates as a Real Estate Investment Trust (“REIT”) for U.S. federal income tax purposes and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183"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On July 1, 2022, the Company's direct wholly owned subsidiary Lamar Media Corp. ("Lamar Media") entered into the Amended and Restated Limited Partnership Agreement (the "Partnership Agreement") of Lamar Advertising Limited Partnership (the "OP") as the initial limited partner, along with its wholly owned subsidiary, Lamar Advertising General Partner, LLC, as the general partner of the OP (the "General Partner"). Lamar Media formed the OP and contributed all of its assets to the OP in connection with the Company's reorganization (the "Reorganization") as a specific type of REIT known as an Umbrella Partnership Real Estate Investment Trust ("UPREIT"). The Company completed the Reorganization to facilitate tax-deferred contributions of properties to the OP in exchange for limited partnership interests in the OP. The Reorganization did not have a material impact on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Lamar Advertising Company, its wholly owned subsidiary, Lamar Media, and its majority-owned subsidiaries. All inter-company transactions and balances have been eliminated in consolidation.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 operating segment is a component of an enterprise:</w:t>
      </w:r>
    </w:p>
    <w:p>
      <w:pPr>
        <w:spacing w:after="0" w:line="117" w:lineRule="exact"/>
        <w:rPr>
          <w:sz w:val="20"/>
          <w:szCs w:val="20"/>
          <w:color w:val="auto"/>
        </w:rPr>
      </w:pPr>
    </w:p>
    <w:p>
      <w:pPr>
        <w:ind w:left="1140" w:hanging="565"/>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engages in business activities from which it may earn revenues and incur expenses;</w:t>
      </w:r>
    </w:p>
    <w:p>
      <w:pPr>
        <w:spacing w:after="0" w:line="117" w:lineRule="exact"/>
        <w:rPr>
          <w:rFonts w:ascii="Times New Roman" w:cs="Times New Roman" w:eastAsia="Times New Roman" w:hAnsi="Times New Roman"/>
          <w:sz w:val="18"/>
          <w:szCs w:val="18"/>
          <w:color w:val="auto"/>
        </w:rPr>
      </w:pPr>
    </w:p>
    <w:p>
      <w:pPr>
        <w:ind w:left="1140" w:hanging="565"/>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operating results are regularly reviewed by the enterprise’s chief operating decision maker to make decisions about resources to be allocated to the segment and assess its performance; and</w:t>
      </w:r>
    </w:p>
    <w:p>
      <w:pPr>
        <w:spacing w:after="0" w:line="53"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w:t>
      </w:r>
    </w:p>
    <w:p>
      <w:pPr>
        <w:spacing w:after="0" w:line="219" w:lineRule="exact"/>
        <w:rPr>
          <w:sz w:val="20"/>
          <w:szCs w:val="20"/>
          <w:color w:val="auto"/>
        </w:rPr>
      </w:pPr>
    </w:p>
    <w:p>
      <w:pPr>
        <w:ind w:right="20" w:firstLine="567"/>
        <w:spacing w:after="0" w:line="291" w:lineRule="auto"/>
        <w:rPr>
          <w:sz w:val="20"/>
          <w:szCs w:val="20"/>
          <w:color w:val="auto"/>
        </w:rPr>
      </w:pPr>
      <w:r>
        <w:rPr>
          <w:rFonts w:ascii="Times New Roman" w:cs="Times New Roman" w:eastAsia="Times New Roman" w:hAnsi="Times New Roman"/>
          <w:sz w:val="18"/>
          <w:szCs w:val="18"/>
          <w:color w:val="auto"/>
        </w:rPr>
        <w:t xml:space="preserve">We manage our business through three operating segments </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billboard, logo and transit advertising. We rent advertising space on billboards, buses, shelters, benches, logo plates and in airport terminals.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Property, Plant and Equipment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plant and equipment are stated at cost. Depreciation is calculated using the straight-line method over the estimated useful lives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Goodwill and Intangible Assets</w:t>
      </w:r>
    </w:p>
    <w:p>
      <w:pPr>
        <w:spacing w:after="0" w:line="22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Goodwill is subject to an annual impairment test. The Company designated December 31 as the date of its annual goodwill impairment test. The Company is required to identify its reporting units and determine the carrying value of each reporting unit. The Company has identified three reporting units, billboard operations, transit operations and logo operations, by assigning the 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book an impairment loss.</w:t>
      </w:r>
    </w:p>
    <w:p>
      <w:pPr>
        <w:spacing w:after="0" w:line="18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conducts a qualitative assessment by examining relevant events and circumstances which could have a negative impact on the Company’s goodwill, which includes macroeconomic conditions, industry and market conditions, cost factors, overall financial performance, reporting unit dispositions and acquisitions, the market capitalization of the Company and other relevant events specific to the Company. If, after assessing the totality of events or circumstances described above, the Company determines that it is more likely than not that the fair value of either of the Company's reporting units is less than its carrying amount, the Company will perform a quantitative impairment test. If industry and economic conditions deteriorate, the Company may be required to assess goodwill impairment before the next annual test, which could result in impairment charges.</w:t>
      </w:r>
    </w:p>
    <w:p>
      <w:pPr>
        <w:spacing w:after="0" w:line="187"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measurement for impairment of the goodwill of its reporting units and concluded the fair value of each reporting unit exceeded its carrying amount at its annual impairment test date on December 31, 2024 and 2023; therefore, the Company was not required to recognize an impairment loss.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Intangible assets, consisting primarily of site locations, customer lists and contracts, and non-competition agreements are amortized using the straight-line method over the assets' estimated useful lives, generally from 2 to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Impairment of Long-Lived Assets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plant and equipment, lease right of use assets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Acquisitions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The Company accounts for transactions that meet the definition of a business and group asset purchases as 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 For transactions that meet the definition of asset group purchases, the Company proportionally allocates the purchase price to the assets based on relative fair value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188"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age of the asset, and the economic useful life. When determining the fair value of intangible assets acquired, the Company must estimate the applicable discount rate and the timing and amount of future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Lease Liabilities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 xml:space="preserve">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Deferred Income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Deferred income consists principally of advertising revenue invoiced in advance. Deferred advertising revenue is recognized in income over the term of the contract.</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(i)</w:t>
        <w:tab/>
        <w:t>Revenue Recognition</w:t>
      </w:r>
    </w:p>
    <w:p>
      <w:pPr>
        <w:spacing w:after="0" w:line="12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recognizes outdoor advertising revenue on an accrual basis ratably over the term of the contracts. Production revenue and the related expense for the advertising copy are recognized upon satisfaction of its performance obligation.</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9,787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84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4,698</w:t>
            </w:r>
          </w:p>
        </w:tc>
        <w:tc>
          <w:tcPr>
            <w:tcW w:w="100" w:type="dxa"/>
            <w:vAlign w:val="bottom"/>
          </w:tcPr>
          <w:p>
            <w:pPr>
              <w:spacing w:after="0"/>
              <w:rPr>
                <w:sz w:val="19"/>
                <w:szCs w:val="19"/>
                <w:color w:val="auto"/>
              </w:rPr>
            </w:pP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4,525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 assets are held or where those operations are conducted, including those designated as Qualified REIT Subsidiaries, or QRSs, for federal income tax purposes. Accordingly, the consolidated financial statements reflect provisions for federal, state, local and foreign income taxes. The Company recognizes deferred tax assets and liabilities for the future tax consequences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Dividends/Distributions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As a REIT, the Company must annually distribute to its stockholders an amount equal to at least 90% of its REIT taxable income (determined before the deduction for distributed earnings and excluding any net capital gain). During the years ended December 31, 2024, 2023 and 2022, the Company declared and paid distributions of its REIT taxable income of $578,849 or $5.65 per share, $510,251 or $5.00 per share and $508,249 or $5.00 per share, respectively.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its existing and future debt instruments, the Company’s ability to utilize net operating losses (“NOLs”) to offset, in whole or in part, the Company’s distribution requirements, limitations on its ability to fund distributions using cash generated through its TRSs, the impact of general economic conditions on the Company's operations and other factors that the Board of Directors may deem relevant. During each of the years ended December 31, 2024, 2023 and 2022, the Company paid dividend distributions to holders of its Series AA Preferred Stock of $365 or $63.80 per share.</w:t>
      </w:r>
    </w:p>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Earnings Per Share</w:t>
      </w:r>
    </w:p>
    <w:p>
      <w:pPr>
        <w:spacing w:after="0" w:line="12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calculation of basic earnings per share excludes any dilutive effect of stock options, while diluted earnings per share includes the dilutive effect of stock options. For the years ended December 31, 2024, 2023 and 2022 there were no dilutive shares excluded from the calculation.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Stock Based Compensation</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Compensation expense for share-based awards is recognized based on the grant date fair value of those awards. Stock based compensation expense includes an estimate for pre-vesting forfeitures and is recognized over the requisite service periods of the awards on a straight-line basis, which is generally commensurate with the vesting term. Non-cash compensation expense recognized during the years ended December 31, 2024, 2023, and 2022 was $44,525, $22,649 and $23,136, respectively. The $44,525 expensed during the year ended December 31, 2024 consists of (i) $5,072 related to stock options and the employee stock purchase plan, (ii) $24,711 related to stock grants made under the Company’s performance-based stock incentive program in 2024,</w:t>
      </w:r>
    </w:p>
    <w:p>
      <w:pPr>
        <w:spacing w:after="0" w:line="3" w:lineRule="exact"/>
        <w:rPr>
          <w:sz w:val="20"/>
          <w:szCs w:val="20"/>
          <w:color w:val="auto"/>
        </w:rPr>
      </w:pPr>
    </w:p>
    <w:p>
      <w:pPr>
        <w:ind w:firstLine="8"/>
        <w:spacing w:after="0" w:line="260" w:lineRule="auto"/>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$13,996 related to LTIP Units issued to the Company's executive officers, and (iv) $745 related to restricted stock awards to directors. See Note 15 for information on the assumptions used to calculate the fair value of stock-based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Cash and Cash Equivalents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considers all highly-liquid investments with original maturities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Credit Losses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estimates credit losses on financial instruments based on amounts expected to be collected. The allowance for doubtful accounts is estimated based on historical collections, accounts receivable aging, economic indicators, and expected future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Foreign Currency Translation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Local currencies generally are considered the functional currencies outside the United States. Assets and liabilities for operations in local-currency environments are translated at year-end exchange rates. Income and expense items are translated at average rates of exchange prevailing during the year. Foreign currency translation adjustments are recorded as a component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in the Consolidated Statements of Income and Comprehensive Income and as a component of accumulated comprehensive income (loss) in the Consolidated Statements of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Asset Retirement Obligations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required to record the fair value of obligations associated with the retirement of tangible long-lived assets in the period in which it is incurred. The liability is capitalized as part of the related long-lived asset’s carrying amount. Adjustments are made to the asset retirement obligation liability to reflect changes in the estimates of the retirement period and amount of expected cash flows, with an offsetting adjustment made to the related long-lived tangible asset. The significant assumptions used in estimating the Company's asset retirement obligations include the retirement period, cost of asset dismantlement, credit-adjusted risk-free interest rates, inflation and market risk.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leased properties.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Use of Estimates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Comprehensive Income</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Total comprehensive income is presented in the Consolidated Statements of Income and Comprehensive Income and the components of accumulated comprehensive income (loss) are presented in the Consolidated Statements of Stockholders’ Equity. Comprehensive income is composed of foreign currency translation effects.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i w:val="1"/>
          <w:iCs w:val="1"/>
          <w:color w:val="auto"/>
        </w:rPr>
        <w:t>(u)</w:t>
        <w:tab/>
        <w:t>Investments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Media, Inc. ("Vistar"), a leading global provider of programmatic technology for the digital out-of-home sector. This investment is accounted for as an equity method investment and is included in other assets on the Consolidated Balance Sheets. For the years ended December 31, 2024, 2023 and 2022, related to this investment, the Company recorded $5,298, $4,107 and $4,284, respectively, in equity in earnings of investee on the Consolidated Statements of Income and Comprehensive Income. See Note 23, "Subsequent Events" for additional information regarding the Company's interest in Vistar.</w:t>
      </w:r>
    </w:p>
    <w:p>
      <w:pPr>
        <w:spacing w:after="0" w:line="1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(v)</w:t>
        <w:tab/>
        <w:t>Subsequent Events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date on which the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117"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Advertising revenues: </w:t>
      </w:r>
      <w:r>
        <w:rPr>
          <w:rFonts w:ascii="Times New Roman" w:cs="Times New Roman" w:eastAsia="Times New Roman" w:hAnsi="Times New Roman"/>
          <w:sz w:val="18"/>
          <w:szCs w:val="18"/>
          <w:color w:val="auto"/>
        </w:rPr>
        <w:t>The majority of our revenues are derived from contracts for advertising space on billboard, logo and transit displays.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which do not meet the criteria of a lease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are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Consolidated Statements of Income and Comprehensive Income. During the years ended December 31, 2024 and 2023, we capitalized $28,003 and $26,349, respectively, of costs to fulfill contracts, which is included in other current assets on the Consolidated Balance Sheets, net of expensed costs of $27,686 and $26,041, respectively.</w:t>
      </w:r>
    </w:p>
    <w:p>
      <w:pPr>
        <w:spacing w:after="0" w:line="18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Our other component of revenue primarily consists of production services which includes creating and printing the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 Revenue for production contracts is recognized under ASC 606. Contract revenues for production services are recognized upon satisfaction of the contract which is typically less than one week.</w:t>
      </w:r>
    </w:p>
    <w:p>
      <w:pPr>
        <w:spacing w:after="0" w:line="17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Arrangements with multiple performance obligations: </w:t>
      </w:r>
      <w:r>
        <w:rPr>
          <w:rFonts w:ascii="Times New Roman" w:cs="Times New Roman" w:eastAsia="Times New Roman" w:hAnsi="Times New Roman"/>
          <w:sz w:val="18"/>
          <w:szCs w:val="18"/>
          <w:color w:val="auto"/>
        </w:rPr>
        <w:t>Our contracts with customers may include multiple performance obligations.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73"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revenues: </w:t>
      </w:r>
      <w:r>
        <w:rPr>
          <w:rFonts w:ascii="Times New Roman" w:cs="Times New Roman" w:eastAsia="Times New Roman" w:hAnsi="Times New Roman"/>
          <w:sz w:val="18"/>
          <w:szCs w:val="18"/>
          <w:color w:val="auto"/>
        </w:rPr>
        <w:t>We record deferred revenues when cash payments are received or due in advance of our performance obligation.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7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The Company is utilizing the following practical expedients and exemptions from ASC 606. 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commissions when incurred because the amortization period is one year or less. These costs are recorded within direct advertising expense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presents our disaggregated revenue by source for the years ended December 31, 2024, 2023 and 2022.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Billboard Advertising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1,813,995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80,145</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Advertising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2024, the Company completed several acquisitions of outdoor advertising assets for a total purchase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$45,393.</w:t>
      </w:r>
    </w:p>
    <w:p>
      <w:pPr>
        <w:spacing w:after="0" w:line="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these asset purchases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relative fair value estimates at the dates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992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data)</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756"/>
        </w:trPr>
        <w:tc>
          <w:tcPr>
            <w:tcW w:w="9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4"/>
        </w:trPr>
        <w:tc>
          <w:tcPr>
            <w:tcW w:w="9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28,346</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23"/>
        </w:trPr>
        <w:tc>
          <w:tcPr>
            <w:tcW w:w="99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45,393</w:t>
            </w:r>
          </w:p>
        </w:tc>
      </w:tr>
      <w:tr>
        <w:trPr>
          <w:trHeight w:val="20"/>
        </w:trPr>
        <w:tc>
          <w:tcPr>
            <w:tcW w:w="9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acquired intangible assets for the year ended December 31, 2024 were $30,210. The acquired intangible assets have a weighted average useful life of approximately 14 years. The intangible assets include customer lists and contracts of $1,302 (7 year weighted average useful life) and site locations of $28,346 (15 year weighted average useful life). The aggregate amortization expense related to the 2024 acquisitions for the year ended December 31, 2024 was $1,214.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2023</w:t>
      </w:r>
    </w:p>
    <w:p>
      <w:pPr>
        <w:spacing w:after="0" w:line="117"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completed several acquisitions of outdoor advertising assets for a total purchase price of $138,961.</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Each of these asset purchases was accounted for under the acquisition method of accounting, and, accordingly, the accompanying consolidated financial statements include the results of operations of each acquired entity from the date of acquisition. The acquisition purchase price has been allocated to assets acquired and liabilities assumed based on relative fair value estimates at the dates of acquisition.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allocation of the purchase price in the above transactions.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9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Site locations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90,152</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acquisition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w:t>
            </w:r>
          </w:p>
        </w:tc>
      </w:tr>
      <w:tr>
        <w:trPr>
          <w:trHeight w:val="248"/>
        </w:trPr>
        <w:tc>
          <w:tcPr>
            <w:tcW w:w="9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Total acquired intangible assets for the year ended December 31, 2023 were $101,937, of which $(50) was assigned to goodwill relating to the finalization of the fair value allocation of the assets acquired and liabilities assumed from Fairway Outdoor and Standard Outdoor in the business combination completed December 9, 2022. Goodwill is not amortized for financial statement purposes and no goodwill related to 2023 acquisitions is expected to be deductible for tax purposes. The acquired intangible assets have a weighted average useful life of approximately 14 years. The intangible assets include customer lists and contracts of $11,061 (7 year weighted average useful life) and site locations of $90,152 (15 year weighted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useful life). The aggregate amortization expense related to the 2023 acquisitions for the year ended December 31, 2023 was approximately $3,330.</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finalized our fair value allocation of the assets acquired and liabilities assumed from Fairway Outdoor and Standard Outdoor in the business combination completed December 9, 2022. The changes to our updated fair value allocation of this business combination were considered immaterial and recorded during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Non-cash Financing and Investing Activities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2022, the Company had non-cash investing activities that resulted in an increase to the asset retirement obligation balance and the carrying value of the related property, plant and equipment in the amount of $215,899 and $110,321, respectively, related to the revision in estimate of the Company's asset retirement obligation. For the years ended December 31, 2024, 2023 and 2022, there were non-cash investing and financing activities for the recognition of ROU assets and lease liabilities at lease commencement as disclosed in Note 7, "Leases".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Major categories of property, plant and equipment at December 31, 2024 and 2023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140" w:type="dxa"/>
            <w:vAlign w:val="bottom"/>
          </w:tcPr>
          <w:p>
            <w:pPr>
              <w:spacing w:after="0"/>
              <w:rPr>
                <w:sz w:val="13"/>
                <w:szCs w:val="13"/>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10 — 39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structures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5 — 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3,401,132</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Automotive and other equipment</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3 — 7</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155,414</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4,274,831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2024 and 2023: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200" w:type="dxa"/>
            <w:vAlign w:val="bottom"/>
          </w:tcPr>
          <w:p>
            <w:pPr>
              <w:spacing w:after="0"/>
              <w:rPr>
                <w:sz w:val="24"/>
                <w:szCs w:val="2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60" w:type="dxa"/>
            <w:vAlign w:val="bottom"/>
          </w:tcPr>
          <w:p>
            <w:pPr>
              <w:jc w:val="center"/>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5"/>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 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732,098</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640,635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 — 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66,455</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Site locations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1,891,078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 15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3,839,323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2,776,722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2,639,584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2,288,618</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2,288,807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253,536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changes in the gross carrying amount of goodwill for the years ended December 31, 2024 and 2023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2,288,805</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5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8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2,288,807</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5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2,288,618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bottom w:val="single" w:sz="8" w:color="CCEEFF"/>
            </w:tcBorders>
            <w:vMerge w:val="restart"/>
          </w:tcPr>
          <w:p>
            <w:pPr>
              <w:jc w:val="right"/>
              <w:ind w:right="411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5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2024, 2023 and 2022 was $141,892, $140,033 and $134,256, respectively. The following is a summary of the estimated amortization expense for future years: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135,374</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127,362</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123,359</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116,832</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108,303</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451,371</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1,062,601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is party to various operating leases for production facilities, vehicles and sites upon which advertising structures are built, including our billboard land leases, leases of logo structures and leases of transit advertising space. The leases expire at various dates, have varying options to renew and cancel, and may contain escalation provisions. We expense our non-variable lease payments ratably over the lease term. Also, certain of our leases contain variable lease payments based on percentage of revenue or consumer price index or other inflation-based indices. The variable lease costs are expensed in the period incurred. Due to our election not to reassess conclusions about lease identification, as part of the adoption of ASC 842, our transit agreements were accounted for as leases on January 1, 2019. As we enter into new or renew current transit agreements, those agreements will not likely meet the criteria of a lease under ASC 842, therefore they will no longer be accounted for as a lease.</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Financing lease right of use assets are amortized over the life of the lease which is recorded in depreciation and amortization on the Consolidated Statements of Income and Comprehensive Income. Interest related to financing lease liabilities is recorded in interest expense on the Consolidated Statements of Income and Comprehensive Income.</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key estimates for our leases include (1) the discount rate used to discount the unpaid lease payment to present value and (2) lease term. Our leases generally do not include a readily determinable implicit rate, therefore, using a portfolio approach, we determine our collateralized incremental borrowing rate to discount the lease payment based on the information available at lease commencement. Our lease terms include the noncancellable period of the lease plus any additional periods covered by either a Company option to extend (or not to terminate) the lease that the Company is reasonably certain to exercise, or an option to extend the lease controlled by the lessor. The Company has determined we are not reasonably certain to exercise renewals or termination options, and as a result we use the lease’s initial stated term as the lease term for our lease population.</w:t>
      </w:r>
    </w:p>
    <w:p>
      <w:pPr>
        <w:spacing w:after="0" w:line="18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we had base operating lease costs of $319,058 and variable operating lease costs of $64,682, for a total operating lease cost of $383,740. During the year ended December 31, 2023, we had base operating lease costs of $311,640 and variable operating lease costs of $60,147, for a total operating lease cost of $371,787. During the year ended December 31, 2022, we had base operating lease costs of $306,825 and variable operating lease costs of $59,651, for a total operating lease cost of $366,476. Our operating lease costs are recorded in direct advertising expenses (exclusive of depreciation and amortization). Also, for the years ended December 31, 2024, 2023 and 2022, we recorded a gain of $403, $295 and $824 respectively, in gain on disposition of assets related to the amendment and termination of lease agreements. Cash payments of $320,053, $310,863 and $298,831 were made reducing our operating lease liabilities for the years ended December 31, 2024, 2023 and 2022, respectively, and are included in cash flows provided by operating activities in the Consolidated Statements of Cash Flows.</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elected the short-term lease exemption which applies to certain of our vehicle agreements. This election allows the Company to not recognize lease right of use assets or lease liabilities for agreements with a term of twelve months or less. We recorded $10,439, $10,189 and $7,478 in direct advertising expenses (exclusive of depreciation and amortization) for these agreements during the years ended December 31, 2024, 2023 and 2022, respectively.</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operating leases have a weighted-average remaining lease term of 12.2 years. The weighted-average discount rate of our operating leases is 5.2%. During the years ended December 31, 2024 and 2023, we obtained $24,627 and $24,999,</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respectively, of leased assets in exchange for new operating lease liabilities, which includes liabilities obtained through acquisitions. Lease terminations during the year resulted in a $5,068 and $10,635 reduction to operating lease liabilities for the years ended December 31, 2024 and 2023,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the maturities of our operating lease liabilities as of December 31, 2024:</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9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257,371</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202,651</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178,355</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153,861</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131,753</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915,090</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1,839,081</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(506,566)</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1,332,515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and 2023, we obtained no new leased assets in exchange for new financing lease liabilities. Our financing leases have a weighted-average remaining lease term of 2.9 years and a weighted-average discount rate of 3.1%. For the years ended December 31, 2024, 2023 and 2022, amortization expense of $2,853 was recorded within depreciation and amortization and interest expense of $463, $504 and $544, was recorded within interest expense, respectively, on the Consolidated Statements of Income and Comprehensive Income in relation to these financing lease liabilities. Cash payments of $1,331 were made reducing our financing lease liabilities for the years ended December 31, 2024, 2023 and 2022 and are included in cash flows used in financing activities in the Consolidated Statements of Cash Flows.</w:t>
      </w:r>
    </w:p>
    <w:p>
      <w:pPr>
        <w:spacing w:after="0" w:line="18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Due to our election not to reassess conclusions about lease identification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our transit agreements were accounted for as leases on January 1, 2019. As we enter into new or renew current transit agreements, those agreements do not meet the criteria of a lease under ASC 842, therefore they are no longer accounted for as a lease. For the years ended December 31, 2024, 2023 and 2022, non-lease variable transit expenses were $97,099, $87,688 and $78,877, respectively. These transit expenses are recorded in direct advertising expenses (exclusive of depreciation and amortization) on the Consolidated Statements of Income and Comprehensive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accrued expenses at December 31,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21,903</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23,322</w:t>
            </w:r>
          </w:p>
        </w:tc>
      </w:tr>
      <w:tr>
        <w:trPr>
          <w:trHeight w:val="229"/>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benefits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lease and contract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30,375</w:t>
            </w:r>
          </w:p>
        </w:tc>
      </w:tr>
      <w:tr>
        <w:trPr>
          <w:trHeight w:val="230"/>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7,936</w:t>
            </w:r>
          </w:p>
        </w:tc>
      </w:tr>
      <w:tr>
        <w:trPr>
          <w:trHeight w:val="230"/>
        </w:trPr>
        <w:tc>
          <w:tcPr>
            <w:tcW w:w="8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w:t>
            </w:r>
          </w:p>
        </w:tc>
      </w:tr>
      <w:tr>
        <w:trPr>
          <w:trHeight w:val="248"/>
        </w:trPr>
        <w:tc>
          <w:tcPr>
            <w:tcW w:w="84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133,943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107,195</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80" w:type="dxa"/>
            <w:vAlign w:val="bottom"/>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596,198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544,560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544,741</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3,234,301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3,210,864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2,961,058</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11"/>
                <w:szCs w:val="11"/>
                <w:color w:val="auto"/>
              </w:rPr>
            </w:pPr>
          </w:p>
        </w:tc>
        <w:tc>
          <w:tcPr>
            <w:tcW w:w="118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1,010,956</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595,077</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396,225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3,370,372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3,341,127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Long-term debt contractual maturities are as follows: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 w:type="dxa"/>
            <w:vAlign w:val="bottom"/>
          </w:tcPr>
          <w:p>
            <w:pPr>
              <w:spacing w:after="0"/>
              <w:rPr>
                <w:sz w:val="22"/>
                <w:szCs w:val="22"/>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Debt, net of</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160" w:type="dxa"/>
            <w:vAlign w:val="bottom"/>
          </w:tcPr>
          <w:p>
            <w:pPr>
              <w:spacing w:after="0"/>
              <w:rPr>
                <w:sz w:val="17"/>
                <w:szCs w:val="17"/>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846,776</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877,007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1,089,328</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p>
    <w:p>
      <w:pPr>
        <w:spacing w:after="0" w:line="1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existing senior credit facility. The Fourth Amended and Restated Credit Agreement amended and restated the Third Amended and Restated Credit Agreement dated as of May 15, 2017, as amended (the “Third Amended and Restated Credit Agreement”).</w:t>
      </w:r>
    </w:p>
    <w:p>
      <w:pPr>
        <w:spacing w:after="0" w:line="162"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color w:val="auto"/>
        </w:rPr>
        <w:t>The senior credit facility, as established by the Fourth Amended and Restated Credit Agreement (the “senior credit facility”), consists of (i) a $750,000 senior secured revolving credit facility which will mature on July 31, 2028, subject to certain conditions (see description of Amendment No. 4 below) (the “revolving credit facility”), (ii) a $600,000 senior secured Term B loan facility (the “Term B loans”) which will mature on February 6, 2027,</w:t>
      </w:r>
    </w:p>
    <w:p>
      <w:pPr>
        <w:spacing w:after="0" w:line="1" w:lineRule="exact"/>
        <w:rPr>
          <w:sz w:val="20"/>
          <w:szCs w:val="20"/>
          <w:color w:val="auto"/>
        </w:rPr>
      </w:pPr>
    </w:p>
    <w:p>
      <w:pPr>
        <w:jc w:val="both"/>
        <w:ind w:firstLine="8"/>
        <w:spacing w:after="0" w:line="252" w:lineRule="auto"/>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 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w:t>
      </w:r>
    </w:p>
    <w:p>
      <w:pPr>
        <w:spacing w:after="0" w:line="190"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Term B loans mature on February 6, 2027 with no required amortization payments. The Term B loans bear interest at rates based on the Term Secured Overnight Financing Rate ("Term SOFR") plus a credit spread adjustment of 0.10% (Term SOFR plus such credit spread adjustment, the "Adjusted Term SOFR Rate") or the Adjusted Base Rate, at Lamar Media’s option. Term B loans bearing interest at a rate based on Term SOFR bear interest at a rate per annum equal to the Adjusted Term SOFR Rate plus 1.50%. Term B loans bearing interest at a rate based on the Adjusted Base Rate bear interest at a rate per annum equal to the Adjusted Base Rate plus 0.50%.</w:t>
      </w:r>
    </w:p>
    <w:p>
      <w:pPr>
        <w:spacing w:after="0" w:line="183"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revolving credit facility bears interest at rates based on Term SOFR ("Term SOFR revolving loans”) or the Adjusted Base Rate (“Base Rate revolving loans”), at Lamar Media’s option. Term SOFR revolving loans bear interest at a rate per annum equal to the Adjusted Term SOFR Rate plus 1.50% (or the Adjusted Term SOFR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87"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On July 29, 2022, Lamar Media entered into Amendment No. 2 ("Amendment No. 2") to the Fourth Amended and Restated Credit Agreement with certain of Lamar Media's subsidiaries as guarantors, JPMorgan Chase Bank, N.A. as administrative agent and the lenders party thereto. Amendment No. 2 established the Term A loans as a new class of incremental term loans. The Term A loans were set to mature on February 6, 2025 with no required amortization payments prior to maturity and bore interest at rates based on the Term SOFR ("Term SOFR Term A loans") or the Adjusted Base Rate ("Base Rate Term A loans"), at Lamar Media's option. Term SOFR Term A loans bore interest at a rate per annum equal to the Adjusted Term SOFR Rate plus 1.50% (or the Adjusted Term SOFR Rate plus 1.25% at any time the Total Debt Ratio is less than or equal to 3.25 to 1). Base Rate Term A loans bore interest at a rate per annum equal to the Adjusted Base Rate plus 0.50% (or the Adjusted Base Rate plus 0.25% at any time the total debt ratio is less than or equal to 3.25 to 1). The covenants, events of default and other terms of the senior credit facility apply to the Term A loans. Lamar Media borrowed all $350,000 in Term A loans on July 29, 2022. Proceeds from the Term A loans were used to repay outstanding balances on the revolving credit facility and a portion of the outstanding balance on the Accounts Receivable Securitization Program. The Term A loans were subsequently repaid in full on July 31, 2024.</w:t>
      </w:r>
    </w:p>
    <w:p>
      <w:pPr>
        <w:spacing w:after="0" w:line="19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April 26, 2023, Lamar Media entered into Amendment No. 3 ("Amendment No. 3") to the Fourth Amended and Restated Credit Agreement with certain of Lamar Media's subsidiaries as guarantors, JPMorgan Chase Bank N.A. as administrative agent and the lenders party thereto. Amendment No. 3 replaced the London Interbank Offered Rates as administered by the ICE Benchmark Administration with Term SOFR as the successor rate, as set in the Fourth Amended and Restated Credit Agreement. All other material terms and conditions of the Fourth Amended and Restated Credit Agreement remain unchanged by Amendment No. 3.</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July 31, 2023, Lamar Media entered into Amendment No. 4 ("Amendment No. 4"), to the Fourth Amended and Restated Credit Agreement with certain of Lamar Media's subsidiaries as guarantors, JPMorgan Chase Bank, N.A. as administrative agent and the lenders party thereto. Amendment No. 4 extends the maturity date of Lamar Media's $750,000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revolving credit facility such that the revolving credit facility matures July 31, 2028; provided, that, if on the date (a "Springing Maturity Test Date") that is 91 days prior to either the then scheduled maturity date of Lamar Media's Term B loans (which is currently February 6, 2027) or the February 15, 2028 maturity date of Lamar Media's 3 3/4% Notes, the Company and its restricted subsidiaries do not have sufficient liquidity (defined as unrestricted cash and cash equivalents of the Company and its restricted subsidiaries plus unused commitments under the revolving credit facility) to repay in full the aggregate outstanding amount (including all accrued and unpaid interest, premiums and make-whole amounts (if any)) of the Term B loans or the 3 3/4% Notes (as applicable), the revolving credit facility will mature on such Springing Maturity Test Date. On the maturity date of the revolving credit facility, the entire principal amount of revolving loans outstanding under the revolving credit facility, together with all accrued and unpaid interest on such revolving loans, will be due and payable.</w:t>
      </w:r>
    </w:p>
    <w:p>
      <w:pPr>
        <w:spacing w:after="0" w:line="19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Amendment No. 4 also establishes a $75,000 swingline as a sublimit of the revolving credit facility, which allows Lamar Media to borrow revolving loans on a same-day basis, in an aggregate outstanding principal amount of up to $75,000. In addition, Amendment No. 4 amends the provisions of the Fourth Amended and Restated Credit Agreement related to incremental facilities to allow Lamar Media to establish, from time to time, one or more new incremental revolving facilities on the terms, and subject to the conditions, set forth therein.</w:t>
      </w:r>
    </w:p>
    <w:p>
      <w:pPr>
        <w:spacing w:after="0" w:line="180"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2024, there were $284,000 in outstanding borrowings under the revolving credit facility. Availability under the revolving credit facility is reduced by the amount of any letters of credit outstanding. Lamar Media had $8,789 in letters of credit outstanding as of December 31, 2024 resulting in $457,211 of availability under the revolving credit facility. Revolving credit loans may be requested under the revolving credit facility at any time prior to its maturity on July 31, 2028.</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terms of Lamar Media’s senior credit facility and the indentures relating to Lamar Media’s outstanding notes restrict, among other things, the ability of Lamar Advertising and Lamar Media to:</w:t>
      </w:r>
    </w:p>
    <w:p>
      <w:pPr>
        <w:spacing w:after="0" w:line="54" w:lineRule="exact"/>
        <w:rPr>
          <w:sz w:val="20"/>
          <w:szCs w:val="20"/>
          <w:color w:val="auto"/>
        </w:rPr>
      </w:pPr>
    </w:p>
    <w:p>
      <w:pPr>
        <w:ind w:left="1140" w:hanging="565"/>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repay debt;</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also restricted under the terms of these agreements. Under the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Advertising and Lamar Media were in compliance with all of the terms of their indentures and the senior credit facility provisions during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Program</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(the "Accounts Receivable Securitization Program"). The Accounts Receivable Securitization Program is limited to the availability of eligible accounts receivable collateralizing the borrowings under the agreements governing the Accounts Receivable Securitization Program.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83"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June 24, 2022, Lamar Media and the Special Purpose Subsidiaries entered into the Sixth Amendment (the "Sixth Amendment") to the Receivables Financing Agreement. The Sixth Amendment increased the Accounts Receivable Securitization Program from $175,000 to $250,000 and extended the maturity date of the Accounts Receivable Securitization Program to July 21, 2025. Additionally, the Sixth Amendment provides for the replacement of LIBOR-based interest rate mechanics with Term SOFR based interest rate mechanics for the Accounts Receivable Securitization Program.</w:t>
      </w:r>
    </w:p>
    <w:p>
      <w:pPr>
        <w:spacing w:after="0" w:line="180"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The Accounts Receivable Securitization Program was set to mature on July 21, 2025, but was subsequently extended to October 15, 2027 by the Seventh Amendment to the Receivables Financing Agreement dated October 15, 2024; provided, that, if on the date (a “Securitization Springing Maturity Test Date”) that is 91 days prior to the then scheduled maturity date of Lamar Media’s Term Loan B loans (which is currently February 6, 2027), (a) any of the outstanding Term B loans has a scheduled maturity date prior to the date that is 91 days prior to the then scheduled maturity date of Lamar Media’s revolving credit facility (which is currently July 31, 2028) and (b) the Company and its restricted subsidiaries do not have sufficient liquidity (defined as (i) unused commitments under the revolving credit facility plus (ii) unrestricted cash and cash equivalents of the Company and its restricted subsidiaries plus</w:t>
      </w:r>
    </w:p>
    <w:p>
      <w:pPr>
        <w:spacing w:after="0" w:line="5" w:lineRule="exact"/>
        <w:rPr>
          <w:sz w:val="20"/>
          <w:szCs w:val="20"/>
          <w:color w:val="auto"/>
        </w:rPr>
      </w:pPr>
    </w:p>
    <w:p>
      <w:pPr>
        <w:jc w:val="both"/>
        <w:ind w:firstLine="8"/>
        <w:spacing w:after="0" w:line="253" w:lineRule="auto"/>
        <w:tabs>
          <w:tab w:leader="none" w:pos="3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availability under the Accounts Receivable Securitization Program) to repay in full the aggregate outstanding amount (including all accrued and unpaid interest, premiums and make-whole amounts (if any)) of the Term Loan B loans, then the Accounts Receivable Securitization Program will mature on such Securitization Springing Maturity Test Date. Lamar Media may amend the facility to further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As of December 31, 2024, there was $250,000 outstanding aggregate borrowings under the Accounts Receivable Securitization Program. Lamar Media had no additional availability for borrowing under the Accounts Receivable Securitization Program as of December 31, 2024. The commitment fees based on the amount of unused commitments under the Accounts Receivable Securitization Program were immaterial during the year ended December 31, 2024.</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Consolidated Balance Sheets, (ii) our Consolidated Statements of Income and Comprehensive Income reflect the associated charges for bad debt expense (a component of general and administrative 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Consolidated Statements of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Senior Notes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At any time prior to February 15, 2025, Lamar Media may redeem some or all of the 4% Notes at a price equal to 100% of the aggregate principal amount, plus accrued and unpaid interest thereon and a make-whole premium. On or after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3/4% Senior Notes</w:t>
      </w:r>
    </w:p>
    <w:p>
      <w:pPr>
        <w:spacing w:after="0" w:line="11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4 7/8% Senior Notes</w:t>
      </w:r>
    </w:p>
    <w:p>
      <w:pPr>
        <w:spacing w:after="0" w:line="11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5/8% Senior Notes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Exchange Offers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2020, the Company completed a subsequent exchange offer with respect to each of the 4% Notes, 3 3/4% Notes, and 4 7/8% Notes, in each case, for substantially identical notes registered under the Securities Act of 1933, as amended. In September 2021, the Company completed a subsequent exchange offer with respect to the 3 5/8% Notes for substantially identical notes registered under the Securities Act of 1933, as amended.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 Program</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authorized Lamar Media to repurchase up to $250,000 outstanding senior or senior subordinated notes and other indebtedness outstanding from time to time under its Fourth Amended and Restated Credit Agreement. On September 24, 2024, the Board of Directors authorized the extension of the repurchase program through March 31, 2026. There were no repurchases under the program as of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(10)Asset Retirement Obligation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 includes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390,442</w:t>
            </w:r>
          </w:p>
        </w:tc>
      </w:tr>
      <w:tr>
        <w:trPr>
          <w:trHeight w:val="230"/>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29"/>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Revision in estimates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29"/>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23"/>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397,991</w:t>
            </w:r>
          </w:p>
        </w:tc>
      </w:tr>
      <w:tr>
        <w:trPr>
          <w:trHeight w:val="230"/>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9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 in estimates</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215,899</w:t>
            </w:r>
          </w:p>
        </w:tc>
      </w:tr>
      <w:tr>
        <w:trPr>
          <w:trHeight w:val="229"/>
        </w:trPr>
        <w:tc>
          <w:tcPr>
            <w:tcW w:w="9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expense</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r>
      <w:tr>
        <w:trPr>
          <w:trHeight w:val="230"/>
        </w:trPr>
        <w:tc>
          <w:tcPr>
            <w:tcW w:w="9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Liabilities settled</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614,713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Revision in estimates in December 31, 2024 of $215,899 reflects changes in cost estimates to remove structures and resurface land for structures that reside on leased land in the Company's outdoor advertising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(11)Depreciation and Amortization</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includes all categories of depreciation and amortization on a separate line in its Consolidated Statements of Income and Comprehensive Income. The amounts of depreciation and amortization expense excluded from the following operating expenses in its Consolidated Statements of Income and Comprehensive Income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advertising expenses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439,933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273,297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330,357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r>
      <w:tr>
        <w:trPr>
          <w:trHeight w:val="223"/>
        </w:trPr>
        <w:tc>
          <w:tcPr>
            <w:tcW w:w="70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349,449</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amount of depreciation and amortization expense excluded from direct advertising expense for the year ended December 31, 2024 is due to the revision in the removal cost estimate included in the calculation of asset retirement obligations during the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(12)Income Taxes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Commencing January 1, 2014, the Company began operating as a REIT for U.S. income tax purposes. Since operating as a REIT, the Company filed, and intends to continue to file, as a REIT, and its TRSs filed, and intend to continue to file, as C corporations. The Company also files tax returns in various states and countries. The Company’s state tax returns reflect different combinations of the Company’s subsidiaries and are dependent on the connection each subsidiary has with a particular state. The following information pertains to the Company’s income taxes on a consolidated basis.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2022</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income taxes receivable of $2,104 which was recorded within other current assets on the Consolidated Balance Sheets. As of December 31, 2024 and 2023, the Company had income taxes payable of $199 and $36, respectively, which was recorded within accrued expenses on the Consolidated Balance Sheets.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U.S. and foreign components of earnings before income taxes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368,924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509,040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446,395</w:t>
            </w:r>
          </w:p>
        </w:tc>
      </w:tr>
      <w:tr>
        <w:trPr>
          <w:trHeight w:val="230"/>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r>
      <w:tr>
        <w:trPr>
          <w:trHeight w:val="248"/>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367,470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506,618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456,099</w:t>
            </w: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 reconciliation of significant differences between the reported amount of income tax expense and the expected amount of income tax expense that would result from applying the U.S. federal statutory income tax rate of 21 percent to income before taxes for the 2024, 2023 and 2022 tax years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95,781</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Tax adjustment related to REIT</w:t>
            </w:r>
            <w:r>
              <w:rPr>
                <w:rFonts w:ascii="Times New Roman" w:cs="Times New Roman" w:eastAsia="Times New Roman" w:hAnsi="Times New Roman"/>
                <w:sz w:val="26"/>
                <w:szCs w:val="26"/>
                <w:color w:val="auto"/>
                <w:vertAlign w:val="superscript"/>
              </w:rPr>
              <w: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(86,793)</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 expenses not deductible for tax purposes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Valuation allowance</w:t>
            </w:r>
            <w:r>
              <w:rPr>
                <w:rFonts w:ascii="Times New Roman" w:cs="Times New Roman" w:eastAsia="Times New Roman" w:hAnsi="Times New Roman"/>
                <w:sz w:val="26"/>
                <w:szCs w:val="26"/>
                <w:color w:val="auto"/>
                <w:vertAlign w:val="superscript"/>
              </w:rPr>
              <w:t>(b)</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Undistributed earnings of foreign subsidiaries</w:t>
            </w:r>
            <w:r>
              <w:rPr>
                <w:rFonts w:ascii="Times New Roman" w:cs="Times New Roman" w:eastAsia="Times New Roman" w:hAnsi="Times New Roman"/>
                <w:sz w:val="26"/>
                <w:szCs w:val="26"/>
                <w:color w:val="auto"/>
                <w:vertAlign w:val="superscript"/>
              </w:rPr>
              <w:t>(c)</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Jurisdictional tax rate change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Other differences, net</w:t>
            </w:r>
            <w:r>
              <w:rPr>
                <w:rFonts w:ascii="Times New Roman" w:cs="Times New Roman" w:eastAsia="Times New Roman" w:hAnsi="Times New Roman"/>
                <w:sz w:val="26"/>
                <w:szCs w:val="26"/>
                <w:color w:val="auto"/>
                <w:vertAlign w:val="superscript"/>
              </w:rPr>
              <w:t>(d)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dividend paid deduction of $121,466, $107,137 and $106,129 for the tax years ended December 31, 2024, 2023 and 2022, respectively.</w:t>
      </w:r>
    </w:p>
    <w:p>
      <w:pPr>
        <w:spacing w:after="0" w:line="200" w:lineRule="exact"/>
        <w:rPr>
          <w:rFonts w:ascii="Times New Roman" w:cs="Times New Roman" w:eastAsia="Times New Roman" w:hAnsi="Times New Roman"/>
          <w:sz w:val="16"/>
          <w:szCs w:val="16"/>
          <w:color w:val="auto"/>
        </w:rPr>
      </w:pPr>
    </w:p>
    <w:p>
      <w:pPr>
        <w:spacing w:after="0" w:line="394"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81" w:lineRule="exact"/>
        <w:rPr>
          <w:sz w:val="20"/>
          <w:szCs w:val="20"/>
          <w:color w:val="auto"/>
        </w:rPr>
      </w:pPr>
    </w:p>
    <w:p>
      <w:pPr>
        <w:ind w:left="340" w:hanging="332"/>
        <w:spacing w:after="0" w:line="280" w:lineRule="auto"/>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2024, 2023 and 2022, a non-cash valuation allowance of $548, $875 and ($14,984), respectively, was recorded to income tax expense (benefit) due to our limited ability to utilize Puerto Rico and Canada deferred tax assets in future years.</w:t>
      </w:r>
    </w:p>
    <w:p>
      <w:pPr>
        <w:spacing w:after="0" w:line="16" w:lineRule="exact"/>
        <w:rPr>
          <w:rFonts w:ascii="Times New Roman" w:cs="Times New Roman" w:eastAsia="Times New Roman" w:hAnsi="Times New Roman"/>
          <w:sz w:val="16"/>
          <w:szCs w:val="16"/>
          <w:color w:val="auto"/>
        </w:rPr>
      </w:pPr>
    </w:p>
    <w:p>
      <w:pPr>
        <w:ind w:left="340" w:right="20" w:hanging="332"/>
        <w:spacing w:after="0" w:line="280" w:lineRule="auto"/>
        <w:tabs>
          <w:tab w:leader="none" w:pos="36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does not assert that the undistributed earnings of our Canadian subsidiaries will be permanently reinvested. For the years ended December 31, 2024, 2023 and 2022, we recognized a deferred tax benefit of $55, $95 and $84, respectively, for future foreign withholding taxes related to undistributed earnings.</w:t>
      </w:r>
    </w:p>
    <w:p>
      <w:pPr>
        <w:spacing w:after="0" w:line="16"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9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Under Section 1031.01(b)(10) of the 2011 Puerto Rico Code, net operating losses and the tax basis of any other assets shall be reduced for forgiveness of debt to the extent by which the taxpayer is insolvent. As a result, a non-cash expense of $15,201 was recorded to income tax expense for the reduction of Puerto Rico deferred tax assets for the year ended December 31, 2022. The Puerto Rico income tax withholding rate applicable on the accrued interest of the debt is </w:t>
      </w:r>
      <w:r>
        <w:rPr>
          <w:rFonts w:ascii="Times New Roman" w:cs="Times New Roman" w:eastAsia="Times New Roman" w:hAnsi="Times New Roman"/>
          <w:sz w:val="17"/>
          <w:szCs w:val="17"/>
          <w:color w:val="auto"/>
        </w:rPr>
        <w:t>29%</w:t>
      </w:r>
      <w:r>
        <w:rPr>
          <w:rFonts w:ascii="Times New Roman" w:cs="Times New Roman" w:eastAsia="Times New Roman" w:hAnsi="Times New Roman"/>
          <w:sz w:val="16"/>
          <w:szCs w:val="16"/>
          <w:color w:val="auto"/>
        </w:rPr>
        <w:t>. As a result, for the year ended December 31, 2022, a cash expense of $5,068 was recorded to income tax expense.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tax effect of temporary differences that give rise to significant portions of the deferred tax assets and liabilities are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Charitable contributions carry forward</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23"/>
        </w:trPr>
        <w:tc>
          <w:tcPr>
            <w:tcW w:w="8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1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 not deducted for tax purposes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3"/>
        </w:trPr>
        <w:tc>
          <w:tcPr>
            <w:tcW w:w="8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w:t>
            </w: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2024, we have approximately $8,627 of U.S. net operating loss carry forwards to offset future taxable income all of which is subject to Internal Revenue Code §382 limitation but will be available to be fully utilized by no later than 2027. These carry forwards expire between 2032 through 2037.</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2024, we have approximately $1,427,833 of state net operating loss carry forwards before valuation allowances. These state net operating losses are available to reduce future taxable income and expire at various times and amounts. In addition, we have $47 of various credits available to offset future state income tax.</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2024, we had approximately $11,867 of Canadian net operating loss carry forwards before valuation allowances. These Canadian net operating losses are available to offset future taxable income. These carry forwards expire between 2026 and 2044.</w:t>
      </w:r>
    </w:p>
    <w:p>
      <w:pPr>
        <w:spacing w:after="0" w:line="16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forwards governed by the tax code. Based on the current level of pretax earnings, the Company will not generate the minimum amount of future taxable income to support the realization of the deferred tax assets. As a result, management has determined that a valuation allowance related to Canada net operating loss carry forwards and other deferred tax assets is necessary. The valuation allowance for Canada deferred tax assets as of December 31, 2024 and 2023 was $3,402 and $1,235, respectively. For this same reason, there was also a valuation allowance for Puerto Rico deferred tax assets as of December 31, 2023 of $4,098. Our Puerto Rico subsidiaries were dissolved during the year ended December 31, 2024. The net change in the total valuation allowance for the years ended December 31, 2024 and 2023 was a (decrease) increase of $(1,931) and $898, respectively. The amount of the deferred tax asset considered realizable, however, could be adjusted in the near term if estimates of future taxable income during the carry forward period increase.</w:t>
      </w:r>
    </w:p>
    <w:p>
      <w:pPr>
        <w:spacing w:after="0" w:line="189"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accumulated undistributed earnings generated by our foreign subsidiaries of approximately $14,162. Management does not designate these earnings as permanently reinvested and has recognized a deferred tax liability of approximately $708 related to foreign withholding taxes on these earnings. We have recognized a current year tax benefit of $55 related to 2024 earnings.</w:t>
      </w:r>
    </w:p>
    <w:p>
      <w:pPr>
        <w:spacing w:after="0" w:line="174" w:lineRule="exact"/>
        <w:rPr>
          <w:sz w:val="20"/>
          <w:szCs w:val="20"/>
          <w:color w:val="auto"/>
        </w:rPr>
      </w:pPr>
    </w:p>
    <w:p>
      <w:pPr>
        <w:jc w:val="both"/>
        <w:ind w:right="20" w:firstLine="567"/>
        <w:spacing w:after="0" w:line="284" w:lineRule="auto"/>
        <w:rPr>
          <w:sz w:val="20"/>
          <w:szCs w:val="20"/>
          <w:color w:val="auto"/>
        </w:rPr>
      </w:pPr>
      <w:r>
        <w:rPr>
          <w:rFonts w:ascii="Times New Roman" w:cs="Times New Roman" w:eastAsia="Times New Roman" w:hAnsi="Times New Roman"/>
          <w:sz w:val="18"/>
          <w:szCs w:val="18"/>
          <w:color w:val="auto"/>
        </w:rPr>
        <w:t xml:space="preserve">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As of December 31, 2024, 2023, and 2022, there are $2,626, $4,432, and $5,544 of unrecognized tax benefits that, if recognized would impact our effective tax rate. The Company recognizes interest accrued related to unrecognized tax benefits in interest expense and penalties in operating expenses. During the year ended December 31, 2024, we recognized a benefit to interest and penalties of $71. During the years ended December 31, 2023, and 2022, we recognized $76 and $212 of expense in interest and penalties, respectively. The Company had $1,325 and $1,396 of interest and penalties accrued at December 31, 2024 and 2023, respectively.</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Within the next twelve months, we expect to decrease our unrecognized tax benefits by approximately $1,560 as a result of the expiration of statute of limitations.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2021, or for any U.S. state income tax audit prior to 2021. With respect to Canada and Puerto Rico, we are no longer subject to income tax audits for years before 2021 and 2020, respectively.</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As of January 1, 2024, we and our subsidiaries are subject to the OECD Pillar Two Rules. The Pillar Two Rules can potentially lead to additional taxes when the effective tax rate (as defined by the Pillar Two Rules) in a jurisdiction is below 15%. While it is uncertain whether the U.S. will enact Pillar Two legislation, Canada where the Company operates has enacted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Pillar Two legislation. The Pillar Two Rules, however, do not apply to “Excluded Entities” considered “Real Estate Investment Vehicles” and certain subsidiaries of Excluded Entities. The majority of our entities qualify as excluded entities.</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those entities not considered Excluded Entities, Pillar Two did not have a material impact on the Company’s effective tax rate or the Company’s Consolidated Statements of Operations and Comprehensive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(13)Related Party Transactions</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Affiliates, as used within these statements, are persons or entities that are affiliated with Lamar Advertising Company or its subsidiaries through common ownership and directorate control.</w:t>
      </w:r>
    </w:p>
    <w:p>
      <w:pPr>
        <w:spacing w:after="0" w:line="162"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RTC Holdings, LLC (“RTC”), a telecommunications company, is 100% owned by entities owned by members of the Reilly family. Entities owned by Sean E. Reilly, President and Chief Executive Officer of the Company; Kevin P. Reilly, Jr., Executive Chairman of the Board of Directors; and members of their respective immediate families hold a majority stake in RTC of approximately 89%. The Reilly Family, LLC, which is owned by Sean E. Reilly, Kevin P. Reilly, Jr., members of our Board of Directors Anna Reilly and Wendell Reilly, and entities owned by each of them and members of their respective immediate families, holds the remaining minority stake in RTC of approximately 11%. On May 31, 2019, RTC acquired EATELCORP, LLC (“EATEL”) and its subsidiaries. EATEL provides phone and internet services to consumers and businesses in Louisiana. EATEL also provides data back-up and recovery services to businesses. During the years ended December 31, 2024 and 2023, the Company was a customer of EATEL for data back-up and recovery services. The aggregate amount paid by the Company to EATEL for such services was $23 and $84 for the years ended December 31, 2024 and 2023, respectively. The Company was also contracted by EATEL to provide advertising services in the aggregate amount of $230 and $206 for the years ended December 31, 2024 and 2023, respectively.</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had $162 and $274 receivables from employees or executive officers at December 31, 2024 and 2023, respectively.</w:t>
      </w:r>
    </w:p>
    <w:p>
      <w:pPr>
        <w:spacing w:after="0" w:line="225"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July 12, 2021, Lamar invested $30,000 to acquire a 20% minority interest in Vistar, a leading global developer of programmatic technology for the digital out-of-home sector. For the years ended December 31, 2024, 2023 and 2022, the Company recognized revenue of $25,333, $12,050 and $13,074, respectively, from advertisements generated through Vistar's programmatic technology platform. We also incurred expenses of $2,499, $1,134 and $1,167 related to these advertisements and other digital technology agreements with Vistar for the years ended December 31, 2024, 2023 and 2022, respectively. See Note 23, "Subsequent Events" for additional information regarding the Company's interest in Vistar.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(14)Stockholders’ Equity</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July 16, 1999, the Board of Directors designated 5,720 shares of the 1,000,000 shares of previously undesignated preferred stock, par value $.001, as Series AA preferred stock, which shares were subsequently exchanged on a one for one basis in the REIT conversion. The Series AA preferred stock ranks senior to the Class A common stock and Class B common stock with respect to dividends and upon liquidation. Holders of Series AA preferred stock are entitled to receive, on a pari passu basis, dividends at the rate of $15.95 per share per quarter when, as and if declared by the Board of Directors. The Series AA preferred stock is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2024 was $3,649. The Series AA preferred stock is entitled to one vote per share.</w:t>
      </w:r>
    </w:p>
    <w:p>
      <w:pPr>
        <w:spacing w:after="0" w:line="19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 common stock upon the sale or transfer to persons other than permitted transferees (as defined in the Company’s certificate of incorporation, as amended).</w:t>
      </w:r>
    </w:p>
    <w:p>
      <w:pPr>
        <w:spacing w:after="0" w:line="72"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On July 24, 2024, the Company entered into an equity distribution agreement, or At-the-Market Offering agreement, (the "2024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which expired by its terms on June 21, 2024. Under the terms of the 2024 Sales Agreement, the Company may, from time to time, issue and sell shares of its Class A common stock, having an aggregate offering price of up to $400,000, through the Sales Agents as either agents or principals.</w:t>
      </w:r>
    </w:p>
    <w:p>
      <w:pPr>
        <w:spacing w:after="0" w:line="183"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2024 Sales Agreement and may at any time suspend solicitations and offers under the 2024 Sales Agreement.</w:t>
      </w:r>
    </w:p>
    <w:p>
      <w:pPr>
        <w:spacing w:after="0" w:line="18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As of December 31, 2024, no shares of our Class A common stock have been sold under the 2024 Sales Agreement or were sold under the prior Sales Agreement and accordingly $400,000 remained available to be sold under the 2024 Sales Agreement as of December 31, 2024.</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On July 24, 2024, the Company filed an automatically effective shelf registration statement that allows Lamar Advertising to offer and sell an indeterminate amount of additional shares of its Class A common stock. The shelf registration statement replaced a prior shelf registration statement which expired. As of December 31, 2024, the Company did not issue any shares under its shelf registration statements.</w:t>
      </w:r>
    </w:p>
    <w:p>
      <w:pPr>
        <w:spacing w:after="0" w:line="176"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Company’s Board of Directors has authorized the repurchase of up to $250,000 of the Company’s Class A common stock. On September 24, 2024, the Board of Directors authorized the extension of the repurchase program through March 31, 2026. There were no repurchases under the program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(15)Stock Compensation Plans</w:t>
      </w:r>
    </w:p>
    <w:p>
      <w:pPr>
        <w:spacing w:after="0" w:line="119"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Incentive Plan. </w:t>
      </w:r>
      <w:r>
        <w:rPr>
          <w:rFonts w:ascii="Times New Roman" w:cs="Times New Roman" w:eastAsia="Times New Roman" w:hAnsi="Times New Roman"/>
          <w:sz w:val="18"/>
          <w:szCs w:val="18"/>
          <w:color w:val="auto"/>
        </w:rPr>
        <w:t>Lamar’s 1996 Equity Incentive Plan, as amended, (the “1996 Plan”) has reserved 17.5 million shares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issuance to directors and employees, including shares underlying granted options and common stock reserved for issuance under its performance-based incentive and LTIP Unit programs. Options granted under the 1996 Plan expire ten years from the grant date with vesting terms ranging from three to five years which primarily includes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76"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 xml:space="preserve">In February 2013, the 1996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is required to classify the awards affected by the amendment as liability-classified awards at fair value each period prior to their settlement. As of December 31, 2024 and 2023, the Company recorded a liability, in accrued expenses, of $16,404 and $7,936, respectively, related to its equity incentive awards affected by this amendment.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We use a Black-Scholes-Merton option pricing model to estimate the fair value of share-based awards. The Black-Scholes-Merton option pricing model incorporates various highly subjective assumptions, including expected term and 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18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180"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5%.</w:t>
      </w:r>
    </w:p>
    <w:p>
      <w:pPr>
        <w:spacing w:after="0" w:line="162"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We estimate option forfeitures at the time of grant and periodically revise those estimates in subsequent periods if actual forfeitures differ from those estimates. We record stock based compensation expense only for those awards expected to vest using an estimated forfeiture rate based on our historical forfeiture data.</w:t>
      </w:r>
    </w:p>
    <w:p>
      <w:pPr>
        <w:spacing w:after="0" w:line="176"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option-pricing model with the following weighted-average assumptions used: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Year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Volatility</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0" w:type="dxa"/>
            <w:vAlign w:val="bottom"/>
          </w:tcPr>
          <w:p>
            <w:pPr>
              <w:spacing w:after="0"/>
              <w:rPr>
                <w:sz w:val="1"/>
                <w:szCs w:val="1"/>
                <w:color w:val="auto"/>
              </w:rPr>
            </w:pPr>
          </w:p>
        </w:tc>
      </w:tr>
      <w:tr>
        <w:trPr>
          <w:trHeight w:val="229"/>
        </w:trPr>
        <w:tc>
          <w:tcPr>
            <w:tcW w:w="5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Information regarding stock options under the 1996 Plan for the year ended December 31, 2024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7140" w:type="dxa"/>
            <w:vAlign w:val="bottom"/>
          </w:tcPr>
          <w:p>
            <w:pPr>
              <w:spacing w:after="0"/>
              <w:rPr>
                <w:sz w:val="11"/>
                <w:szCs w:val="11"/>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0"/>
        </w:trPr>
        <w:tc>
          <w:tcPr>
            <w:tcW w:w="7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3"/>
        </w:trPr>
        <w:tc>
          <w:tcPr>
            <w:tcW w:w="714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391,015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end of year</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323,440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At December 31, 2024 there was $2,682 of unrecognized compensation cost related to stock options granted which is expected to be recognized over a weighted-average period of 1.70 years.</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Shares available for future stock option, LTIP Units and restricted share grants to employees and directors under existing plans were 1,463,374 at December 31, 2024. The aggregate intrinsic value of options outstanding as of December 31,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2024 was $9,586 and the aggregate intrinsic value of options exercisable was $7,738. Total intrinsic value of options exercised was $4,627 for the year ended December 31, 2024.</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Information regarding LTIP Units under the 1996 Plan for the year ended December 31, 2024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300" w:type="dxa"/>
            <w:vAlign w:val="bottom"/>
          </w:tcPr>
          <w:p>
            <w:pPr>
              <w:spacing w:after="0"/>
              <w:rPr>
                <w:sz w:val="12"/>
                <w:szCs w:val="12"/>
                <w:color w:val="auto"/>
              </w:rPr>
            </w:pPr>
          </w:p>
        </w:tc>
        <w:tc>
          <w:tcPr>
            <w:tcW w:w="15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80" w:type="dxa"/>
            <w:vAlign w:val="bottom"/>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3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0" w:type="dxa"/>
            <w:vAlign w:val="bottom"/>
          </w:tcPr>
          <w:p>
            <w:pPr>
              <w:spacing w:after="0"/>
              <w:rPr>
                <w:sz w:val="1"/>
                <w:szCs w:val="1"/>
                <w:color w:val="auto"/>
              </w:rPr>
            </w:pPr>
          </w:p>
        </w:tc>
      </w:tr>
      <w:tr>
        <w:trPr>
          <w:trHeight w:val="230"/>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0" w:type="dxa"/>
            <w:vAlign w:val="bottom"/>
          </w:tcPr>
          <w:p>
            <w:pPr>
              <w:spacing w:after="0"/>
              <w:rPr>
                <w:sz w:val="1"/>
                <w:szCs w:val="1"/>
                <w:color w:val="auto"/>
              </w:rPr>
            </w:pPr>
          </w:p>
        </w:tc>
      </w:tr>
      <w:tr>
        <w:trPr>
          <w:trHeight w:val="28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year</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w:t>
            </w:r>
          </w:p>
        </w:tc>
        <w:tc>
          <w:tcPr>
            <w:tcW w:w="0" w:type="dxa"/>
            <w:vAlign w:val="bottom"/>
          </w:tcPr>
          <w:p>
            <w:pPr>
              <w:spacing w:after="0"/>
              <w:rPr>
                <w:sz w:val="1"/>
                <w:szCs w:val="1"/>
                <w:color w:val="auto"/>
              </w:rPr>
            </w:pPr>
          </w:p>
        </w:tc>
      </w:tr>
      <w:tr>
        <w:trPr>
          <w:trHeight w:val="203"/>
        </w:trPr>
        <w:tc>
          <w:tcPr>
            <w:tcW w:w="830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end of year</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140,800</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93.87</w:t>
            </w: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At December 31, 2024 there was $2,346 of unrecognized compensation cost related to LITP Units granted which is expected to be recognized in the first quarter of 2025.</w:t>
      </w:r>
    </w:p>
    <w:p>
      <w:pPr>
        <w:spacing w:after="0" w:line="162"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fair value of LTIP Units granted and vested as of December 31, 2024 was $27,291 and $13,216, respectively, based on the weighted average grant date fair value per unit.</w:t>
      </w:r>
    </w:p>
    <w:p>
      <w:pPr>
        <w:spacing w:after="0" w:line="160"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Purchase Plan. </w:t>
      </w:r>
      <w:r>
        <w:rPr>
          <w:rFonts w:ascii="Times New Roman" w:cs="Times New Roman" w:eastAsia="Times New Roman" w:hAnsi="Times New Roman"/>
          <w:sz w:val="18"/>
          <w:szCs w:val="18"/>
          <w:color w:val="212529"/>
        </w:rPr>
        <w:t>On May 30, 2019, our shareholders approved Lamar Advertising’s 2019 Employee Stock Purchase Plan (the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ESPP”). The number of shares of Class A common stock available for issuance under the 2019 ESPP was automatically increased by 87,645 shares on January 1, 2024 pursuant to the automatic increase provisions of the 2019 ESPP.</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2019 ESPP share activity for the year ended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99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January 1,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242,292</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 reserved under 2019 ESPP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87,645</w:t>
            </w:r>
          </w:p>
        </w:tc>
      </w:tr>
      <w:tr>
        <w:trPr>
          <w:trHeight w:val="230"/>
        </w:trPr>
        <w:tc>
          <w:tcPr>
            <w:tcW w:w="9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(125,409)</w:t>
            </w: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future purchases, December 31, 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204,528</w:t>
            </w: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Performance-based compensation. </w:t>
      </w:r>
      <w:r>
        <w:rPr>
          <w:rFonts w:ascii="Times New Roman" w:cs="Times New Roman" w:eastAsia="Times New Roman" w:hAnsi="Times New Roman"/>
          <w:sz w:val="18"/>
          <w:szCs w:val="18"/>
          <w:color w:val="auto"/>
        </w:rPr>
        <w:t>Unrestricted shares of our Class A common stock may be awarded to key officers, employees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1996 Plan based on certain Company performance measures for fiscal year 2024. The number of shares to be issued, if any, are generally dependent on the level of achievement of these performance measures as determined by the Company’s Compensation Committee based on our 2024 results and are issued in the first quarter of 2025. The shares subject to these awards generally can range from a minimum of 0% to a maximum of 120% of the target number of shares depending on the level at which the goals are attained. Under the 1996 Plan, the Company's Compensation Committee may also award additional shares in its discretion based on other factors, which awards, if any, for 2025, will also be issued in the first quarter of 2025. Based on the Company’s performance measures achieved through December 31, 2024, the Company recorded $24,711, $11,677 and $11,545 as stock-based compensation expense related to these agreements for the years ended December 31, 2024, 2023 and 2022, respectively.</w:t>
      </w:r>
    </w:p>
    <w:p>
      <w:pPr>
        <w:spacing w:after="0" w:line="185" w:lineRule="exact"/>
        <w:rPr>
          <w:sz w:val="20"/>
          <w:szCs w:val="20"/>
          <w:color w:val="auto"/>
        </w:rPr>
      </w:pPr>
    </w:p>
    <w:p>
      <w:pPr>
        <w:jc w:val="both"/>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LTIP Units. </w:t>
      </w:r>
      <w:r>
        <w:rPr>
          <w:rFonts w:ascii="Times New Roman" w:cs="Times New Roman" w:eastAsia="Times New Roman" w:hAnsi="Times New Roman"/>
          <w:sz w:val="18"/>
          <w:szCs w:val="18"/>
          <w:color w:val="auto"/>
        </w:rPr>
        <w:t>In addition to stock compensation, the Company may issue LTIP Units of the OP, a subsidiary of the Company, to certain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directors under the 1996 Plan. Such LTIP Units are subject to vesting and forfeiture conditions based on performance criteria approved by the Compensation Committee, which generally mirrors the performance criteria applicable to the Company's performance-based compensation, as described above. The Compensation Committee may also make discretionary grants of LTIP Units based on other factors. LTIP Units are a class of units intended to qualify as "profits interests" of the OP. The LTIP Units convert into Common Units of the OP upon the occurrence of certain events. Common Units are redeemable by the holder for shares of the Company's Class A common stock after a holding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twelve months, or may be paid out in cash at the option of the general partner of the OP. As of December 31, 2024, the OP issued a total of 260,800 LTIP Units to the Company's executive officers, of which 140,800 LTIP units have vested. For the years ended December 31, 2024 and 2023, the Company recorded $13,996 and $5,347, respectively, as stock-based compensation expense related to these LTIP Units.</w:t>
      </w:r>
    </w:p>
    <w:p>
      <w:pPr>
        <w:spacing w:after="0" w:line="174" w:lineRule="exact"/>
        <w:rPr>
          <w:sz w:val="20"/>
          <w:szCs w:val="20"/>
          <w:color w:val="auto"/>
        </w:rPr>
      </w:pPr>
    </w:p>
    <w:p>
      <w:pPr>
        <w:jc w:val="both"/>
        <w:ind w:firstLine="567"/>
        <w:spacing w:after="0" w:line="267" w:lineRule="auto"/>
        <w:rPr>
          <w:sz w:val="20"/>
          <w:szCs w:val="20"/>
          <w:color w:val="auto"/>
        </w:rPr>
      </w:pPr>
      <w:r>
        <w:rPr>
          <w:rFonts w:ascii="Times New Roman" w:cs="Times New Roman" w:eastAsia="Times New Roman" w:hAnsi="Times New Roman"/>
          <w:sz w:val="18"/>
          <w:szCs w:val="18"/>
          <w:i w:val="1"/>
          <w:iCs w:val="1"/>
          <w:color w:val="auto"/>
        </w:rPr>
        <w:t>Restricted stock compensation</w:t>
      </w:r>
      <w:r>
        <w:rPr>
          <w:rFonts w:ascii="Times New Roman" w:cs="Times New Roman" w:eastAsia="Times New Roman" w:hAnsi="Times New Roman"/>
          <w:sz w:val="18"/>
          <w:szCs w:val="18"/>
          <w:color w:val="auto"/>
        </w:rPr>
        <w:t>. Annually, each non-employee director automatically receives a restricted stock award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election or re-election. The awards vest 50% on grant date and 50% on the last day of the directors' one year term. For the years ended December 31, 2024 and 2023, the Company recorded $746 and $715, respectively, in stock-based compensation expense related to these awards.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(16)Benefit Plans</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is included in accrued expenses in the accompanying consolidated financial statements. As of December 31, 2024 and 2023, the Company maintained $5,537 for both years in letters of credit with a bank to meet requirements of the Company’s worker’s compensation and general liability insurance carrier.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Savings and Profit Sharing Plan</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Company sponsors The Lamar Corporation Savings and Profit Sharing Plan covering eligible employees who have completed one year of service and are at least 21 years of age. The Company has the option to match 50% of employees’ contributions up to 5% of eligible compensation. Employees can contribute up to 100% of compensation. Full vesting on the Company’s matched contributions occurs after three years for contributions made after January 1, 2002. Annually, at the Company’s discretion, an additional profit sharing contribution may be made on behalf of each eligible employee. The Company matched contributions of $8,130, $7,265 and $6,780 for the years ended December 31, 2024, 2023 and 2022,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sponsors a Deferred Compensation Plan for the benefit of certain of its board-elected officers who meet specific age and years of service and other criteria. Officers that have attained the age of 30 and have a minimum of 10 years of service to the Company and satisfy additional eligibility guidelines are eligible for annual contributions to the plan generally ranging from $3 to $8, depending on the employee’s length of service.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 equal to the fair market value of the assets in the employee’s deferred compensation account. For the years ended December 31, 2024, 2023 and 2022, the Company contributed $2,223, $1,880 and $1,637, respectively.</w:t>
      </w:r>
    </w:p>
    <w:p>
      <w:pPr>
        <w:spacing w:after="0" w:line="18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December 8, 2005, the Company’s Board of Directors approved an amendment to the Lamar Deferred Compensation Plan in order to (1) to comply with the requirements of Section 409A of the Internal Revenue Code (“Section 409A”) applicable to deferred compensation and (2) to reflect changes in the administration of the plan. The Company’s Board of Directors also approved the adoption of a grantor trust pursuant to which amounts may be set aside, but remain subject to claims of the Company’s creditors, for payments of liabilities under the new plan, including amounts contributed under the old plan. The plan was further amended in August 2007 to make certain amendments to reflect Section 409A regulations issued on April 10, 2007. An additional clarifying amendment was made to the plan in December 2013.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(17)Commitment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Our off balance sheet commitments consist of guaranteed minimum payments to local transit municipalities and airport authorities for agreements which entitle us to rent advertising space to customers, in airports and on buses, benches or shelters. Also included are other contractual agreements that occur in the ordinary course of business which do not meet the criteria of a lease under ASC 842. The following is a summary of the minimum payments related to these agreements.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8200" w:type="dxa"/>
            <w:vAlign w:val="bottom"/>
            <w:gridSpan w:val="2"/>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LAMAR ADVERTISING COMPANY</w:t>
            </w:r>
          </w:p>
        </w:tc>
        <w:tc>
          <w:tcPr>
            <w:tcW w:w="90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820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AND SUBSIDIARIES</w:t>
            </w:r>
          </w:p>
        </w:tc>
        <w:tc>
          <w:tcPr>
            <w:tcW w:w="900" w:type="dxa"/>
            <w:vAlign w:val="bottom"/>
          </w:tcPr>
          <w:p>
            <w:pPr>
              <w:spacing w:after="0"/>
              <w:rPr>
                <w:sz w:val="18"/>
                <w:szCs w:val="18"/>
                <w:color w:val="auto"/>
              </w:rPr>
            </w:pPr>
          </w:p>
        </w:tc>
      </w:tr>
      <w:tr>
        <w:trPr>
          <w:trHeight w:val="216"/>
        </w:trPr>
        <w:tc>
          <w:tcPr>
            <w:tcW w:w="2140" w:type="dxa"/>
            <w:vAlign w:val="bottom"/>
          </w:tcPr>
          <w:p>
            <w:pPr>
              <w:spacing w:after="0"/>
              <w:rPr>
                <w:sz w:val="18"/>
                <w:szCs w:val="18"/>
                <w:color w:val="auto"/>
              </w:rPr>
            </w:pPr>
          </w:p>
        </w:tc>
        <w:tc>
          <w:tcPr>
            <w:tcW w:w="820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90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820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data)</w:t>
            </w:r>
          </w:p>
        </w:tc>
        <w:tc>
          <w:tcPr>
            <w:tcW w:w="900" w:type="dxa"/>
            <w:vAlign w:val="bottom"/>
          </w:tcPr>
          <w:p>
            <w:pPr>
              <w:spacing w:after="0"/>
              <w:rPr>
                <w:sz w:val="20"/>
                <w:szCs w:val="20"/>
                <w:color w:val="auto"/>
              </w:rPr>
            </w:pPr>
          </w:p>
        </w:tc>
      </w:tr>
      <w:tr>
        <w:trPr>
          <w:trHeight w:val="553"/>
        </w:trPr>
        <w:tc>
          <w:tcPr>
            <w:tcW w:w="21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780" w:type="dxa"/>
            <w:vAlign w:val="bottom"/>
            <w:shd w:val="clear" w:color="auto" w:fill="CFF0FC"/>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50,092</w:t>
            </w: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7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36,680</w:t>
            </w:r>
          </w:p>
        </w:tc>
      </w:tr>
      <w:tr>
        <w:trPr>
          <w:trHeight w:val="229"/>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780" w:type="dxa"/>
            <w:vAlign w:val="bottom"/>
            <w:shd w:val="clear" w:color="auto" w:fill="CFF0FC"/>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w:t>
            </w: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7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20,921</w:t>
            </w:r>
          </w:p>
        </w:tc>
      </w:tr>
      <w:tr>
        <w:trPr>
          <w:trHeight w:val="229"/>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780" w:type="dxa"/>
            <w:vAlign w:val="bottom"/>
            <w:shd w:val="clear" w:color="auto" w:fill="CFF0FC"/>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7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39,837</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1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(18)Distribution Restrictions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Lamar Media’s ability to make distributions to Lamar Advertising is restricted under both the terms of the indentures relating to Lamar Media’s outstanding notes and by the terms of the senior credit facility. As of December 31, 2024 and 2023, Lamar Media was permitted under the terms of its outstanding senior subordinated and senior notes to make transfers to Lamar Advertising in the form of cash dividends, loans or advances in amounts up to $4,677,837 and $4,438,406, respectively.</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As of December 31, 2024, the senior credit facility allows Lamar Media to make transfers to Lamar Advertising in any taxable year up to the amount of Lamar Advertising’s taxable income (without any deduction for dividends paid). In addition, as of December 31, 2024, transfers to Lamar Advertising are permitted under the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December 31, 2024 and 2023, the total debt ratio was less than 7.0 to 1 and Lamar Media’s secured debt ratio was less than 4.5 to 1, and the available cumulative credit was $3,428,317 and $3,188,886,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(19)Fair Value of Financial Instruments</w:t>
      </w:r>
    </w:p>
    <w:p>
      <w:pPr>
        <w:spacing w:after="0" w:line="121"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At December 31, 2024 and 2023,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 are reported at fair values. Fair values for investments held at cost are not readily available, but are estimated to approximate fair value. The estimated fair value of the Company’s long-term debt (including current maturities) was $3,057,776, which is less than both the gross and carrying amount of $3,234,301 as of December 31, 2024. The majority of the fair value is determined using observed prices of publicly traded debt (level 1 in the fair value hierarchy) and the remaining is valued based on quoted prices for similar debt (level 2 in the fair value hierarchy).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(20)Information about Geographic Areas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attributable to foreign countries totaled $36,465, $30,568 and $29,465 for the years ended December 31, 2024, 2023 and 2022, respectively. Net carrying value of long-lived assets located in foreign countries totaled $13,972 and $13,930 as of December 31, 2024 and 2023, respectively. All other revenues from external customers and long-lived assets relate to domestic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Reporting</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revised its segment information to reflect the adoption of ASU 2023-07 and certain changes resulting from our periodic review of factors relevant to how the chief operating decision maker (CODM) assesses performance and allocates resources in accordance with FASB ASC 280, Segment Reporting. As described in Note 1, we currently manage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through three operating segments - billboard, logo, and transit advertising. Logo and transit advertising do not meet the criteria to be reportable segments, and accordingly, are included in Other.</w:t>
      </w:r>
    </w:p>
    <w:p>
      <w:pPr>
        <w:spacing w:after="0" w:line="54"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We define the term CODM to be our executive management group, which consists of our Executive Chairman, President and Chief Executive Officer, and Chief Financial Officer. Net revenues, advertising expenses and segmented adjusted EBITDA are used to monitor expected versus actual results. Total advertising expenses is the expense category regularly provided to the CODM. There are no other expenses regularly provided to the CODM that are used to manage the segment's operations. Total advertising expenses is defined as direct advertising expenses and general and administrative expenses excluding stock-based compensation expense and capitalized contract fulfillment costs. Segment Adjusted EBITDA is the profitability metric reported to the Company's CODM for purposes of assessing the performance of each operating segment as well as to make decisions related to invested capital, personnel, operational improvement or training, or to allocate other company resources. We define adjusted EBITDA as net income before income tax (expense) benefit, interest (expense) income, equity in (loss) earnings of investee, (loss) gain on extinguishment of debt and investments, stock-based compensation, depreciation and amortization, (loss) gain on disposition of assets and investments, transaction expenses and capitalized contract fulfillment costs, net. Segment information for total assets is not presented as this information is not used by the Company’s CODM in measuring segment performance or allocating resources between segments.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1,813,995</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218,145</w:t>
            </w:r>
          </w:p>
        </w:tc>
      </w:tr>
      <w:tr>
        <w:trPr>
          <w:trHeight w:val="22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2,032,140</w:t>
            </w:r>
          </w:p>
        </w:tc>
      </w:tr>
      <w:tr>
        <w:trPr>
          <w:trHeight w:val="257"/>
        </w:trPr>
        <w:tc>
          <w:tcPr>
            <w:tcW w:w="69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829,287</w:t>
            </w:r>
          </w:p>
        </w:tc>
      </w:tr>
      <w:tr>
        <w:trPr>
          <w:trHeight w:val="229"/>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174,702</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1,003,989</w:t>
            </w:r>
          </w:p>
        </w:tc>
      </w:tr>
      <w:tr>
        <w:trPr>
          <w:trHeight w:val="256"/>
        </w:trPr>
        <w:tc>
          <w:tcPr>
            <w:tcW w:w="6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Segmented adjusted EBITDA: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984,708</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43,443</w:t>
            </w:r>
          </w:p>
        </w:tc>
      </w:tr>
      <w:tr>
        <w:trPr>
          <w:trHeight w:val="230"/>
        </w:trPr>
        <w:tc>
          <w:tcPr>
            <w:tcW w:w="696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(90,072)</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938,079</w:t>
            </w:r>
          </w:p>
        </w:tc>
      </w:tr>
    </w:tbl>
    <w:p>
      <w:pPr>
        <w:spacing w:after="0" w:line="288" w:lineRule="exact"/>
        <w:rPr>
          <w:sz w:val="20"/>
          <w:szCs w:val="20"/>
          <w:color w:val="auto"/>
        </w:rPr>
      </w:pPr>
    </w:p>
    <w:p>
      <w:pPr>
        <w:ind w:firstLine="170"/>
        <w:spacing w:after="0" w:line="282" w:lineRule="auto"/>
        <w:tabs>
          <w:tab w:leader="none" w:pos="36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938,079</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(349,449)</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(126,217)</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23"/>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367,470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506,618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456,099</w:t>
            </w: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New Accounting Pronouncements</w:t>
      </w:r>
    </w:p>
    <w:p>
      <w:pPr>
        <w:spacing w:after="0" w:line="11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requires companies to disclose significant segment expenses and other segment items that impact each reported measure of segment income or loss. This guidance is effective for fiscal years beginning after December 15, 2023 and interim periods within fiscal years beginning after December 15, 2024. The Company has adopted this guidance effective for the year ended December 31, 2024.</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disaggregated information related to the effective tax rate reconciliation and income taxes paid. This guidance is effective for public entities for fiscal years beginning after December 15, 2024. We do not anticipate the adoption of this guidance will have a material impact on the Company's consolidated financial statements.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about specific types of expenses included in expense captions presented on the face of the Consolidated Statement of Income and Comprehensive Income. This guidance is effective for public entities for fiscal years beginning after December 15, 2026. The Company is currently reviewing this guidance and its impact on the Company's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w:t>
      </w:r>
    </w:p>
    <w:p>
      <w:pPr>
        <w:spacing w:after="0" w:line="229"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On February 3, 2025 T-Mobile USA, Inc. acquired 100% of Vistar (the "Sale"). In connection with the closing of the Sale, the Company received $115,112 in cash as consideration for the sale of its 20% equity interest in Vistar. Up to an additional $15,086 of consideration for the Sale may be received by the Company in the future, upon release of the remaining purchase price for the Sale from escrow in connection with satisfaction of certain post-closing conditions.</w:t>
      </w:r>
    </w:p>
    <w:p>
      <w:pPr>
        <w:spacing w:after="0" w:line="180"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Company expects to recognize an initial gain of approximately $68,000 related to the transaction, and will account for any amounts to be received in the future as contingent gains, to be recognized upon receipt of such cash amounts.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7"/>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3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6"/>
              <w:spacing w:after="0" w:line="137"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120" w:type="dxa"/>
            <w:vAlign w:val="bottom"/>
            <w:shd w:val="clear" w:color="auto" w:fill="CFF0FC"/>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23"/>
                <w:szCs w:val="23"/>
                <w:b w:val="1"/>
                <w:bCs w:val="1"/>
                <w:color w:val="auto"/>
                <w:vertAlign w:val="superscript"/>
              </w:rPr>
              <w:t>(1)</w:t>
            </w: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148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Initial Cost</w:t>
            </w:r>
            <w:r>
              <w:rPr>
                <w:rFonts w:ascii="Times New Roman" w:cs="Times New Roman" w:eastAsia="Times New Roman" w:hAnsi="Times New Roman"/>
                <w:sz w:val="23"/>
                <w:szCs w:val="23"/>
                <w:b w:val="1"/>
                <w:bCs w:val="1"/>
                <w:color w:val="auto"/>
                <w:vertAlign w:val="superscript"/>
              </w:rPr>
              <w:t>(2)</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Amount</w:t>
            </w:r>
            <w:r>
              <w:rPr>
                <w:rFonts w:ascii="Times New Roman" w:cs="Times New Roman" w:eastAsia="Times New Roman" w:hAnsi="Times New Roman"/>
                <w:sz w:val="23"/>
                <w:szCs w:val="23"/>
                <w:b w:val="1"/>
                <w:bCs w:val="1"/>
                <w:color w:val="auto"/>
                <w:w w:val="95"/>
                <w:vertAlign w:val="superscript"/>
              </w:rPr>
              <w:t>(3)</w:t>
            </w:r>
          </w:p>
        </w:tc>
        <w:tc>
          <w:tcPr>
            <w:tcW w:w="18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360,487 Displays</w:t>
            </w:r>
          </w:p>
        </w:tc>
        <w:tc>
          <w:tcPr>
            <w:tcW w:w="100" w:type="dxa"/>
            <w:vAlign w:val="bottom"/>
          </w:tcPr>
          <w:p>
            <w:pPr>
              <w:spacing w:after="0"/>
              <w:rPr>
                <w:sz w:val="19"/>
                <w:szCs w:val="19"/>
                <w:color w:val="auto"/>
              </w:rPr>
            </w:pPr>
          </w:p>
        </w:tc>
        <w:tc>
          <w:tcPr>
            <w:tcW w:w="126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4,170,086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(2,797,682)</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5 to 20 years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asset exceeded 5% of the total gross carrying amount at December 31, 2024</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omitted, as it would be impracticable to compile such information on a site-by-site basis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sites under construction</w:t>
      </w:r>
    </w:p>
    <w:p>
      <w:pPr>
        <w:spacing w:after="0" w:line="217"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Company’s real estate assets, which consists of advertising displays and the related accumulated depreciation.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0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real estate assets: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3,883,556</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3,745,006</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3,439,618</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on new advertising displays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80,241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85,972</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on improvements/redevelopments of new/existing advertising displays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other recurring</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141,030</w:t>
            </w:r>
          </w:p>
        </w:tc>
      </w:tr>
      <w:tr>
        <w:trPr>
          <w:trHeight w:val="229"/>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Land acquisitions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of advertising displays</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64,223</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r>
      <w:tr>
        <w:trPr>
          <w:trHeight w:val="229"/>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4,170,086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3,883,556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3,745,006</w:t>
            </w: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2,287,590</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124,072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185,820</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2,797,682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2,440,956</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$377, $1,138 and $2,367 at December 31, 2024, 2023 and 2022, respectively</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$211,246, $1,186 and $103,019 at December 31, 2024, 2023 and 2022, respectively, related to the revision in cost estimate included in the calculation of asset retirement obligations</w:t>
      </w:r>
    </w:p>
    <w:p>
      <w:pPr>
        <w:ind w:left="340" w:hanging="332"/>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preliminary allocation of assets acquired during 2022</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$72, $3,052 and $11,132 at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Internal Control Over Financial Reporting </w:t>
            </w:r>
            <w:r>
              <w:rPr>
                <w:rFonts w:ascii="Times New Roman" w:cs="Times New Roman" w:eastAsia="Times New Roman" w:hAnsi="Times New Roman"/>
                <w:sz w:val="18"/>
                <w:szCs w:val="18"/>
                <w:color w:val="000000"/>
              </w:rPr>
              <w:t>(KPMG LLP, Baton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5"/>
        </w:trPr>
        <w:tc>
          <w:tcPr>
            <w:tcW w:w="8400" w:type="dxa"/>
            <w:vAlign w:val="bottom"/>
            <w:tcBorders>
              <w:top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auto"/>
              </w:rPr>
              <w:t>Rouge, LA, Audit Firm ID: 185)</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52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 Opinion on the Consolidated Financial Statements </w:t>
            </w:r>
            <w:r>
              <w:rPr>
                <w:rFonts w:ascii="Times New Roman" w:cs="Times New Roman" w:eastAsia="Times New Roman" w:hAnsi="Times New Roman"/>
                <w:sz w:val="18"/>
                <w:szCs w:val="18"/>
                <w:color w:val="000000"/>
              </w:rPr>
              <w:t>(KPMG LLP, Baton Rouge,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5"/>
        </w:trPr>
        <w:tc>
          <w:tcPr>
            <w:tcW w:w="816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auto"/>
              </w:rPr>
              <w:t>LA, Audit Firm ID: 185)</w:t>
            </w:r>
          </w:p>
        </w:tc>
        <w:tc>
          <w:tcPr>
            <w:tcW w:w="56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6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860" w:type="dxa"/>
            <w:vAlign w:val="bottom"/>
            <w:gridSpan w:val="8"/>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8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for the years ended December 31, 2024, 2023 and 2022</w:t>
            </w:r>
          </w:p>
        </w:tc>
        <w:tc>
          <w:tcPr>
            <w:tcW w:w="1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0"/>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6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660" w:type="dxa"/>
            <w:vAlign w:val="bottom"/>
            <w:tcBorders>
              <w:top w:val="single" w:sz="8" w:color="0000FF"/>
            </w:tcBorders>
          </w:tcPr>
          <w:p>
            <w:pPr>
              <w:spacing w:after="0"/>
              <w:rPr>
                <w:sz w:val="18"/>
                <w:szCs w:val="18"/>
                <w:color w:val="auto"/>
              </w:rPr>
            </w:pPr>
          </w:p>
        </w:tc>
        <w:tc>
          <w:tcPr>
            <w:tcW w:w="2940" w:type="dxa"/>
            <w:vAlign w:val="bottom"/>
            <w:gridSpan w:val="5"/>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60" w:type="dxa"/>
            <w:vAlign w:val="bottom"/>
            <w:gridSpan w:val="9"/>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for the years ended December 31, 2024, 2023 and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76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III — Schedule of Real Estate and Accumulated Depreciation as of December 31, 2024, 2023 and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62"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 xml:space="preserve">Lamar Media Corp.’s management assessed the effectiveness of Lamar Media Corp.’s internal control over financial reporting as of December 31, 2024.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this assessment, Lamar Media Corp.’s management has concluded that, as of December 31, 2024, Lamar Media Corp.’s internal control over financial reporting is effective based on those criteria. The effectiveness of Lamar Media Corp.’s internal control over financial reporting as of December 31, 2024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Corp.: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have audited Lamar Media Corp.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and comprehensive income, stockholder’s equity, and cash flows for each of the years in the three-year period ended December 31, 2024, and the related notes and financial statement schedules II to III (collectively, the consolidated financial statements), and our report dated February 20, 2025 expressed an unqualified opinion on those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944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Lamar Media Corp.: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Lamar Media Corp. and subsidiaries (the Company) as of December 31, 2024 and 2023, the related consolidated statements of income and comprehensive income, stockholder’s equity, and cash flows for each of the years in the three-year period ended December 31, 2024, and the related notes and financial statement schedules II to III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20, 2025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the accounting lease term for the portfolio of billboard land leases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which refers to Note 7 to the consolidated financial statements of Lamar Advertising Company, a lessee determines the lease term at the commencement date by identifying the non-cancellable period of the lease and then adding any periods for which it is reasonably certain to exercise a renewal option (or not to exercise a termination option). The Company has approximately 71,500 billboard land leases for which they determined the lease term using a portfolio approach, in accordance with which the negotiated stated initial lease term for each billboard land lease was concluded to be the lease term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215"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8"/>
          <w:szCs w:val="18"/>
          <w:color w:val="auto"/>
        </w:rPr>
        <w:t>We identified the assessment of the lease term for the portfolio of billboard land leases, which affects the discount rate for the lease as well as the measurement of the lease liability and right of use asset, as a critical audit matter. In the Company’s billboard land leases, the Company typically has both unilateral renewal and termination options. Determining the lease term involved a high degree of subjectivity as to whether the lease term should or should not include renewal periods (including periods after an optional termination date), the evaluation of which required subjective auditor judgment.</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billboard land lease process, including controls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related to the qualifications and experience of individuals negotiating the stated initial lease term, reconciliation of inputs into the system, approval of billboard land lease contracts, and annual evaluation of the renewals and terminations exercised by the Company during the year. We evaluated the competence, capabilities, and objectivity of the Company’s real estate team that negotiates the lease terms and conditions, and whether the team considers economic factors that are consistent with those enumerated in ASC 842 when negotiating the stated initial lease term and associated renewal and termination options. We inspected the Company’s assessment and conclusion about using the portfolio approach for its billboard land leases. We tested a sample of the Company’s billboard land lease population and obtained underlying documentation to evaluate whether the leases entered into are similar in terms of the lease agreement creation process, purpose for the lease (i.e. to host a Company billboard), and lease term considerations. We assessed the impact of billboard land leases with early terminations and renewals beyond the stated initial term to evaluate the Company’s assertion that use of the stated initial lease term as the lease term for its billboard land leases on a portfolio basis was appropriate.</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944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8440" w:type="dxa"/>
            <w:vAlign w:val="bottom"/>
            <w:shd w:val="clear" w:color="auto" w:fill="CFF0FC"/>
          </w:tcPr>
          <w:p>
            <w:pPr>
              <w:ind w:left="39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48,961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44,105</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 net of allowance for doubtful accounts of $12,404 and $12,477 as of 2024 and 2023, respectively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301,189</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41,009</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27,392</w:t>
            </w:r>
          </w:p>
        </w:tc>
      </w:tr>
      <w:tr>
        <w:trPr>
          <w:trHeight w:val="207"/>
        </w:trPr>
        <w:tc>
          <w:tcPr>
            <w:tcW w:w="84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424,768</w:t>
            </w:r>
          </w:p>
        </w:tc>
        <w:tc>
          <w:tcPr>
            <w:tcW w:w="1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372,686</w:t>
            </w:r>
          </w:p>
        </w:tc>
      </w:tr>
      <w:tr>
        <w:trPr>
          <w:trHeight w:val="212"/>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4,574,894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4,274,831</w:t>
            </w:r>
          </w:p>
        </w:tc>
      </w:tr>
      <w:tr>
        <w:trPr>
          <w:trHeight w:val="213"/>
        </w:trPr>
        <w:tc>
          <w:tcPr>
            <w:tcW w:w="84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(2,974,085)</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(2,708,361)</w:t>
            </w:r>
          </w:p>
        </w:tc>
      </w:tr>
      <w:tr>
        <w:trPr>
          <w:trHeight w:val="209"/>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1,600,809</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1,566,470</w:t>
            </w:r>
          </w:p>
        </w:tc>
      </w:tr>
    </w:tbl>
    <w:p>
      <w:pPr>
        <w:spacing w:after="0" w:line="1" w:lineRule="exact"/>
        <w:rPr>
          <w:sz w:val="20"/>
          <w:szCs w:val="20"/>
          <w:color w:val="auto"/>
        </w:rPr>
      </w:pPr>
    </w:p>
    <w:p>
      <w:pPr>
        <w:sectPr>
          <w:pgSz w:w="11900" w:h="16838" w:orient="portrait"/>
          <w:cols w:equalWidth="0" w:num="1">
            <w:col w:w="11200"/>
          </w:cols>
          <w:pgMar w:left="320" w:top="121" w:right="379" w:bottom="1440" w:gutter="0" w:footer="0" w:header="0"/>
        </w:sectPr>
      </w:pPr>
    </w:p>
    <w:p>
      <w:pPr>
        <w:jc w:val="both"/>
        <w:ind w:left="20"/>
        <w:spacing w:after="0" w:line="281" w:lineRule="auto"/>
        <w:rPr>
          <w:sz w:val="20"/>
          <w:szCs w:val="20"/>
          <w:color w:val="auto"/>
        </w:rPr>
      </w:pPr>
      <w:r>
        <w:rPr>
          <w:rFonts w:ascii="Times New Roman" w:cs="Times New Roman" w:eastAsia="Times New Roman" w:hAnsi="Times New Roman"/>
          <w:sz w:val="16"/>
          <w:szCs w:val="16"/>
          <w:color w:val="auto"/>
        </w:rPr>
        <w:t>Operating lease right of use assets Financing lease right of use assets Goodwill (note 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Intangible assets, net (note 3)</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assets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980" w:type="dxa"/>
        <w:tblCellMar>
          <w:top w:w="0" w:type="dxa"/>
          <w:left w:w="0" w:type="dxa"/>
          <w:bottom w:w="0" w:type="dxa"/>
          <w:right w:w="0" w:type="dxa"/>
        </w:tblCellMar>
      </w:tblPr>
      <w:tr>
        <w:trPr>
          <w:trHeight w:val="210"/>
        </w:trPr>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1,355,231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1,315,433</w:t>
            </w:r>
          </w:p>
        </w:tc>
      </w:tr>
      <w:tr>
        <w:trPr>
          <w:trHeight w:val="216"/>
        </w:trPr>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w:t>
            </w:r>
          </w:p>
        </w:tc>
      </w:tr>
      <w:tr>
        <w:trPr>
          <w:trHeight w:val="216"/>
        </w:trPr>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2,024,931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2,025,119</w:t>
            </w:r>
          </w:p>
        </w:tc>
      </w:tr>
      <w:tr>
        <w:trPr>
          <w:trHeight w:val="216"/>
        </w:trPr>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1,062,133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1,170,967</w:t>
            </w:r>
          </w:p>
        </w:tc>
      </w:tr>
      <w:tr>
        <w:trPr>
          <w:trHeight w:val="219"/>
        </w:trPr>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85,021</w:t>
            </w:r>
          </w:p>
        </w:tc>
      </w:tr>
      <w:tr>
        <w:trPr>
          <w:trHeight w:val="207"/>
        </w:trPr>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6,546,880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-690245</wp:posOffset>
            </wp:positionV>
            <wp:extent cx="710628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-415925</wp:posOffset>
            </wp:positionV>
            <wp:extent cx="710628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-141605</wp:posOffset>
            </wp:positionV>
            <wp:extent cx="710628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-106045</wp:posOffset>
            </wp:positionV>
            <wp:extent cx="17487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240" w:space="220"/>
            <w:col w:w="8740"/>
          </w:cols>
          <w:pgMar w:left="320" w:top="121" w:right="37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18,238</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 net of deferred financing costs of $611 and $380 in 2024 and 2023, respectively (note 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249,806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250,018</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210,568</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Current financing lease liabilities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(note 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97,464</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Deferred income</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153,700</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126,547</w:t>
            </w:r>
          </w:p>
        </w:tc>
      </w:tr>
      <w:tr>
        <w:trPr>
          <w:trHeight w:val="207"/>
        </w:trPr>
        <w:tc>
          <w:tcPr>
            <w:tcW w:w="8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704,166</w:t>
            </w:r>
          </w:p>
        </w:tc>
      </w:tr>
      <w:tr>
        <w:trPr>
          <w:trHeight w:val="219"/>
        </w:trPr>
        <w:tc>
          <w:tcPr>
            <w:tcW w:w="8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Long-term debt, net of deferred financing costs of $22,826 and $28,865 in 2024 and 2023, respectively (note 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2,961,058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3,091,109</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1,114,407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1,075,285</w:t>
            </w:r>
          </w:p>
        </w:tc>
      </w:tr>
      <w:tr>
        <w:trPr>
          <w:trHeight w:val="21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14,614</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w:t>
            </w:r>
          </w:p>
        </w:tc>
      </w:tr>
      <w:tr>
        <w:trPr>
          <w:trHeight w:val="219"/>
        </w:trPr>
        <w:tc>
          <w:tcPr>
            <w:tcW w:w="8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614,713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397,991</w:t>
            </w:r>
          </w:p>
        </w:tc>
      </w:tr>
      <w:tr>
        <w:trPr>
          <w:trHeight w:val="213"/>
        </w:trPr>
        <w:tc>
          <w:tcPr>
            <w:tcW w:w="8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48,588</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41,891</w:t>
            </w:r>
          </w:p>
        </w:tc>
      </w:tr>
      <w:tr>
        <w:trPr>
          <w:trHeight w:val="212"/>
        </w:trPr>
        <w:tc>
          <w:tcPr>
            <w:tcW w:w="8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5,527,868</w:t>
            </w: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5,337,103</w:t>
            </w: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8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$0.01 par value, authorized 3,000 shares; 100 shares issued and outstanding at 2024 and 2023</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3,229,799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3,173,789</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(2,185,755)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(1,963,998)</w:t>
            </w:r>
          </w:p>
        </w:tc>
      </w:tr>
      <w:tr>
        <w:trPr>
          <w:trHeight w:val="219"/>
        </w:trPr>
        <w:tc>
          <w:tcPr>
            <w:tcW w:w="8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07"/>
        </w:trPr>
        <w:tc>
          <w:tcPr>
            <w:tcW w:w="8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1,041,939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1,209,777</w:t>
            </w:r>
          </w:p>
        </w:tc>
      </w:tr>
      <w:tr>
        <w:trPr>
          <w:trHeight w:val="235"/>
        </w:trPr>
        <w:tc>
          <w:tcPr>
            <w:tcW w:w="8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6,569,807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6,546,880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advertising expenses (exclusive of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667,288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(exclusive of 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350,623</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1,453,637</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456,601</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437,635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controlling interest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437,635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00" w:type="dxa"/>
            <w:vAlign w:val="bottom"/>
            <w:tcBorders>
              <w:top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3,071,905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(1,864,414)</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1,208,346</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60,273</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(518,753)</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3,132,178</w:t>
            </w:r>
          </w:p>
        </w:tc>
        <w:tc>
          <w:tcPr>
            <w:tcW w:w="100" w:type="dxa"/>
            <w:vAlign w:val="bottom"/>
            <w:tcBorders>
              <w:bottom w:val="single" w:sz="8" w:color="CFF0FC"/>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(1,944,018)</w:t>
            </w:r>
          </w:p>
        </w:tc>
        <w:tc>
          <w:tcPr>
            <w:tcW w:w="12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1,187,501</w:t>
            </w:r>
          </w:p>
        </w:tc>
        <w:tc>
          <w:tcPr>
            <w:tcW w:w="0" w:type="dxa"/>
            <w:vAlign w:val="bottom"/>
          </w:tcPr>
          <w:p>
            <w:pPr>
              <w:spacing w:after="0"/>
              <w:rPr>
                <w:sz w:val="1"/>
                <w:szCs w:val="1"/>
                <w:color w:val="auto"/>
              </w:rPr>
            </w:pPr>
          </w:p>
        </w:tc>
      </w:tr>
      <w:tr>
        <w:trPr>
          <w:trHeight w:val="223"/>
        </w:trPr>
        <w:tc>
          <w:tcPr>
            <w:tcW w:w="2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42,627</w:t>
            </w: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(516,240)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(517,296)</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3,173,789</w:t>
            </w:r>
          </w:p>
        </w:tc>
        <w:tc>
          <w:tcPr>
            <w:tcW w:w="1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(1,963,998)</w:t>
            </w:r>
          </w:p>
        </w:tc>
        <w:tc>
          <w:tcPr>
            <w:tcW w:w="1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1,209,777</w:t>
            </w: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from parent</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Reallocation of capital</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362,435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to parent</w:t>
            </w: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(584,192)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(585,847)</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3,229,799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(2,185,755)</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1,041,939</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363,507</w:t>
            </w:r>
          </w:p>
        </w:tc>
        <w:tc>
          <w:tcPr>
            <w:tcW w:w="100" w:type="dxa"/>
            <w:vAlign w:val="bottom"/>
          </w:tcPr>
          <w:p>
            <w:pPr>
              <w:spacing w:after="0"/>
              <w:rPr>
                <w:sz w:val="14"/>
                <w:szCs w:val="14"/>
                <w:color w:val="auto"/>
              </w:rPr>
            </w:pPr>
          </w:p>
        </w:tc>
        <w:tc>
          <w:tcPr>
            <w:tcW w:w="80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497,333</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439,149</w:t>
            </w:r>
          </w:p>
        </w:tc>
      </w:tr>
      <w:tr>
        <w:trPr>
          <w:trHeight w:val="181"/>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462,967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349,449</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Non-cash compensation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22,649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23,136</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Amortization included in interest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Gain on disposition of assets and investments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(15,721)</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Equity in earnings of investee</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(4,315)</w:t>
            </w:r>
          </w:p>
        </w:tc>
      </w:tr>
      <w:tr>
        <w:trPr>
          <w:trHeight w:val="170"/>
        </w:trPr>
        <w:tc>
          <w:tcPr>
            <w:tcW w:w="70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Deferred income tax expense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3,212</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9,013</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Receivables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(28,744)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(22,511)</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Prepaid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2,711</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Increase (decrease) in: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Trade accounts payable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Accrued expenses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(10,773)</w:t>
            </w:r>
          </w:p>
        </w:tc>
      </w:tr>
      <w:tr>
        <w:trPr>
          <w:trHeight w:val="170"/>
        </w:trPr>
        <w:tc>
          <w:tcPr>
            <w:tcW w:w="70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7,198</w:t>
            </w:r>
          </w:p>
        </w:tc>
      </w:tr>
      <w:tr>
        <w:trPr>
          <w:trHeight w:val="181"/>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liabilities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(10,567)</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(39,154)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(47,110)</w:t>
            </w:r>
          </w:p>
        </w:tc>
      </w:tr>
      <w:tr>
        <w:trPr>
          <w:trHeight w:val="163"/>
        </w:trPr>
        <w:tc>
          <w:tcPr>
            <w:tcW w:w="7020" w:type="dxa"/>
            <w:vAlign w:val="bottom"/>
            <w:tcBorders>
              <w:bottom w:val="single" w:sz="8" w:color="CCEEFF"/>
            </w:tcBorders>
          </w:tcPr>
          <w:p>
            <w:pPr>
              <w:ind w:left="680"/>
              <w:spacing w:after="0" w:line="144" w:lineRule="exact"/>
              <w:rPr>
                <w:sz w:val="20"/>
                <w:szCs w:val="20"/>
                <w:color w:val="auto"/>
              </w:rPr>
            </w:pPr>
            <w:r>
              <w:rPr>
                <w:rFonts w:ascii="Times New Roman" w:cs="Times New Roman" w:eastAsia="Times New Roman" w:hAnsi="Times New Roman"/>
                <w:sz w:val="13"/>
                <w:szCs w:val="13"/>
                <w:color w:val="auto"/>
              </w:rPr>
              <w:t>Cash flows provided by operating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837,199</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756,310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739,866</w:t>
            </w:r>
          </w:p>
        </w:tc>
      </w:tr>
      <w:tr>
        <w:trPr>
          <w:trHeight w:val="16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 expenditures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(125,284)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(178,271)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(167,078)</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Acquisitions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(45,393)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(138,961)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(479,766)</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Decrease in notes receivable</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12,124</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disposition of assets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5,706</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15,649</w:t>
            </w:r>
          </w:p>
        </w:tc>
      </w:tr>
      <w:tr>
        <w:trPr>
          <w:trHeight w:val="163"/>
        </w:trPr>
        <w:tc>
          <w:tcPr>
            <w:tcW w:w="7020" w:type="dxa"/>
            <w:vAlign w:val="bottom"/>
            <w:tcBorders>
              <w:bottom w:val="single" w:sz="8" w:color="CCEEFF"/>
            </w:tcBorders>
          </w:tcPr>
          <w:p>
            <w:pPr>
              <w:ind w:left="680"/>
              <w:spacing w:after="0" w:line="144" w:lineRule="exact"/>
              <w:rPr>
                <w:sz w:val="20"/>
                <w:szCs w:val="20"/>
                <w:color w:val="auto"/>
              </w:rPr>
            </w:pPr>
            <w:r>
              <w:rPr>
                <w:rFonts w:ascii="Times New Roman" w:cs="Times New Roman" w:eastAsia="Times New Roman" w:hAnsi="Times New Roman"/>
                <w:sz w:val="13"/>
                <w:szCs w:val="13"/>
                <w:color w:val="auto"/>
              </w:rPr>
              <w:t>Cash flows used in investing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(164,906)</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(310,119)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(619,071)</w:t>
            </w:r>
          </w:p>
        </w:tc>
      </w:tr>
      <w:tr>
        <w:trPr>
          <w:trHeight w:val="16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received from revolving credit facility</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445,000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(569,000)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(378,000)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(575,000)</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Principal payments on financing leases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received from senior credit facility term loans</w:t>
            </w:r>
          </w:p>
        </w:tc>
        <w:tc>
          <w:tcPr>
            <w:tcW w:w="7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received from accounts receivable securitization program</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86,400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265,000</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Payments on accounts receivable securitization program</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(114,900)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(190,000)</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Debt issuance costs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Payment on senior credit facility term loans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(350,000)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r>
      <w:tr>
        <w:trPr>
          <w:trHeight w:val="170"/>
        </w:trPr>
        <w:tc>
          <w:tcPr>
            <w:tcW w:w="70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Dividends to parent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(584,192)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(516,240)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(518,753)</w:t>
            </w:r>
          </w:p>
        </w:tc>
      </w:tr>
      <w:tr>
        <w:trPr>
          <w:trHeight w:val="181"/>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Contributions from parent</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57,028</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42,627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60,273</w:t>
            </w:r>
          </w:p>
        </w:tc>
      </w:tr>
      <w:tr>
        <w:trPr>
          <w:trHeight w:val="163"/>
        </w:trPr>
        <w:tc>
          <w:tcPr>
            <w:tcW w:w="7020" w:type="dxa"/>
            <w:vAlign w:val="bottom"/>
            <w:tcBorders>
              <w:bottom w:val="single" w:sz="8" w:color="CCEEFF"/>
            </w:tcBorders>
          </w:tcPr>
          <w:p>
            <w:pPr>
              <w:ind w:left="680"/>
              <w:spacing w:after="0" w:line="144" w:lineRule="exact"/>
              <w:rPr>
                <w:sz w:val="20"/>
                <w:szCs w:val="20"/>
                <w:color w:val="auto"/>
              </w:rPr>
            </w:pPr>
            <w:r>
              <w:rPr>
                <w:rFonts w:ascii="Times New Roman" w:cs="Times New Roman" w:eastAsia="Times New Roman" w:hAnsi="Times New Roman"/>
                <w:sz w:val="13"/>
                <w:szCs w:val="13"/>
                <w:color w:val="auto"/>
              </w:rPr>
              <w:t>Cash flows used in financing activities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(667,014)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(454,332)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(167,573)</w:t>
            </w:r>
          </w:p>
        </w:tc>
      </w:tr>
      <w:tr>
        <w:trPr>
          <w:trHeight w:val="17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in cash and cash equivalents</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63"/>
        </w:trPr>
        <w:tc>
          <w:tcPr>
            <w:tcW w:w="70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(47,169)</w:t>
            </w:r>
          </w:p>
        </w:tc>
      </w:tr>
      <w:tr>
        <w:trPr>
          <w:trHeight w:val="18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7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44,105</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52,119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99,288</w:t>
            </w:r>
          </w:p>
        </w:tc>
      </w:tr>
      <w:tr>
        <w:trPr>
          <w:trHeight w:val="163"/>
        </w:trPr>
        <w:tc>
          <w:tcPr>
            <w:tcW w:w="70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and cash equivalents at end of year</w:t>
            </w:r>
          </w:p>
        </w:tc>
        <w:tc>
          <w:tcPr>
            <w:tcW w:w="7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48,961</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44,105</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52,119</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8"/>
        </w:trPr>
        <w:tc>
          <w:tcPr>
            <w:tcW w:w="70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0"/>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7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165,827</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168,011</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120,000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5"/>
        </w:trPr>
        <w:tc>
          <w:tcPr>
            <w:tcW w:w="702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paid for state and federal income taxes</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8,505</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16,325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Nature of Business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Lamar Media Corp. (“Lamar Media”) is a wholly owned subsidiary of Lamar Advertising Company. Lamar Media is engaged in the outdoor advertising business operating approximately 159,000 outdoor advertising displays in 45 states and Canada. Lamar Media’s operating strategy is to be the leading provider of outdoor advertising services in the markets it serves.</w:t>
      </w:r>
    </w:p>
    <w:p>
      <w:pPr>
        <w:spacing w:after="0" w:line="176"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In addition, Lamar Media operates a logo sign business in 23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0"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On July 1, 2022, Lamar Media entered into the Amended and Restated Limited Partnership Agreement (the "Partnership Agreement") of Lamar Advertising Limited Partnership (the "OP") as the initial limited partner, along with its wholly owned subsidiary, Lamar Advertising General Partner, LLC, as the general partner of the OP (the "General Partner"). Lamar Media formed the OP and contributed all of its assets to the OP in connection with the Company's reorganization (the "Reorganization") as a specific type of REIT known as an Umbrella Partnership Real Estate Investment Trust ("UPREIT"). The Company completed the Reorganization to facilitate tax-deferred contributions of properties to the OP in exchange for limited partnership interests in the OP. The Reorganization did not have a material impact on our consolidated financial statements.</w:t>
      </w:r>
    </w:p>
    <w:p>
      <w:pPr>
        <w:spacing w:after="0" w:line="187"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Certain footnotes are not provided for the accompanying financial statements as the information in notes 2, 3, 5, 7, 10, 11, 12, 13, 14, 15, 16, 17, 18, 19, 20, 22, and 23 and portions of note 1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21"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Lamar Media, its subsidiary, Lamar Advertising Limited Partnership, and Lamar Advertising Limited Partnerships' wholly owned subsidiaries, The Lamar Company, L.L.C., Lamar Central Outdoor, LLC, Lamar TRS Holdings, LLC, Lamar Advertising Southwest, LLC, Interstate Logos, L.L.C., Lamar Obie Company, LLC, Lamar Canadian Outdoor Company, Lamar QRS Receivables, LLC, Fairway Media Group, LCC, Ashby Street Outdoor Holdings, LLC, SkyHigh Murals - Colossal Media, LLC and their majority-owned subsidiaries. All inter-company transactions and balances have been eliminated in consolidation.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Non-cash Financing and Investing Activities</w:t>
      </w:r>
    </w:p>
    <w:p>
      <w:pPr>
        <w:spacing w:after="0" w:line="121"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2024 and 2022, the Company had non-cash investing activities that resulted in an increase to the asset retirement obligation balance and the carrying value of the related property, plant and equipment in the amount of $215,899 and $110,321, respectively, related to the revision in estimate of the Company's asset retirement obligation. For the years ended December 31, 2024, 2023 and 2022, there were non-cash investing and financing activities for the recognition of ROU assets and lease liabilities at lease commencement as disclosed in Note 7, "Leases".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Other Intangible Assets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summary of intangible assets at December 31,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5"/>
        </w:trPr>
        <w:tc>
          <w:tcPr>
            <w:tcW w:w="4200" w:type="dxa"/>
            <w:vAlign w:val="bottom"/>
          </w:tcPr>
          <w:p>
            <w:pPr>
              <w:spacing w:after="0"/>
              <w:rPr>
                <w:sz w:val="13"/>
                <w:szCs w:val="13"/>
                <w:color w:val="auto"/>
              </w:rPr>
            </w:pPr>
          </w:p>
        </w:tc>
        <w:tc>
          <w:tcPr>
            <w:tcW w:w="1560" w:type="dxa"/>
            <w:vAlign w:val="bottom"/>
            <w:gridSpan w:val="3"/>
          </w:tcPr>
          <w:p>
            <w:pPr>
              <w:jc w:val="right"/>
              <w:ind w:right="370"/>
              <w:spacing w:after="0" w:line="155" w:lineRule="exact"/>
              <w:rPr>
                <w:sz w:val="20"/>
                <w:szCs w:val="20"/>
                <w:color w:val="auto"/>
              </w:rPr>
            </w:pPr>
            <w:r>
              <w:rPr>
                <w:rFonts w:ascii="Times New Roman" w:cs="Times New Roman" w:eastAsia="Times New Roman" w:hAnsi="Times New Roman"/>
                <w:sz w:val="14"/>
                <w:szCs w:val="14"/>
                <w:b w:val="1"/>
                <w:bCs w:val="1"/>
                <w:color w:val="auto"/>
              </w:rPr>
              <w:t>Estimated Life</w:t>
            </w: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4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160" w:type="dxa"/>
            <w:vAlign w:val="bottom"/>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6"/>
        </w:trPr>
        <w:tc>
          <w:tcPr>
            <w:tcW w:w="4200" w:type="dxa"/>
            <w:vAlign w:val="bottom"/>
          </w:tcPr>
          <w:p>
            <w:pPr>
              <w:spacing w:after="0"/>
              <w:rPr>
                <w:sz w:val="17"/>
                <w:szCs w:val="17"/>
                <w:color w:val="auto"/>
              </w:rPr>
            </w:pPr>
          </w:p>
        </w:tc>
        <w:tc>
          <w:tcPr>
            <w:tcW w:w="156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6"/>
        </w:trPr>
        <w:tc>
          <w:tcPr>
            <w:tcW w:w="4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lists and contracts</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640,635</w:t>
            </w: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66,455</w:t>
            </w:r>
          </w:p>
        </w:tc>
      </w:tr>
      <w:tr>
        <w:trPr>
          <w:trHeight w:val="230"/>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Site locations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1,891,078</w:t>
            </w:r>
          </w:p>
        </w:tc>
      </w:tr>
      <w:tr>
        <w:trPr>
          <w:trHeight w:val="229"/>
        </w:trPr>
        <w:tc>
          <w:tcPr>
            <w:tcW w:w="4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42,383</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52,033</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41,338</w:t>
            </w:r>
          </w:p>
        </w:tc>
      </w:tr>
      <w:tr>
        <w:trPr>
          <w:trHeight w:val="223"/>
        </w:trPr>
        <w:tc>
          <w:tcPr>
            <w:tcW w:w="4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3,838,777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2,776,644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3,810,473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2,639,506</w:t>
            </w:r>
          </w:p>
        </w:tc>
      </w:tr>
      <w:tr>
        <w:trPr>
          <w:trHeight w:val="22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Unamortizable Intangible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4"/>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2,277,597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252,667</w:t>
            </w:r>
          </w:p>
        </w:tc>
      </w:tr>
    </w:tbl>
    <w:p>
      <w:pPr>
        <w:spacing w:after="0" w:line="2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changes in the gross carrying amount of goodwill for the years ended December 31, 2024 and 2023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2,277,784</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2,277,786</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price adjustments and other</w:t>
            </w: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2,277,597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following is a summary of accrued expenses at December 31, 2024 and 2023:</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benefits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variable lease and contract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Long-term debt consists of the following at December 31,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Debt, net of deferred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3,234,301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2,983,884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8"/>
        </w:trPr>
        <w:tc>
          <w:tcPr>
            <w:tcW w:w="4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tcBorders>
              <w:top w:val="single" w:sz="8" w:color="auto"/>
            </w:tcBorders>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Deferred financing</w:t>
            </w:r>
          </w:p>
        </w:tc>
        <w:tc>
          <w:tcPr>
            <w:tcW w:w="13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Debt, net of deferred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2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3/4%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5/8%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Senior Notes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7/8% Senior Notes</w:t>
            </w: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 with various rates and terms</w:t>
            </w:r>
          </w:p>
        </w:tc>
        <w:tc>
          <w:tcPr>
            <w:tcW w:w="2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3,370,372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0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0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3,119,974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Long-term debt contractual maturities are as follows:</w:t>
            </w:r>
          </w:p>
        </w:tc>
        <w:tc>
          <w:tcPr>
            <w:tcW w:w="2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496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9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Deferred financing</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Debt, net of deferred</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financing costs</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6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849,820</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2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1,099,622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4960" w:type="dxa"/>
            <w:vAlign w:val="bottom"/>
          </w:tcPr>
          <w:p>
            <w:pPr>
              <w:spacing w:after="0"/>
              <w:rPr>
                <w:sz w:val="24"/>
                <w:szCs w:val="24"/>
                <w:color w:val="auto"/>
              </w:rPr>
            </w:pPr>
          </w:p>
        </w:tc>
        <w:tc>
          <w:tcPr>
            <w:tcW w:w="20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Affiliates, as used within these statements, are persons or entities that are affiliated with Lamar Media Corp. or its subsidiaries through common ownership and directorate control.</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December 31, 2024 and 2023, there was a payable to Lamar Advertising Company, its parent, in the amount of $77 and $1,009, respectively.</w:t>
      </w:r>
    </w:p>
    <w:p>
      <w:pPr>
        <w:spacing w:after="0" w:line="225"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Effective December 31, 2024 and 2023, Lamar Advertising Company contributed $57,028 and $42,627, respectively, to Lamar Media which resulted in an increase in Lamar Media’s additional paid-in capital.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Summarized Financial Information of Subsidiaries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Summarized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summarized financial information. The following summarized financial information should be read in conjunction with the accompanying consolidated financial statements and notes. Separate financial statements of Lamar Media’s subsidiary guarantors are not included because the guarantors are each a consolidated subsidiary of Lamar Media, Lamar Media’s consolidated financial statements have been filed, and the guaranteed securities are debt securities with Lamar Media as the issuer. The accounts for all companies reflected herein are presented using the equity method of accounting for investments in subsidiaries.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2024</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60" w:type="dxa"/>
            <w:vAlign w:val="bottom"/>
          </w:tcPr>
          <w:p>
            <w:pPr>
              <w:spacing w:after="0"/>
              <w:rPr>
                <w:sz w:val="13"/>
                <w:szCs w:val="13"/>
                <w:color w:val="auto"/>
              </w:rPr>
            </w:pPr>
          </w:p>
        </w:tc>
        <w:tc>
          <w:tcPr>
            <w:tcW w:w="11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3"/>
                <w:szCs w:val="13"/>
                <w:color w:val="auto"/>
              </w:rPr>
            </w:pPr>
          </w:p>
        </w:tc>
        <w:tc>
          <w:tcPr>
            <w:tcW w:w="12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40" w:type="dxa"/>
            <w:vAlign w:val="bottom"/>
          </w:tcPr>
          <w:p>
            <w:pPr>
              <w:spacing w:after="0"/>
              <w:rPr>
                <w:sz w:val="13"/>
                <w:szCs w:val="13"/>
                <w:color w:val="auto"/>
              </w:rPr>
            </w:pPr>
          </w:p>
        </w:tc>
        <w:tc>
          <w:tcPr>
            <w:tcW w:w="11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26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38,950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52,617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333,201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424,768</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4,302,475</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6,368,402</w:t>
            </w:r>
          </w:p>
        </w:tc>
        <w:tc>
          <w:tcPr>
            <w:tcW w:w="2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297,831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(4,823,669)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6,145,039</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50,707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444,841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272,265</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767,813</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3,249,628</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1,738,404</w:t>
            </w:r>
          </w:p>
        </w:tc>
        <w:tc>
          <w:tcPr>
            <w:tcW w:w="2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384,695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4,760,055</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1,770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770"/>
        </w:trPr>
        <w:tc>
          <w:tcPr>
            <w:tcW w:w="2680" w:type="dxa"/>
            <w:vAlign w:val="bottom"/>
          </w:tcPr>
          <w:p>
            <w:pPr>
              <w:spacing w:after="0"/>
              <w:rPr>
                <w:sz w:val="24"/>
                <w:szCs w:val="24"/>
                <w:color w:val="auto"/>
              </w:rPr>
            </w:pPr>
          </w:p>
        </w:tc>
        <w:tc>
          <w:tcPr>
            <w:tcW w:w="5720" w:type="dxa"/>
            <w:vAlign w:val="bottom"/>
            <w:gridSpan w:val="7"/>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Summarized Balance Sheet as of December 31, 2023</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60" w:type="dxa"/>
            <w:vAlign w:val="bottom"/>
          </w:tcPr>
          <w:p>
            <w:pPr>
              <w:spacing w:after="0"/>
              <w:rPr>
                <w:sz w:val="23"/>
                <w:szCs w:val="23"/>
                <w:color w:val="auto"/>
              </w:rPr>
            </w:pPr>
          </w:p>
        </w:tc>
        <w:tc>
          <w:tcPr>
            <w:tcW w:w="11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23"/>
                <w:szCs w:val="23"/>
                <w:color w:val="auto"/>
              </w:rPr>
            </w:pPr>
          </w:p>
        </w:tc>
        <w:tc>
          <w:tcPr>
            <w:tcW w:w="12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40" w:type="dxa"/>
            <w:vAlign w:val="bottom"/>
          </w:tcPr>
          <w:p>
            <w:pPr>
              <w:spacing w:after="0"/>
              <w:rPr>
                <w:sz w:val="23"/>
                <w:szCs w:val="23"/>
                <w:color w:val="auto"/>
              </w:rPr>
            </w:pPr>
          </w:p>
        </w:tc>
        <w:tc>
          <w:tcPr>
            <w:tcW w:w="11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23"/>
                <w:szCs w:val="23"/>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33,875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28,905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309,906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372,686</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4,596,516</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6,359,236</w:t>
            </w:r>
          </w:p>
        </w:tc>
        <w:tc>
          <w:tcPr>
            <w:tcW w:w="2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318,095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(5,099,653)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6,174,194</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45,225</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387,408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271,533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704,166</w:t>
            </w:r>
          </w:p>
        </w:tc>
        <w:tc>
          <w:tcPr>
            <w:tcW w:w="0" w:type="dxa"/>
            <w:vAlign w:val="bottom"/>
          </w:tcPr>
          <w:p>
            <w:pPr>
              <w:spacing w:after="0"/>
              <w:rPr>
                <w:sz w:val="1"/>
                <w:szCs w:val="1"/>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3,375,803</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1,476,097</w:t>
            </w:r>
          </w:p>
        </w:tc>
        <w:tc>
          <w:tcPr>
            <w:tcW w:w="2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368,208</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(587,171)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4,632,937</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 for the Year Ended December 31, 2024</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60" w:type="dxa"/>
            <w:vAlign w:val="bottom"/>
          </w:tcPr>
          <w:p>
            <w:pPr>
              <w:spacing w:after="0"/>
              <w:rPr>
                <w:sz w:val="13"/>
                <w:szCs w:val="13"/>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13"/>
                <w:szCs w:val="13"/>
                <w:color w:val="auto"/>
              </w:rPr>
            </w:pPr>
          </w:p>
        </w:tc>
        <w:tc>
          <w:tcPr>
            <w:tcW w:w="12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60" w:type="dxa"/>
            <w:vAlign w:val="bottom"/>
          </w:tcPr>
          <w:p>
            <w:pPr>
              <w:spacing w:after="0"/>
              <w:rPr>
                <w:sz w:val="13"/>
                <w:szCs w:val="13"/>
                <w:color w:val="auto"/>
              </w:rPr>
            </w:pPr>
          </w:p>
        </w:tc>
        <w:tc>
          <w:tcPr>
            <w:tcW w:w="11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2,159,755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49,840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1,626,780</w:t>
            </w:r>
          </w:p>
        </w:tc>
        <w:tc>
          <w:tcPr>
            <w:tcW w:w="2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50,207</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1,674,495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532,975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532,608</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362,435</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530,522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(518,646)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363,507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362,435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529,937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362,435</w:t>
            </w:r>
          </w:p>
        </w:tc>
        <w:tc>
          <w:tcPr>
            <w:tcW w:w="0" w:type="dxa"/>
            <w:vAlign w:val="bottom"/>
          </w:tcPr>
          <w:p>
            <w:pPr>
              <w:spacing w:after="0"/>
              <w:rPr>
                <w:sz w:val="1"/>
                <w:szCs w:val="1"/>
                <w:color w:val="auto"/>
              </w:rPr>
            </w:pPr>
          </w:p>
        </w:tc>
      </w:tr>
      <w:tr>
        <w:trPr>
          <w:trHeight w:val="770"/>
        </w:trPr>
        <w:tc>
          <w:tcPr>
            <w:tcW w:w="9820" w:type="dxa"/>
            <w:vAlign w:val="bottom"/>
            <w:gridSpan w:val="9"/>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 for the Year Ended December 31, 2023</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60" w:type="dxa"/>
            <w:vAlign w:val="bottom"/>
          </w:tcPr>
          <w:p>
            <w:pPr>
              <w:spacing w:after="0"/>
              <w:rPr>
                <w:sz w:val="23"/>
                <w:szCs w:val="23"/>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23"/>
                <w:szCs w:val="23"/>
                <w:color w:val="auto"/>
              </w:rPr>
            </w:pPr>
          </w:p>
        </w:tc>
        <w:tc>
          <w:tcPr>
            <w:tcW w:w="12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60" w:type="dxa"/>
            <w:vAlign w:val="bottom"/>
          </w:tcPr>
          <w:p>
            <w:pPr>
              <w:spacing w:after="0"/>
              <w:rPr>
                <w:sz w:val="23"/>
                <w:szCs w:val="23"/>
                <w:color w:val="auto"/>
              </w:rPr>
            </w:pPr>
          </w:p>
        </w:tc>
        <w:tc>
          <w:tcPr>
            <w:tcW w:w="11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23"/>
                <w:szCs w:val="2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2,069,600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44,068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1,392,389</w:t>
            </w:r>
          </w:p>
        </w:tc>
        <w:tc>
          <w:tcPr>
            <w:tcW w:w="2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45,348</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1,435,056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677,211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496,260</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673,330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(16,393)</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497,333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496,260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672,943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496,260</w:t>
            </w:r>
          </w:p>
        </w:tc>
        <w:tc>
          <w:tcPr>
            <w:tcW w:w="0" w:type="dxa"/>
            <w:vAlign w:val="bottom"/>
          </w:tcPr>
          <w:p>
            <w:pPr>
              <w:spacing w:after="0"/>
              <w:rPr>
                <w:sz w:val="1"/>
                <w:szCs w:val="1"/>
                <w:color w:val="auto"/>
              </w:rPr>
            </w:pPr>
          </w:p>
        </w:tc>
      </w:tr>
      <w:tr>
        <w:trPr>
          <w:trHeight w:val="756"/>
        </w:trPr>
        <w:tc>
          <w:tcPr>
            <w:tcW w:w="9820" w:type="dxa"/>
            <w:vAlign w:val="bottom"/>
            <w:gridSpan w:val="9"/>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Summarized Statements of Income and Comprehensive Income for the Year Ended December 31, 2022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200" w:type="dxa"/>
            <w:vAlign w:val="bottom"/>
          </w:tcPr>
          <w:p>
            <w:pPr>
              <w:spacing w:after="0"/>
              <w:rPr>
                <w:sz w:val="23"/>
                <w:szCs w:val="2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Lamar Media Corp.</w:t>
            </w:r>
          </w:p>
        </w:tc>
        <w:tc>
          <w:tcPr>
            <w:tcW w:w="260" w:type="dxa"/>
            <w:vAlign w:val="bottom"/>
          </w:tcPr>
          <w:p>
            <w:pPr>
              <w:spacing w:after="0"/>
              <w:rPr>
                <w:sz w:val="23"/>
                <w:szCs w:val="23"/>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220" w:type="dxa"/>
            <w:vAlign w:val="bottom"/>
          </w:tcPr>
          <w:p>
            <w:pPr>
              <w:spacing w:after="0"/>
              <w:rPr>
                <w:sz w:val="23"/>
                <w:szCs w:val="23"/>
                <w:color w:val="auto"/>
              </w:rPr>
            </w:pPr>
          </w:p>
        </w:tc>
        <w:tc>
          <w:tcPr>
            <w:tcW w:w="12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60" w:type="dxa"/>
            <w:vAlign w:val="bottom"/>
          </w:tcPr>
          <w:p>
            <w:pPr>
              <w:spacing w:after="0"/>
              <w:rPr>
                <w:sz w:val="23"/>
                <w:szCs w:val="23"/>
                <w:color w:val="auto"/>
              </w:rPr>
            </w:pPr>
          </w:p>
        </w:tc>
        <w:tc>
          <w:tcPr>
            <w:tcW w:w="11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23"/>
                <w:szCs w:val="2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Lamar Media</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1,992,900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41,789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2,032,140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(income)</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1,425,150</w:t>
            </w:r>
          </w:p>
        </w:tc>
        <w:tc>
          <w:tcPr>
            <w:tcW w:w="2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31,036</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1,453,637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567,750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10,753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578,503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439,149</w:t>
            </w:r>
          </w:p>
        </w:tc>
        <w:tc>
          <w:tcPr>
            <w:tcW w:w="2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561,626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439,149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561,626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Reporting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1,956,176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1,877,823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1,813,995</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218,145</w:t>
            </w:r>
          </w:p>
        </w:tc>
      </w:tr>
      <w:tr>
        <w:trPr>
          <w:trHeight w:val="223"/>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2,207,103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2,110,987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2,032,140</w:t>
            </w:r>
          </w:p>
        </w:tc>
      </w:tr>
      <w:tr>
        <w:trPr>
          <w:trHeight w:val="257"/>
        </w:trPr>
        <w:tc>
          <w:tcPr>
            <w:tcW w:w="69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Billboard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829,287</w:t>
            </w:r>
          </w:p>
        </w:tc>
      </w:tr>
      <w:tr>
        <w:trPr>
          <w:trHeight w:val="229"/>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174,702</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1,003,989</w:t>
            </w:r>
          </w:p>
        </w:tc>
      </w:tr>
      <w:tr>
        <w:trPr>
          <w:trHeight w:val="257"/>
        </w:trPr>
        <w:tc>
          <w:tcPr>
            <w:tcW w:w="6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Billboard 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1,085,547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984,708</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adjusted EBITDA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43,443</w:t>
            </w:r>
          </w:p>
        </w:tc>
      </w:tr>
      <w:tr>
        <w:trPr>
          <w:trHeight w:val="230"/>
        </w:trPr>
        <w:tc>
          <w:tcPr>
            <w:tcW w:w="696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(89,570)</w:t>
            </w:r>
          </w:p>
        </w:tc>
      </w:tr>
      <w:tr>
        <w:trPr>
          <w:trHeight w:val="223"/>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938,581</w:t>
            </w:r>
          </w:p>
        </w:tc>
      </w:tr>
    </w:tbl>
    <w:p>
      <w:pPr>
        <w:spacing w:after="0" w:line="288" w:lineRule="exact"/>
        <w:rPr>
          <w:sz w:val="20"/>
          <w:szCs w:val="20"/>
          <w:color w:val="auto"/>
        </w:rPr>
      </w:pPr>
    </w:p>
    <w:p>
      <w:pPr>
        <w:ind w:firstLine="170"/>
        <w:spacing w:after="0" w:line="282" w:lineRule="auto"/>
        <w:tabs>
          <w:tab w:leader="none" w:pos="367"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operations are not an operating segment. Corporate expenses include expenses related to infrastructure and support, including information technology, human resources, legal, finance and administrative functions of the Company, as well as overall executive, administrative and support functions.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Reconciliation of adjusted EBITDA to income before income tax expense: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938,581</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(349,449)</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(126,217)</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23"/>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368,038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456,601</w:t>
            </w: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Charged to Costs</w:t>
            </w:r>
          </w:p>
        </w:tc>
        <w:tc>
          <w:tcPr>
            <w:tcW w:w="13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6"/>
        </w:trPr>
        <w:tc>
          <w:tcPr>
            <w:tcW w:w="56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20" w:type="dxa"/>
            <w:vAlign w:val="bottom"/>
            <w:shd w:val="clear" w:color="auto" w:fill="CFF0FC"/>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trade accounts receivable: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0" w:type="dxa"/>
            <w:vAlign w:val="bottom"/>
          </w:tcPr>
          <w:p>
            <w:pPr>
              <w:spacing w:after="0"/>
              <w:rPr>
                <w:sz w:val="1"/>
                <w:szCs w:val="1"/>
                <w:color w:val="auto"/>
              </w:rPr>
            </w:pPr>
          </w:p>
        </w:tc>
      </w:tr>
      <w:tr>
        <w:trPr>
          <w:trHeight w:val="23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Deducted in balance sheet from deferred tax 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23"/>
                <w:szCs w:val="23"/>
                <w:b w:val="1"/>
                <w:bCs w:val="1"/>
                <w:color w:val="auto"/>
                <w:vertAlign w:val="superscript"/>
              </w:rPr>
              <w:t>(1)</w:t>
            </w: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Encumbrances</w:t>
            </w:r>
          </w:p>
        </w:tc>
        <w:tc>
          <w:tcPr>
            <w:tcW w:w="148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Initial Cost</w:t>
            </w:r>
            <w:r>
              <w:rPr>
                <w:rFonts w:ascii="Times New Roman" w:cs="Times New Roman" w:eastAsia="Times New Roman" w:hAnsi="Times New Roman"/>
                <w:sz w:val="23"/>
                <w:szCs w:val="23"/>
                <w:b w:val="1"/>
                <w:bCs w:val="1"/>
                <w:color w:val="auto"/>
                <w:vertAlign w:val="superscript"/>
              </w:rPr>
              <w:t>(2)</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Construction Date</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Amount</w:t>
            </w:r>
            <w:r>
              <w:rPr>
                <w:rFonts w:ascii="Times New Roman" w:cs="Times New Roman" w:eastAsia="Times New Roman" w:hAnsi="Times New Roman"/>
                <w:sz w:val="23"/>
                <w:szCs w:val="23"/>
                <w:b w:val="1"/>
                <w:bCs w:val="1"/>
                <w:color w:val="auto"/>
                <w:w w:val="95"/>
                <w:vertAlign w:val="superscript"/>
              </w:rPr>
              <w:t>(3)</w:t>
            </w:r>
          </w:p>
        </w:tc>
        <w:tc>
          <w:tcPr>
            <w:tcW w:w="18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360,487 Displays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4,170,086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(2,797,682)</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20" w:type="dxa"/>
            <w:vAlign w:val="bottom"/>
          </w:tcPr>
          <w:p>
            <w:pPr>
              <w:spacing w:after="0"/>
              <w:rPr>
                <w:sz w:val="19"/>
                <w:szCs w:val="19"/>
                <w:color w:val="auto"/>
              </w:rPr>
            </w:pPr>
          </w:p>
        </w:tc>
        <w:tc>
          <w:tcPr>
            <w:tcW w:w="12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9"/>
              </w:rPr>
              <w:t>5 to 20 years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single asset exceeded 5% of the total gross carrying amount at December 31, 2024</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omitted, as it would be impracticable to compile such information on a site-by-site basis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sites under construction</w:t>
      </w:r>
    </w:p>
    <w:p>
      <w:pPr>
        <w:spacing w:after="0" w:line="217"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Company’s real estate assets, which consists of advertising displays and the related accumulated depreciation.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0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real estate assets: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3,883,556</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3,745,006</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3,439,618</w:t>
            </w:r>
          </w:p>
        </w:tc>
      </w:tr>
      <w:tr>
        <w:trPr>
          <w:trHeight w:val="230"/>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on new advertising displays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80,241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85,972</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on improvements/redevelopments of new/existing advertising displays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29"/>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Capital expenditures other recurring</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141,030</w:t>
            </w:r>
          </w:p>
        </w:tc>
      </w:tr>
      <w:tr>
        <w:trPr>
          <w:trHeight w:val="230"/>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Land acquisitions</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31,061</w:t>
            </w:r>
          </w:p>
        </w:tc>
      </w:tr>
      <w:tr>
        <w:trPr>
          <w:trHeight w:val="229"/>
        </w:trPr>
        <w:tc>
          <w:tcPr>
            <w:tcW w:w="7060" w:type="dxa"/>
            <w:vAlign w:val="bottom"/>
            <w:shd w:val="clear" w:color="auto" w:fill="CFF0FC"/>
          </w:tcPr>
          <w:p>
            <w:pPr>
              <w:ind w:left="180"/>
              <w:spacing w:after="0" w:line="230" w:lineRule="exact"/>
              <w:rPr>
                <w:sz w:val="20"/>
                <w:szCs w:val="20"/>
                <w:color w:val="auto"/>
              </w:rPr>
            </w:pPr>
            <w:r>
              <w:rPr>
                <w:rFonts w:ascii="Times New Roman" w:cs="Times New Roman" w:eastAsia="Times New Roman" w:hAnsi="Times New Roman"/>
                <w:sz w:val="18"/>
                <w:szCs w:val="18"/>
                <w:color w:val="auto"/>
              </w:rPr>
              <w:t>Acquisition of advertising displays</w:t>
            </w:r>
            <w:r>
              <w:rPr>
                <w:rFonts w:ascii="Times New Roman" w:cs="Times New Roman" w:eastAsia="Times New Roman" w:hAnsi="Times New Roman"/>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64,223</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(39,149)</w:t>
            </w: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4,170,086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3,883,556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3,745,006</w:t>
            </w:r>
          </w:p>
        </w:tc>
      </w:tr>
      <w:tr>
        <w:trPr>
          <w:trHeight w:val="20"/>
        </w:trPr>
        <w:tc>
          <w:tcPr>
            <w:tcW w:w="70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2,440,956</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2,287,590</w:t>
            </w:r>
          </w:p>
        </w:tc>
      </w:tr>
      <w:tr>
        <w:trPr>
          <w:trHeight w:val="230"/>
        </w:trPr>
        <w:tc>
          <w:tcPr>
            <w:tcW w:w="7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124,072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185,820</w:t>
            </w: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sold or written-off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w:t>
            </w:r>
          </w:p>
        </w:tc>
      </w:tr>
      <w:tr>
        <w:trPr>
          <w:trHeight w:val="230"/>
        </w:trPr>
        <w:tc>
          <w:tcPr>
            <w:tcW w:w="7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2,797,682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2,529,560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2,440,956</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$377, $1,138 and $2,367 at December 31, 2024, 2023 and 2022, respectively</w:t>
      </w:r>
    </w:p>
    <w:p>
      <w:pPr>
        <w:spacing w:after="0" w:line="59" w:lineRule="exact"/>
        <w:rPr>
          <w:rFonts w:ascii="Times New Roman" w:cs="Times New Roman" w:eastAsia="Times New Roman" w:hAnsi="Times New Roman"/>
          <w:sz w:val="16"/>
          <w:szCs w:val="16"/>
          <w:color w:val="auto"/>
        </w:rPr>
      </w:pPr>
    </w:p>
    <w:p>
      <w:pPr>
        <w:ind w:left="340" w:hanging="332"/>
        <w:spacing w:after="0" w:line="290" w:lineRule="auto"/>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$211,246, $1,186 and $103,019 at December 31, 2024, 2023 and 2022, respectively, related to the revision in cost estimate included in the calculation of asset retirement obligations</w:t>
      </w: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preliminary allocation of assets acquired during 2022</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amounts of $72, $3,052 and $11,132 at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900"/>
        <w:spacing w:after="0" w:line="440"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 Lamar Advertising Company</w:t>
      </w:r>
    </w:p>
    <w:p>
      <w:pPr>
        <w:spacing w:after="0" w:line="1" w:lineRule="exact"/>
        <w:rPr>
          <w:sz w:val="20"/>
          <w:szCs w:val="20"/>
          <w:color w:val="auto"/>
        </w:rPr>
      </w:pPr>
    </w:p>
    <w:p>
      <w:pPr>
        <w:jc w:val="center"/>
        <w:ind w:right="9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9680"/>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center"/>
        <w:ind w:right="9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2024,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Company’s Management Report on Internal Control Over Financial Reporting is set forth on page 46 of this combined Annual Report and is incorporated herein by reference.</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Lamar Media’s Management Report on Internal Control Over Financial Reporting is set forth on page 84 of this combined Annual Report and is incorporated herein by reference.</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has materially affected, or is reasonably likely to materially affect, the Company’s or Lamar Media’s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579"/>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jc w:val="center"/>
        <w:ind w:right="8559"/>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1779"/>
        <w:spacing w:after="0" w:line="440" w:lineRule="auto"/>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 Lamar Advertising Company</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2025 Annual Meeting of Stockholders to be filed with the SEC within 120 days after the end of the fiscal year ended December 31, 2024.</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wavier, including any implicit wavier, from a provision of the code to any of our executive officers or directors, we will disclose the nature of such amendment or waiver in a report on Form 8-K.</w:t>
      </w:r>
    </w:p>
    <w:p>
      <w:pPr>
        <w:spacing w:after="0" w:line="2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2025 Annual Meeting of Stockholders to be filed with the SEC within 120 days after the end of the fiscal year ended December 31, 2024.</w:t>
      </w:r>
    </w:p>
    <w:p>
      <w:pPr>
        <w:spacing w:after="0" w:line="266"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2025 Annual Meeting of Stockholders to be filed with the SEC within 120 days after the end of the fiscal year ended December 31, 2024.</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2025 Annual Meeting of Stockholders to be filed with the SEC within 120 days after the end of the fiscal year ended December 31, 2024.</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Lamar Advertising Company’s Proxy Statement for its 2025 Annual Meeting of Stockholders to be filed with the SEC within 120 days after the end of the fiscal year ended December 31,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7" w:lineRule="exact"/>
        <w:rPr>
          <w:sz w:val="20"/>
          <w:szCs w:val="20"/>
          <w:color w:val="auto"/>
        </w:rPr>
      </w:pPr>
    </w:p>
    <w:p>
      <w:pPr>
        <w:ind w:left="860" w:hanging="285"/>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financial statements are listed under Part II, Item 8 of this Annual Report.</w:t>
      </w:r>
    </w:p>
    <w:p>
      <w:pPr>
        <w:spacing w:after="0" w:line="223" w:lineRule="exact"/>
        <w:rPr>
          <w:sz w:val="20"/>
          <w:szCs w:val="20"/>
          <w:color w:val="auto"/>
        </w:rPr>
      </w:pPr>
    </w:p>
    <w:p>
      <w:pPr>
        <w:ind w:left="760" w:hanging="185"/>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financial statement schedules are included under Part II, Item 8 of this Annual Report.</w:t>
      </w:r>
    </w:p>
    <w:p>
      <w:pPr>
        <w:spacing w:after="0" w:line="223" w:lineRule="exact"/>
        <w:rPr>
          <w:sz w:val="20"/>
          <w:szCs w:val="20"/>
          <w:color w:val="auto"/>
        </w:rPr>
      </w:pPr>
    </w:p>
    <w:p>
      <w:pPr>
        <w:ind w:left="760" w:hanging="185"/>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report are listed on the Exhibit Index immediately preceding the signature page hereto, which Exhibit Index is incorporated herein by reference.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Exhibits required by Item 601 of Regulation S-K are listed on the Exhibit Index immediately preceding the signature page hereto.</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7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256"/>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318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2(a)</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Agreement and Plan of Merger by and between Lamar Advertising</w:t>
            </w:r>
          </w:p>
        </w:tc>
      </w:tr>
      <w:tr>
        <w:trPr>
          <w:trHeight w:val="176"/>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Company (the “Company”) and Lamar Advertising REIT</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dated August 27, 2014.</w:t>
            </w: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3(a)</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w:t>
            </w:r>
          </w:p>
        </w:tc>
      </w:tr>
      <w:tr>
        <w:trPr>
          <w:trHeight w:val="176"/>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Company, as filed with the Secretary of the State of Delaware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effective as of November 18, 2014.</w:t>
            </w:r>
          </w:p>
        </w:tc>
      </w:tr>
      <w:tr>
        <w:trPr>
          <w:trHeight w:val="2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3(b)</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Certificate of Merger, effective as of November 18, 2014.</w:t>
            </w:r>
          </w:p>
        </w:tc>
      </w:tr>
      <w:tr>
        <w:trPr>
          <w:trHeight w:val="59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3(c)</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Bylaws of the Company, adopted as of</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November 18, 2014.</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3(d)</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Certificate of Incorporation of Lamar</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Media.</w:t>
            </w:r>
          </w:p>
        </w:tc>
      </w:tr>
      <w:tr>
        <w:trPr>
          <w:trHeight w:val="64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3(e)</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Amended and Restated Bylaws of Lamar Media.</w:t>
            </w:r>
          </w:p>
        </w:tc>
      </w:tr>
      <w:tr>
        <w:trPr>
          <w:trHeight w:val="76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Specimen certificate for the shares of Class A common stock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Specimen certificate for the shares of Class B common stock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4(a)(3)</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Description of Securities Registered Under Section 12 of the</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Exchange Act.</w:t>
            </w:r>
          </w:p>
        </w:tc>
      </w:tr>
      <w:tr>
        <w:trPr>
          <w:trHeight w:val="58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4(b)(1)</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Indenture, dated as of October 30, 2012, among Lamar Media, the</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r>
      <w:tr>
        <w:trPr>
          <w:trHeight w:val="184"/>
        </w:trPr>
        <w:tc>
          <w:tcPr>
            <w:tcW w:w="900" w:type="dxa"/>
            <w:vAlign w:val="bottom"/>
          </w:tcPr>
          <w:p>
            <w:pPr>
              <w:spacing w:after="0"/>
              <w:rPr>
                <w:sz w:val="16"/>
                <w:szCs w:val="16"/>
                <w:color w:val="auto"/>
              </w:rPr>
            </w:pPr>
          </w:p>
        </w:tc>
        <w:tc>
          <w:tcPr>
            <w:tcW w:w="526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Senior Subordinated Notes due 2023.</w:t>
            </w: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5% Senior Subordinated Notes due 2023.</w:t>
            </w:r>
          </w:p>
        </w:tc>
      </w:tr>
      <w:tr>
        <w:trPr>
          <w:trHeight w:val="82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4(b)(3)</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5% Senior Subordinated Exchange Notes due 2023.</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Previously filed as Exhibit 2.1 to the Company’s Current Report on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Form 8-K (File No. 0-30242) filed on September 2, 2014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Previously filed as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Previously filed as Exhibit 3.2 to the Company’s Current Report on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Previously filed as Exhibit 3.3 to the Company’s Current Report 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20"/>
        <w:spacing w:after="0" w:line="21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Previously filed as Exhibit 3.2 to Lamar Media’s Quarterly Report</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on Form 10-Q for the period ended March 31, 2007 (File No. 0-</w:t>
        </w:r>
      </w:hyperlink>
      <w:hyperlink r:id="rId149">
        <w:r>
          <w:rPr>
            <w:rFonts w:ascii="Times New Roman" w:cs="Times New Roman" w:eastAsia="Times New Roman" w:hAnsi="Times New Roman"/>
            <w:sz w:val="18"/>
            <w:szCs w:val="18"/>
            <w:u w:val="single" w:color="auto"/>
            <w:color w:val="0000FF"/>
          </w:rPr>
          <w:t>30242) filed on May 10, 2007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8"/>
          <w:szCs w:val="18"/>
          <w:u w:val="single" w:color="auto"/>
          <w:color w:val="0000FF"/>
        </w:rPr>
      </w:pPr>
    </w:p>
    <w:p>
      <w:pPr>
        <w:ind w:right="120"/>
        <w:spacing w:after="0" w:line="227" w:lineRule="auto"/>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Previously filed as Exhibit 3.1 to Lamar Media’s Quarterly Report</w:t>
        </w:r>
      </w:hyperlink>
      <w:r>
        <w:rPr>
          <w:rFonts w:ascii="Times New Roman" w:cs="Times New Roman" w:eastAsia="Times New Roman" w:hAnsi="Times New Roman"/>
          <w:sz w:val="17"/>
          <w:szCs w:val="17"/>
          <w:u w:val="single" w:color="auto"/>
          <w:color w:val="0000FF"/>
        </w:rPr>
        <w:t xml:space="preserve"> </w:t>
      </w:r>
      <w:hyperlink r:id="rId150">
        <w:r>
          <w:rPr>
            <w:rFonts w:ascii="Times New Roman" w:cs="Times New Roman" w:eastAsia="Times New Roman" w:hAnsi="Times New Roman"/>
            <w:sz w:val="17"/>
            <w:szCs w:val="17"/>
            <w:u w:val="single" w:color="auto"/>
            <w:color w:val="0000FF"/>
          </w:rPr>
          <w:t>on Form 10-Q for the period ended September 30, 1999 (File No.</w:t>
        </w:r>
      </w:hyperlink>
    </w:p>
    <w:p>
      <w:pPr>
        <w:spacing w:after="0" w:line="1" w:lineRule="exact"/>
        <w:rPr>
          <w:sz w:val="20"/>
          <w:szCs w:val="20"/>
          <w:color w:val="auto"/>
        </w:rPr>
      </w:pPr>
    </w:p>
    <w:p>
      <w:pPr>
        <w:ind w:right="180"/>
        <w:spacing w:after="0" w:line="233"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1-12407) filed on November 12, 1999 and incorporated herein by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reference.</w:t>
        </w:r>
      </w:hyperlink>
    </w:p>
    <w:p>
      <w:pPr>
        <w:spacing w:after="0" w:line="5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Previously filed as Exhibit 4.2 to the Company’s Current Report on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Previously filed as Exhibit 4.3 to the Company’s Current Report on</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280"/>
        <w:spacing w:after="0" w:line="229" w:lineRule="auto"/>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Previously filed as Exhibit 4(a)(3) to the Company’s Annual</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Reporting on Form 10-K for the year ended December 31, 2019</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(File No. 1-36756) filed on February 20, 2020 and incorporated</w:t>
        </w:r>
      </w:hyperlink>
    </w:p>
    <w:p>
      <w:pPr>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herein 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Form 8-K (File No. 0-30242) filed on October 31, 2012 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40"/>
        <w:spacing w:after="0" w:line="21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Previously filed with the Indenture dated October 30, 2012, filed as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No. 0-30242) filed on October 31, 2012, and incorporated herein</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8"/>
          <w:szCs w:val="18"/>
          <w:u w:val="single" w:color="auto"/>
          <w:color w:val="0000FF"/>
        </w:rPr>
      </w:pPr>
    </w:p>
    <w:p>
      <w:pPr>
        <w:ind w:right="40"/>
        <w:spacing w:after="0" w:line="21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Previously filed with the Indenture dated October 30, 2012, filed as</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No. 0-30242) filed on October 31, 2012, and incorporated herein</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180" w:space="160"/>
            <w:col w:w="4880"/>
          </w:cols>
          <w:pgMar w:left="320" w:top="121" w:right="3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8"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4(b)(4)</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30, 2012,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May 31, 2013,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 2014,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July 28, 2015,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500"/>
        <w:spacing w:after="0" w:line="226" w:lineRule="auto"/>
        <w:rPr>
          <w:sz w:val="20"/>
          <w:szCs w:val="20"/>
          <w:color w:val="auto"/>
        </w:rPr>
      </w:pPr>
      <w:r>
        <w:rPr>
          <w:rFonts w:ascii="Times New Roman" w:cs="Times New Roman" w:eastAsia="Times New Roman" w:hAnsi="Times New Roman"/>
          <w:sz w:val="18"/>
          <w:szCs w:val="18"/>
          <w:color w:val="auto"/>
        </w:rPr>
        <w:t>as of January 22, 2019, relating to Lamar Media’s 5% Senior Subordinated Notes due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Previously filed as Exhibit 4(h)(4) to the Company’s Annual</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Previously filed as Exhibit 4(h)(5) to the Company’s Annual</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Previously filed as Exhibit 4(h)(6) to the Company’s Annual</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80"/>
        <w:spacing w:after="0" w:line="216"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Previously filed as Exhibit 4.4 to the Company’s Quarterly Report</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on Form 10-Q for the period ended June 30, 2013 (File No. 0-</w:t>
        </w:r>
      </w:hyperlink>
      <w:hyperlink r:id="rId161">
        <w:r>
          <w:rPr>
            <w:rFonts w:ascii="Times New Roman" w:cs="Times New Roman" w:eastAsia="Times New Roman" w:hAnsi="Times New Roman"/>
            <w:sz w:val="18"/>
            <w:szCs w:val="18"/>
            <w:u w:val="single" w:color="auto"/>
            <w:color w:val="0000FF"/>
          </w:rPr>
          <w:t>30242) filed on August 8, 2013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ind w:right="40"/>
        <w:spacing w:after="0" w:line="239"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Previously filed as Exhibit 4.5 to the Company’s Quarterly Report</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on Form 10-Q for the period ended March 31, 2014 (File No. 0-</w:t>
        </w:r>
      </w:hyperlink>
      <w:hyperlink r:id="rId162">
        <w:r>
          <w:rPr>
            <w:rFonts w:ascii="Times New Roman" w:cs="Times New Roman" w:eastAsia="Times New Roman" w:hAnsi="Times New Roman"/>
            <w:sz w:val="17"/>
            <w:szCs w:val="17"/>
            <w:u w:val="single" w:color="auto"/>
            <w:color w:val="0000FF"/>
          </w:rPr>
          <w:t>30242) filed on May 7, 2014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on Form 10-Q for the period ended September 30, 2015 (File No.</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1-36756) filed on November 5, 2015 and incorporated herein by</w:t>
        </w:r>
      </w:hyperlink>
    </w:p>
    <w:p>
      <w:pPr>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Previously filed as Exhibit 4(c)(10) to the Company’s Annual</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65">
        <w:r>
          <w:rPr>
            <w:rFonts w:ascii="Times New Roman" w:cs="Times New Roman" w:eastAsia="Times New Roman" w:hAnsi="Times New Roman"/>
            <w:sz w:val="17"/>
            <w:szCs w:val="17"/>
            <w:u w:val="single" w:color="auto"/>
            <w:color w:val="0000FF"/>
          </w:rPr>
          <w:t>Previously filed as Exhibit 4(c)(11) to the Company’s Annual</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66">
        <w:r>
          <w:rPr>
            <w:rFonts w:ascii="Times New Roman" w:cs="Times New Roman" w:eastAsia="Times New Roman" w:hAnsi="Times New Roman"/>
            <w:sz w:val="17"/>
            <w:szCs w:val="17"/>
            <w:u w:val="single" w:color="auto"/>
            <w:color w:val="0000FF"/>
          </w:rPr>
          <w:t>on Form 10-Q for the period ended March 31, 2019 (File No. 1-</w:t>
        </w:r>
      </w:hyperlink>
      <w:hyperlink r:id="rId166">
        <w:r>
          <w:rPr>
            <w:rFonts w:ascii="Times New Roman" w:cs="Times New Roman" w:eastAsia="Times New Roman" w:hAnsi="Times New Roman"/>
            <w:sz w:val="17"/>
            <w:szCs w:val="17"/>
            <w:u w:val="single" w:color="auto"/>
            <w:color w:val="0000FF"/>
          </w:rPr>
          <w:t>36756) filed on May 2, 2019,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4(b)(13)</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4(b)(14)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October 30,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2012,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August 15, 2019, relating to Lamar Media’s 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 due 2023.</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10, 2014,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 Senior Notes due 2024.</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3/8% Senior Notes due 2024.</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3/8% Senior Exchange Notes due 2024.</w:t>
            </w:r>
          </w:p>
        </w:tc>
        <w:tc>
          <w:tcPr>
            <w:tcW w:w="0" w:type="dxa"/>
            <w:vAlign w:val="bottom"/>
          </w:tcPr>
          <w:p>
            <w:pPr>
              <w:spacing w:after="0"/>
              <w:rPr>
                <w:sz w:val="1"/>
                <w:szCs w:val="1"/>
                <w:color w:val="auto"/>
              </w:rPr>
            </w:pPr>
          </w:p>
        </w:tc>
      </w:tr>
      <w:tr>
        <w:trPr>
          <w:trHeight w:val="77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July 28, 2015,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4(c)(8)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220"/>
        <w:spacing w:after="0" w:line="226" w:lineRule="auto"/>
        <w:rPr>
          <w:sz w:val="20"/>
          <w:szCs w:val="20"/>
          <w:color w:val="auto"/>
        </w:rPr>
      </w:pPr>
      <w:r>
        <w:rPr>
          <w:rFonts w:ascii="Times New Roman" w:cs="Times New Roman" w:eastAsia="Times New Roman" w:hAnsi="Times New Roman"/>
          <w:sz w:val="18"/>
          <w:szCs w:val="18"/>
          <w:color w:val="auto"/>
        </w:rPr>
        <w:t>as of January 22, 2019, relating to Lamar Media’s 5 3/8% Senior Notes due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169">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169">
        <w:r>
          <w:rPr>
            <w:rFonts w:ascii="Times New Roman" w:cs="Times New Roman" w:eastAsia="Times New Roman" w:hAnsi="Times New Roman"/>
            <w:sz w:val="17"/>
            <w:szCs w:val="17"/>
            <w:u w:val="single" w:color="auto"/>
            <w:color w:val="0000FF"/>
          </w:rPr>
          <w:t>on Form 10-Q for the period ended March 31, 2019 (File No. 1-</w:t>
        </w:r>
      </w:hyperlink>
      <w:hyperlink r:id="rId169">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70">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70">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Form 8-K (File No. 0-30242) filed on January 15, 2014 and</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71">
        <w:r>
          <w:rPr>
            <w:rFonts w:ascii="Times New Roman" w:cs="Times New Roman" w:eastAsia="Times New Roman" w:hAnsi="Times New Roman"/>
            <w:sz w:val="17"/>
            <w:szCs w:val="17"/>
            <w:u w:val="single" w:color="auto"/>
            <w:color w:val="0000FF"/>
          </w:rPr>
          <w:t>Previously filed with the Indenture dated January 10, 2014, filed as</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No. 0-30242) filed on January 15, 2014 and incorporated herein by</w:t>
        </w:r>
      </w:hyperlink>
    </w:p>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71">
        <w:r>
          <w:rPr>
            <w:rFonts w:ascii="Times New Roman" w:cs="Times New Roman" w:eastAsia="Times New Roman" w:hAnsi="Times New Roman"/>
            <w:sz w:val="17"/>
            <w:szCs w:val="17"/>
            <w:u w:val="single" w:color="auto"/>
            <w:color w:val="0000FF"/>
          </w:rPr>
          <w:t>Previously filed with the Indenture dated January 10, 2014, filed as</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71">
        <w:r>
          <w:rPr>
            <w:rFonts w:ascii="Times New Roman" w:cs="Times New Roman" w:eastAsia="Times New Roman" w:hAnsi="Times New Roman"/>
            <w:sz w:val="17"/>
            <w:szCs w:val="17"/>
            <w:u w:val="single" w:color="auto"/>
            <w:color w:val="0000FF"/>
          </w:rPr>
          <w:t>No. 0-30242) filed on January 15, 2014 and incorporated herein by</w:t>
        </w:r>
      </w:hyperlink>
    </w:p>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80"/>
        <w:spacing w:after="0" w:line="227" w:lineRule="auto"/>
        <w:rPr>
          <w:rFonts w:ascii="Times New Roman" w:cs="Times New Roman" w:eastAsia="Times New Roman" w:hAnsi="Times New Roman"/>
          <w:sz w:val="17"/>
          <w:szCs w:val="17"/>
          <w:u w:val="single" w:color="auto"/>
          <w:color w:val="0000FF"/>
        </w:rPr>
      </w:pPr>
      <w:hyperlink r:id="rId172">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172">
        <w:r>
          <w:rPr>
            <w:rFonts w:ascii="Times New Roman" w:cs="Times New Roman" w:eastAsia="Times New Roman" w:hAnsi="Times New Roman"/>
            <w:sz w:val="17"/>
            <w:szCs w:val="17"/>
            <w:u w:val="single" w:color="auto"/>
            <w:color w:val="0000FF"/>
          </w:rPr>
          <w:t>on Form 10-Q for the period ended September 30, 2015 (File No.</w:t>
        </w:r>
      </w:hyperlink>
    </w:p>
    <w:p>
      <w:pPr>
        <w:spacing w:after="0" w:line="1" w:lineRule="exact"/>
        <w:rPr>
          <w:sz w:val="20"/>
          <w:szCs w:val="20"/>
          <w:color w:val="auto"/>
        </w:rPr>
      </w:pPr>
    </w:p>
    <w:p>
      <w:pPr>
        <w:ind w:right="220"/>
        <w:spacing w:after="0" w:line="233"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1-36756) filed on November 5, 2015 and incorporated herein by</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reference.</w:t>
        </w:r>
      </w:hyperlink>
    </w:p>
    <w:p>
      <w:pPr>
        <w:spacing w:after="0" w:line="240"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173">
        <w:r>
          <w:rPr>
            <w:rFonts w:ascii="Times New Roman" w:cs="Times New Roman" w:eastAsia="Times New Roman" w:hAnsi="Times New Roman"/>
            <w:sz w:val="17"/>
            <w:szCs w:val="17"/>
            <w:u w:val="single" w:color="auto"/>
            <w:color w:val="0000FF"/>
          </w:rPr>
          <w:t>Previously filed as Exhibit 4(d)(5) to the Company’s Annual</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73">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74">
        <w:r>
          <w:rPr>
            <w:rFonts w:ascii="Times New Roman" w:cs="Times New Roman" w:eastAsia="Times New Roman" w:hAnsi="Times New Roman"/>
            <w:sz w:val="17"/>
            <w:szCs w:val="17"/>
            <w:u w:val="single" w:color="auto"/>
            <w:color w:val="0000FF"/>
          </w:rPr>
          <w:t>Previously filed as Exhibit 4(d)(6) to the Company’s Annual</w:t>
        </w:r>
      </w:hyperlink>
      <w:r>
        <w:rPr>
          <w:rFonts w:ascii="Times New Roman" w:cs="Times New Roman" w:eastAsia="Times New Roman" w:hAnsi="Times New Roman"/>
          <w:sz w:val="17"/>
          <w:szCs w:val="17"/>
          <w:u w:val="single" w:color="auto"/>
          <w:color w:val="0000FF"/>
        </w:rPr>
        <w:t xml:space="preserve"> </w:t>
      </w:r>
      <w:hyperlink r:id="rId174">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74">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75">
        <w:r>
          <w:rPr>
            <w:rFonts w:ascii="Times New Roman" w:cs="Times New Roman" w:eastAsia="Times New Roman" w:hAnsi="Times New Roman"/>
            <w:sz w:val="17"/>
            <w:szCs w:val="17"/>
            <w:u w:val="single" w:color="auto"/>
            <w:color w:val="0000FF"/>
          </w:rPr>
          <w:t>Previously filed as Exhibit 4.4 to the Company’s Quarterly Report</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on Form 10-Q for the period ended March 31, 2019 (File No. 1-</w:t>
        </w:r>
      </w:hyperlink>
      <w:hyperlink r:id="rId175">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76">
        <w:r>
          <w:rPr>
            <w:rFonts w:ascii="Times New Roman" w:cs="Times New Roman" w:eastAsia="Times New Roman" w:hAnsi="Times New Roman"/>
            <w:sz w:val="17"/>
            <w:szCs w:val="17"/>
            <w:u w:val="single" w:color="auto"/>
            <w:color w:val="0000FF"/>
          </w:rPr>
          <w:t>Previously filed as Exhibit 4.5 to the Company’s Quarterly Report</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on Form 10-Q for the period ended March 31, 2019 (File No. 1-</w:t>
        </w:r>
      </w:hyperlink>
      <w:hyperlink r:id="rId176">
        <w:r>
          <w:rPr>
            <w:rFonts w:ascii="Times New Roman" w:cs="Times New Roman" w:eastAsia="Times New Roman" w:hAnsi="Times New Roman"/>
            <w:sz w:val="17"/>
            <w:szCs w:val="17"/>
            <w:u w:val="single" w:color="auto"/>
            <w:color w:val="0000FF"/>
          </w:rPr>
          <w:t>36756) filed on May 2, 2019,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4(c)(9)</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January 10,</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2014,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August 15, 2019, relating to Lamar Media’s 5 3/8%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28, 2016,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5</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 Senior Notes due 2026.</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3/4% Senior Notes due 2026.</w:t>
            </w:r>
          </w:p>
        </w:tc>
        <w:tc>
          <w:tcPr>
            <w:tcW w:w="0" w:type="dxa"/>
            <w:vAlign w:val="bottom"/>
          </w:tcPr>
          <w:p>
            <w:pPr>
              <w:spacing w:after="0"/>
              <w:rPr>
                <w:sz w:val="1"/>
                <w:szCs w:val="1"/>
                <w:color w:val="auto"/>
              </w:rPr>
            </w:pPr>
          </w:p>
        </w:tc>
      </w:tr>
      <w:tr>
        <w:trPr>
          <w:trHeight w:val="82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5 3/4% Senior Exchange Notes due 2026.</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December 14, 2017,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of January 22, 2019, relating to Lamar Media’s 5 3/4%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dated as of February 1, 2019, between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Lamar Media, the Guarantors named therein and The Bank of New</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York Mellon Trust Company, N.A., as Trustee, relating to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Media’s 5 3/4% Senior Notes due 2026.</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4(d)(9)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28,</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2016, among Lamar Media, the Guarantors named therein and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Bank of New York Mellon Trust Company, N.A., as Trustee, dated</w:t>
            </w:r>
          </w:p>
        </w:tc>
        <w:tc>
          <w:tcPr>
            <w:tcW w:w="0" w:type="dxa"/>
            <w:vAlign w:val="bottom"/>
          </w:tcPr>
          <w:p>
            <w:pPr>
              <w:spacing w:after="0"/>
              <w:rPr>
                <w:sz w:val="1"/>
                <w:szCs w:val="1"/>
                <w:color w:val="auto"/>
              </w:rPr>
            </w:pPr>
          </w:p>
        </w:tc>
      </w:tr>
    </w:tbl>
    <w:p>
      <w:pPr>
        <w:ind w:left="1320" w:right="260"/>
        <w:spacing w:after="0" w:line="226" w:lineRule="auto"/>
        <w:rPr>
          <w:sz w:val="20"/>
          <w:szCs w:val="20"/>
          <w:color w:val="auto"/>
        </w:rPr>
      </w:pPr>
      <w:r>
        <w:rPr>
          <w:rFonts w:ascii="Times New Roman" w:cs="Times New Roman" w:eastAsia="Times New Roman" w:hAnsi="Times New Roman"/>
          <w:sz w:val="18"/>
          <w:szCs w:val="18"/>
          <w:color w:val="auto"/>
        </w:rPr>
        <w:t>as of August 15, 2019, relating to Lamar Media’s 5 3/4% Senior Notes due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Previously filed as Exhibit 4.1 to the Company’s Current Report on</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Form 8-K (File No. 1-36756) filed on February 1, 2016 and</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Previously filed with the Indenture dated January 28, 2016, filed as</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No. 1-36756) filed on February 1, 2016 and incorporated herein by</w:t>
        </w:r>
      </w:hyperlink>
    </w:p>
    <w:p>
      <w:pPr>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Previously filed with the Indenture dated January 28, 2016, filed as</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No. 1-36756) filed on February 1, 2016 and incorporated herein by</w:t>
        </w:r>
      </w:hyperlink>
    </w:p>
    <w:p>
      <w:pPr>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81">
        <w:r>
          <w:rPr>
            <w:rFonts w:ascii="Times New Roman" w:cs="Times New Roman" w:eastAsia="Times New Roman" w:hAnsi="Times New Roman"/>
            <w:sz w:val="17"/>
            <w:szCs w:val="17"/>
            <w:u w:val="single" w:color="auto"/>
            <w:color w:val="0000FF"/>
          </w:rPr>
          <w:t>Previously filed as Exhibit 4(e)(4) to the Company’s Annual</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Previously filed as Exhibit 4(e)(5) to the Company’s Annual</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Report on Form 10-K for the year ended December 31, 2017 (File</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No. 1-36756) filed on February 27, 2018 and incorporated herein</w:t>
        </w:r>
      </w:hyperlink>
    </w:p>
    <w:p>
      <w:pPr>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Previously filed as Exhibit 4.6 to the Company’s Quarterly Report</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on Form 10-Q for the period ended March 31, 2019 (File No. 1-</w:t>
        </w:r>
      </w:hyperlink>
      <w:hyperlink r:id="rId183">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84">
        <w:r>
          <w:rPr>
            <w:rFonts w:ascii="Times New Roman" w:cs="Times New Roman" w:eastAsia="Times New Roman" w:hAnsi="Times New Roman"/>
            <w:sz w:val="17"/>
            <w:szCs w:val="17"/>
            <w:u w:val="single" w:color="auto"/>
            <w:color w:val="0000FF"/>
          </w:rPr>
          <w:t>Previously filed as Exhibit 4.7 to the Company’s Quarterly Report</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on Form 10-Q for the period ended March 31, 2019 (File No. 1-</w:t>
        </w:r>
      </w:hyperlink>
      <w:hyperlink r:id="rId184">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Report on Form 8-K (File No. 1-36756) filed on February 6, 2019</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jc w:val="both"/>
        <w:ind w:right="80"/>
        <w:spacing w:after="0" w:line="229" w:lineRule="auto"/>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on Form 10-Q for the period ended September 30, 2019 (File No.</w:t>
        </w:r>
      </w:hyperlink>
      <w:r>
        <w:rPr>
          <w:rFonts w:ascii="Times New Roman" w:cs="Times New Roman" w:eastAsia="Times New Roman" w:hAnsi="Times New Roman"/>
          <w:sz w:val="17"/>
          <w:szCs w:val="17"/>
          <w:u w:val="single" w:color="auto"/>
          <w:color w:val="0000FF"/>
        </w:rPr>
        <w:t xml:space="preserve"> </w:t>
      </w:r>
      <w:hyperlink r:id="rId186">
        <w:r>
          <w:rPr>
            <w:rFonts w:ascii="Times New Roman" w:cs="Times New Roman" w:eastAsia="Times New Roman" w:hAnsi="Times New Roman"/>
            <w:sz w:val="17"/>
            <w:szCs w:val="17"/>
            <w:u w:val="single" w:color="auto"/>
            <w:color w:val="0000FF"/>
          </w:rPr>
          <w:t>1-36756) filed on November 5, 2019, and incorporated herein by</w:t>
        </w:r>
      </w:hyperlink>
    </w:p>
    <w:p>
      <w:pPr>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6200" w:space="140"/>
            <w:col w:w="4840"/>
          </w:cols>
          <w:pgMar w:left="320" w:top="121" w:right="3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4(e)(1)</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Indenture, dated as of February 6,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3</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 Senior Notes due 2028.</w:t>
            </w:r>
          </w:p>
        </w:tc>
        <w:tc>
          <w:tcPr>
            <w:tcW w:w="0" w:type="dxa"/>
            <w:vAlign w:val="bottom"/>
          </w:tcPr>
          <w:p>
            <w:pPr>
              <w:spacing w:after="0"/>
              <w:rPr>
                <w:sz w:val="1"/>
                <w:szCs w:val="1"/>
                <w:color w:val="auto"/>
              </w:rPr>
            </w:pPr>
          </w:p>
        </w:tc>
      </w:tr>
      <w:tr>
        <w:trPr>
          <w:trHeight w:val="28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3 3/4% Senior Notes due 2028.</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3 3/4% Senior Exchange Notes due 2028.</w:t>
            </w:r>
          </w:p>
        </w:tc>
        <w:tc>
          <w:tcPr>
            <w:tcW w:w="0" w:type="dxa"/>
            <w:vAlign w:val="bottom"/>
          </w:tcPr>
          <w:p>
            <w:pPr>
              <w:spacing w:after="0"/>
              <w:rPr>
                <w:sz w:val="1"/>
                <w:szCs w:val="1"/>
                <w:color w:val="auto"/>
              </w:rPr>
            </w:pPr>
          </w:p>
        </w:tc>
      </w:tr>
      <w:tr>
        <w:trPr>
          <w:trHeight w:val="76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February 6,</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relating to Lamar Media’s 3.750% Senior Notes due 2028.</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February 6,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3.750% Senior Notes due 2028.</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May 14, 2024,</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National Association, as Trustee, dated as of</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February 6, 2020, relating to Lamar Media’s 3.750% Senior Notes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2028.</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July 1, 2024,</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National Association, as Trustee, dated as of</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February 6, 2020, relating to Lamar Media’s 3.750% Senior Notes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2028.</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4(e)(8)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December 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2024,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Trust Company, National Association, as Trustee, dated as of</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February 6, 2020, relating to Lamar Media’s 3.750% Senior Notes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2028.</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February 6,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4%</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0" w:type="dxa"/>
            <w:vAlign w:val="bottom"/>
          </w:tcPr>
          <w:p>
            <w:pPr>
              <w:spacing w:after="0"/>
              <w:rPr>
                <w:sz w:val="1"/>
                <w:szCs w:val="1"/>
                <w:color w:val="auto"/>
              </w:rPr>
            </w:pPr>
          </w:p>
        </w:tc>
      </w:tr>
      <w:tr>
        <w:trPr>
          <w:trHeight w:val="28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Senior Notes due 2030.</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Senior Exchange Notes due 2030.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2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Report on Form 8-K (File No. 1-36756) filed on February 12, 2020</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89">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89">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120"/>
        <w:spacing w:after="0" w:line="226"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Previously filed as Exhibit 4.2 to Lamar Advertising’s Quarterly</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Previously filed as Exhibit 4.2 to Lamar Advertising’s Quarterly</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92">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192">
        <w:r>
          <w:rPr>
            <w:rFonts w:ascii="Times New Roman" w:cs="Times New Roman" w:eastAsia="Times New Roman" w:hAnsi="Times New Roman"/>
            <w:sz w:val="17"/>
            <w:szCs w:val="17"/>
            <w:u w:val="single" w:color="auto"/>
            <w:color w:val="0000FF"/>
          </w:rPr>
          <w:t>2024 filed on August 8, 2024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100"/>
        <w:spacing w:after="0" w:line="229" w:lineRule="auto"/>
        <w:rPr>
          <w:rFonts w:ascii="Times New Roman" w:cs="Times New Roman" w:eastAsia="Times New Roman" w:hAnsi="Times New Roman"/>
          <w:sz w:val="17"/>
          <w:szCs w:val="17"/>
          <w:u w:val="single" w:color="auto"/>
          <w:color w:val="0000FF"/>
        </w:rPr>
      </w:pPr>
      <w:hyperlink r:id="rId193">
        <w:r>
          <w:rPr>
            <w:rFonts w:ascii="Times New Roman" w:cs="Times New Roman" w:eastAsia="Times New Roman" w:hAnsi="Times New Roman"/>
            <w:sz w:val="17"/>
            <w:szCs w:val="17"/>
            <w:u w:val="single" w:color="auto"/>
            <w:color w:val="0000FF"/>
          </w:rPr>
          <w:t>Previously filed as Exhibit 4.2 to the Company's Quarterly Report</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on Form 10-Q (File No. 1-36756) for the period ended September</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30, 2024 filed on November 8, 2024 and incorporated herein by</w:t>
        </w:r>
      </w:hyperlink>
    </w:p>
    <w:p>
      <w:pPr>
        <w:spacing w:after="0"/>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6" w:lineRule="exact"/>
        <w:rPr>
          <w:rFonts w:ascii="Times New Roman" w:cs="Times New Roman" w:eastAsia="Times New Roman" w:hAnsi="Times New Roman"/>
          <w:sz w:val="17"/>
          <w:szCs w:val="17"/>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Previously filed as Exhibit 4.2 to Lamar Advertising’s Current</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Report on Form 8-K (File No. 1-36756) filed on February 12, 2020</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94">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Exhibit 4.2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0"/>
        <w:spacing w:after="0" w:line="229" w:lineRule="auto"/>
        <w:rPr>
          <w:rFonts w:ascii="Times New Roman" w:cs="Times New Roman" w:eastAsia="Times New Roman" w:hAnsi="Times New Roman"/>
          <w:sz w:val="17"/>
          <w:szCs w:val="17"/>
          <w:u w:val="single" w:color="auto"/>
          <w:color w:val="0000FF"/>
        </w:rPr>
      </w:pPr>
      <w:hyperlink r:id="rId194">
        <w:r>
          <w:rPr>
            <w:rFonts w:ascii="Times New Roman" w:cs="Times New Roman" w:eastAsia="Times New Roman" w:hAnsi="Times New Roman"/>
            <w:sz w:val="17"/>
            <w:szCs w:val="17"/>
            <w:u w:val="single" w:color="auto"/>
            <w:color w:val="0000FF"/>
          </w:rPr>
          <w:t>Previously filed with the Indenture dated February 6, 2020, filed as</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Exhibit 4.2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194">
        <w:r>
          <w:rPr>
            <w:rFonts w:ascii="Times New Roman" w:cs="Times New Roman" w:eastAsia="Times New Roman" w:hAnsi="Times New Roman"/>
            <w:sz w:val="17"/>
            <w:szCs w:val="17"/>
            <w:u w:val="single" w:color="auto"/>
            <w:color w:val="0000FF"/>
          </w:rPr>
          <w:t>No. 1-36756) filed on February 12, 2020 and incorporated herein</w:t>
        </w:r>
      </w:hyperlink>
    </w:p>
    <w:p>
      <w:pPr>
        <w:spacing w:after="0"/>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4(f)(4)</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February 6,</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relating to Lamar Media’s 4.000% Senior Notes due 2030.</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February 6,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4.000% Senior Notes due 2030.</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May 14, 2024,</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National Association, as Trustee, dated as of</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February 6, 2020, relating to Lamar Media’s 4.000% Senior Notes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2030.</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July 1, 2024,</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National Association, as Trustee, dated as of</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February 6, 2020, relating to Lamar Media’s 4.000% Senior Notes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2030.</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4(f)(8)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December 6,</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2024,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Trust Company, National Association, as Trustee, dated as of</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February 6, 2020, relating to Lamar Media’s 4.000% Senior Notes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2030.</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May 13, 2020, between Lamar Media,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 as Trustee, relating to Lamar Media’s 4</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 Senior Notes due 2029.</w:t>
            </w:r>
          </w:p>
        </w:tc>
        <w:tc>
          <w:tcPr>
            <w:tcW w:w="0" w:type="dxa"/>
            <w:vAlign w:val="bottom"/>
          </w:tcPr>
          <w:p>
            <w:pPr>
              <w:spacing w:after="0"/>
              <w:rPr>
                <w:sz w:val="1"/>
                <w:szCs w:val="1"/>
                <w:color w:val="auto"/>
              </w:rPr>
            </w:pPr>
          </w:p>
        </w:tc>
      </w:tr>
      <w:tr>
        <w:trPr>
          <w:trHeight w:val="28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7/8% Senior Notes due 2029.</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4 7/8% Senior Exchange Notes due 2029.</w:t>
            </w:r>
          </w:p>
        </w:tc>
        <w:tc>
          <w:tcPr>
            <w:tcW w:w="0" w:type="dxa"/>
            <w:vAlign w:val="bottom"/>
          </w:tcPr>
          <w:p>
            <w:pPr>
              <w:spacing w:after="0"/>
              <w:rPr>
                <w:sz w:val="1"/>
                <w:szCs w:val="1"/>
                <w:color w:val="auto"/>
              </w:rPr>
            </w:pPr>
          </w:p>
        </w:tc>
      </w:tr>
      <w:tr>
        <w:trPr>
          <w:trHeight w:val="77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May 13, 2020,</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Lamar Media’s 4.875% Senior Notes due 2029.</w:t>
            </w:r>
          </w:p>
        </w:tc>
        <w:tc>
          <w:tcPr>
            <w:tcW w:w="0" w:type="dxa"/>
            <w:vAlign w:val="bottom"/>
          </w:tcPr>
          <w:p>
            <w:pPr>
              <w:spacing w:after="0"/>
              <w:rPr>
                <w:sz w:val="1"/>
                <w:szCs w:val="1"/>
                <w:color w:val="auto"/>
              </w:rPr>
            </w:pPr>
          </w:p>
        </w:tc>
      </w:tr>
      <w:tr>
        <w:trPr>
          <w:trHeight w:val="245"/>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c>
          <w:tcPr>
            <w:tcW w:w="0" w:type="dxa"/>
            <w:vAlign w:val="bottom"/>
          </w:tcPr>
          <w:p>
            <w:pPr>
              <w:spacing w:after="0"/>
              <w:rPr>
                <w:sz w:val="1"/>
                <w:szCs w:val="1"/>
                <w:color w:val="auto"/>
              </w:rPr>
            </w:pPr>
          </w:p>
        </w:tc>
      </w:tr>
    </w:tbl>
    <w:p>
      <w:pPr>
        <w:ind w:left="1320" w:right="60"/>
        <w:spacing w:after="0" w:line="211" w:lineRule="auto"/>
        <w:rPr>
          <w:sz w:val="20"/>
          <w:szCs w:val="20"/>
          <w:color w:val="auto"/>
        </w:rPr>
      </w:pPr>
      <w:r>
        <w:rPr>
          <w:rFonts w:ascii="Times New Roman" w:cs="Times New Roman" w:eastAsia="Times New Roman" w:hAnsi="Times New Roman"/>
          <w:sz w:val="18"/>
          <w:szCs w:val="18"/>
          <w:color w:val="auto"/>
        </w:rPr>
        <w:t>among Lamar Media, the Guarantors named therein and U.S. Bank National Association, as Trustee, dated as of May 13, 2020,</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relating to Lamar Media’s 4.875% Senior Notes due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Previously filed as Exhibit 4.3 to Lamar Advertising’s Quarterly</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Previously filed as Exhibit 4.3 to Lamar Advertising’s Quarterly</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199">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199">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199">
        <w:r>
          <w:rPr>
            <w:rFonts w:ascii="Times New Roman" w:cs="Times New Roman" w:eastAsia="Times New Roman" w:hAnsi="Times New Roman"/>
            <w:sz w:val="17"/>
            <w:szCs w:val="17"/>
            <w:u w:val="single" w:color="auto"/>
            <w:color w:val="0000FF"/>
          </w:rPr>
          <w:t>2024 filed on August 8, 2024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100"/>
        <w:spacing w:after="0" w:line="229" w:lineRule="auto"/>
        <w:rPr>
          <w:rFonts w:ascii="Times New Roman" w:cs="Times New Roman" w:eastAsia="Times New Roman" w:hAnsi="Times New Roman"/>
          <w:sz w:val="17"/>
          <w:szCs w:val="17"/>
          <w:u w:val="single" w:color="auto"/>
          <w:color w:val="0000FF"/>
        </w:rPr>
      </w:pPr>
      <w:hyperlink r:id="rId200">
        <w:r>
          <w:rPr>
            <w:rFonts w:ascii="Times New Roman" w:cs="Times New Roman" w:eastAsia="Times New Roman" w:hAnsi="Times New Roman"/>
            <w:sz w:val="17"/>
            <w:szCs w:val="17"/>
            <w:u w:val="single" w:color="auto"/>
            <w:color w:val="0000FF"/>
          </w:rPr>
          <w:t>Previously filed as Exhibit 4.3 to the Company's Quarterly Report</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on Form 10-Q (File No. 1-36756) for the period ended September</w:t>
        </w:r>
      </w:hyperlink>
      <w:r>
        <w:rPr>
          <w:rFonts w:ascii="Times New Roman" w:cs="Times New Roman" w:eastAsia="Times New Roman" w:hAnsi="Times New Roman"/>
          <w:sz w:val="17"/>
          <w:szCs w:val="17"/>
          <w:u w:val="single" w:color="auto"/>
          <w:color w:val="0000FF"/>
        </w:rPr>
        <w:t xml:space="preserve"> </w:t>
      </w:r>
      <w:hyperlink r:id="rId200">
        <w:r>
          <w:rPr>
            <w:rFonts w:ascii="Times New Roman" w:cs="Times New Roman" w:eastAsia="Times New Roman" w:hAnsi="Times New Roman"/>
            <w:sz w:val="17"/>
            <w:szCs w:val="17"/>
            <w:u w:val="single" w:color="auto"/>
            <w:color w:val="0000FF"/>
          </w:rPr>
          <w:t>30, 2024 filed on November 8, 2024 and incorporated herein by</w:t>
        </w:r>
      </w:hyperlink>
    </w:p>
    <w:p>
      <w:pPr>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6" w:lineRule="exact"/>
        <w:rPr>
          <w:rFonts w:ascii="Times New Roman" w:cs="Times New Roman" w:eastAsia="Times New Roman" w:hAnsi="Times New Roman"/>
          <w:sz w:val="17"/>
          <w:szCs w:val="17"/>
          <w:u w:val="single" w:color="auto"/>
          <w:color w:val="0000FF"/>
        </w:rPr>
      </w:pPr>
    </w:p>
    <w:p>
      <w:pPr>
        <w:ind w:right="20"/>
        <w:spacing w:after="0" w:line="22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Report on Form 8-K (File No. 1-36756) filed on May 19, 2020 and</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jc w:val="both"/>
        <w:ind w:right="240"/>
        <w:spacing w:after="0" w:line="229" w:lineRule="auto"/>
        <w:rPr>
          <w:rFonts w:ascii="Times New Roman" w:cs="Times New Roman" w:eastAsia="Times New Roman" w:hAnsi="Times New Roman"/>
          <w:sz w:val="17"/>
          <w:szCs w:val="17"/>
          <w:u w:val="single" w:color="auto"/>
          <w:color w:val="0000FF"/>
        </w:rPr>
      </w:pPr>
      <w:hyperlink r:id="rId201">
        <w:r>
          <w:rPr>
            <w:rFonts w:ascii="Times New Roman" w:cs="Times New Roman" w:eastAsia="Times New Roman" w:hAnsi="Times New Roman"/>
            <w:sz w:val="17"/>
            <w:szCs w:val="17"/>
            <w:u w:val="single" w:color="auto"/>
            <w:color w:val="0000FF"/>
          </w:rPr>
          <w:t>Previously filed with the Indenture dated May 13, 2020, filed as</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No. 1-36756) filed on May 19, 2020 and incorporated herein by</w:t>
        </w:r>
      </w:hyperlink>
    </w:p>
    <w:p>
      <w:pPr>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240"/>
        <w:spacing w:after="0" w:line="229" w:lineRule="auto"/>
        <w:rPr>
          <w:rFonts w:ascii="Times New Roman" w:cs="Times New Roman" w:eastAsia="Times New Roman" w:hAnsi="Times New Roman"/>
          <w:sz w:val="17"/>
          <w:szCs w:val="17"/>
          <w:u w:val="single" w:color="auto"/>
          <w:color w:val="0000FF"/>
        </w:rPr>
      </w:pPr>
      <w:hyperlink r:id="rId201">
        <w:r>
          <w:rPr>
            <w:rFonts w:ascii="Times New Roman" w:cs="Times New Roman" w:eastAsia="Times New Roman" w:hAnsi="Times New Roman"/>
            <w:sz w:val="17"/>
            <w:szCs w:val="17"/>
            <w:u w:val="single" w:color="auto"/>
            <w:color w:val="0000FF"/>
          </w:rPr>
          <w:t>Previously filed with the Indenture dated May 13, 2020, filed as</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Exhibit 4.1 to the Company’s Current Report on Form 8-K (File</w:t>
        </w:r>
      </w:hyperlink>
      <w:r>
        <w:rPr>
          <w:rFonts w:ascii="Times New Roman" w:cs="Times New Roman" w:eastAsia="Times New Roman" w:hAnsi="Times New Roman"/>
          <w:sz w:val="17"/>
          <w:szCs w:val="17"/>
          <w:u w:val="single" w:color="auto"/>
          <w:color w:val="0000FF"/>
        </w:rPr>
        <w:t xml:space="preserve"> </w:t>
      </w:r>
      <w:hyperlink r:id="rId201">
        <w:r>
          <w:rPr>
            <w:rFonts w:ascii="Times New Roman" w:cs="Times New Roman" w:eastAsia="Times New Roman" w:hAnsi="Times New Roman"/>
            <w:sz w:val="17"/>
            <w:szCs w:val="17"/>
            <w:u w:val="single" w:color="auto"/>
            <w:color w:val="0000FF"/>
          </w:rPr>
          <w:t>No. 1-36756) filed on May 19, 2020 and incorporated herein by</w:t>
        </w:r>
      </w:hyperlink>
    </w:p>
    <w:p>
      <w:pPr>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ind w:right="120"/>
        <w:spacing w:after="0" w:line="226"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Previously filed as Exhibit 4.4 to Lamar Advertising’s Quarterly</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Previously filed as Exhibit 4.4 to Lamar Advertising’s Quarterly</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4(g)(6)</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May 14, 2024,</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National Association, as Trustee, dated as of May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13, 2020, relating to Lamar Media’s 4.875% Senior Notes due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July 1, 2024,</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Trust Company, National Association, as Trustee, dated as of May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13, 2020, relating to Lamar Media’s 4.875% Senior Notes due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4(g)(8)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Indenture to the Indenture dated as of December 6,</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2024,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Trust Company, National Association, as Trustee, dated as of</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May 13, 2020, relating to Lamar Media’s 4.875% Senior Notes due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6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4(h)(1)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January 22, 2021, between Lamar Media, the</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Guarantors named therein and The Bank of New York Mellon</w:t>
            </w:r>
          </w:p>
        </w:tc>
        <w:tc>
          <w:tcPr>
            <w:tcW w:w="0" w:type="dxa"/>
            <w:vAlign w:val="bottom"/>
          </w:tcPr>
          <w:p>
            <w:pPr>
              <w:spacing w:after="0"/>
              <w:rPr>
                <w:sz w:val="1"/>
                <w:szCs w:val="1"/>
                <w:color w:val="auto"/>
              </w:rPr>
            </w:pPr>
          </w:p>
        </w:tc>
      </w:tr>
    </w:tbl>
    <w:p>
      <w:pPr>
        <w:ind w:left="1320" w:right="560"/>
        <w:spacing w:after="0" w:line="233" w:lineRule="auto"/>
        <w:rPr>
          <w:sz w:val="20"/>
          <w:szCs w:val="20"/>
          <w:color w:val="auto"/>
        </w:rPr>
      </w:pPr>
      <w:r>
        <w:rPr>
          <w:rFonts w:ascii="Times New Roman" w:cs="Times New Roman" w:eastAsia="Times New Roman" w:hAnsi="Times New Roman"/>
          <w:sz w:val="18"/>
          <w:szCs w:val="18"/>
          <w:color w:val="auto"/>
        </w:rPr>
        <w:t>Trust Company, N.A., as Trustee, relating to Lamar Media’s 3.625% Senior Notes due 2031.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205">
        <w:r>
          <w:rPr>
            <w:rFonts w:ascii="Times New Roman" w:cs="Times New Roman" w:eastAsia="Times New Roman" w:hAnsi="Times New Roman"/>
            <w:sz w:val="17"/>
            <w:szCs w:val="17"/>
            <w:u w:val="single" w:color="auto"/>
            <w:color w:val="0000FF"/>
          </w:rPr>
          <w:t>Previously filed as Exhibit 4.4 to the Company's Quarterly Report</w:t>
        </w:r>
      </w:hyperlink>
      <w:r>
        <w:rPr>
          <w:rFonts w:ascii="Times New Roman" w:cs="Times New Roman" w:eastAsia="Times New Roman" w:hAnsi="Times New Roman"/>
          <w:sz w:val="17"/>
          <w:szCs w:val="17"/>
          <w:u w:val="single" w:color="auto"/>
          <w:color w:val="0000FF"/>
        </w:rPr>
        <w:t xml:space="preserve"> </w:t>
      </w:r>
      <w:hyperlink r:id="rId205">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205">
        <w:r>
          <w:rPr>
            <w:rFonts w:ascii="Times New Roman" w:cs="Times New Roman" w:eastAsia="Times New Roman" w:hAnsi="Times New Roman"/>
            <w:sz w:val="17"/>
            <w:szCs w:val="17"/>
            <w:u w:val="single" w:color="auto"/>
            <w:color w:val="0000FF"/>
          </w:rPr>
          <w:t>2024 filed on August 8, 2024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100"/>
        <w:spacing w:after="0" w:line="229" w:lineRule="auto"/>
        <w:rPr>
          <w:rFonts w:ascii="Times New Roman" w:cs="Times New Roman" w:eastAsia="Times New Roman" w:hAnsi="Times New Roman"/>
          <w:sz w:val="17"/>
          <w:szCs w:val="17"/>
          <w:u w:val="single" w:color="auto"/>
          <w:color w:val="0000FF"/>
        </w:rPr>
      </w:pPr>
      <w:hyperlink r:id="rId206">
        <w:r>
          <w:rPr>
            <w:rFonts w:ascii="Times New Roman" w:cs="Times New Roman" w:eastAsia="Times New Roman" w:hAnsi="Times New Roman"/>
            <w:sz w:val="17"/>
            <w:szCs w:val="17"/>
            <w:u w:val="single" w:color="auto"/>
            <w:color w:val="0000FF"/>
          </w:rPr>
          <w:t>Previously filed as Exhibit 4.4 to the Company's Quarterly Report</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on Form 10-Q (File No. 1-36756) for the period ended September</w:t>
        </w:r>
      </w:hyperlink>
      <w:r>
        <w:rPr>
          <w:rFonts w:ascii="Times New Roman" w:cs="Times New Roman" w:eastAsia="Times New Roman" w:hAnsi="Times New Roman"/>
          <w:sz w:val="17"/>
          <w:szCs w:val="17"/>
          <w:u w:val="single" w:color="auto"/>
          <w:color w:val="0000FF"/>
        </w:rPr>
        <w:t xml:space="preserve"> </w:t>
      </w:r>
      <w:hyperlink r:id="rId206">
        <w:r>
          <w:rPr>
            <w:rFonts w:ascii="Times New Roman" w:cs="Times New Roman" w:eastAsia="Times New Roman" w:hAnsi="Times New Roman"/>
            <w:sz w:val="17"/>
            <w:szCs w:val="17"/>
            <w:u w:val="single" w:color="auto"/>
            <w:color w:val="0000FF"/>
          </w:rPr>
          <w:t>30, 2024 filed on November 8, 2024 and incorporated herein by</w:t>
        </w:r>
      </w:hyperlink>
    </w:p>
    <w:p>
      <w:pPr>
        <w:spacing w:after="0"/>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6" w:lineRule="exact"/>
        <w:rPr>
          <w:rFonts w:ascii="Times New Roman" w:cs="Times New Roman" w:eastAsia="Times New Roman" w:hAnsi="Times New Roman"/>
          <w:sz w:val="17"/>
          <w:szCs w:val="17"/>
          <w:u w:val="single" w:color="auto"/>
          <w:color w:val="0000FF"/>
        </w:rPr>
      </w:pPr>
    </w:p>
    <w:p>
      <w:pPr>
        <w:ind w:right="100"/>
        <w:spacing w:after="0" w:line="250"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Report on Form 8-K (File No. 1-36756) filed on January 28, 2021</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and incorporated herein by reference.</w:t>
        </w:r>
      </w:hyperlink>
    </w:p>
    <w:p>
      <w:pPr>
        <w:spacing w:after="0" w:line="27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840"/>
          </w:cols>
          <w:pgMar w:left="320" w:top="121" w:right="39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4(h)(2)</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3.625% Senior Notes due 2031.</w:t>
            </w:r>
          </w:p>
        </w:tc>
      </w:tr>
      <w:tr>
        <w:trPr>
          <w:trHeight w:val="9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4(h)(3)</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3.625% Senior Exchange Notes due 2031.</w:t>
            </w:r>
          </w:p>
        </w:tc>
      </w:tr>
      <w:tr>
        <w:trPr>
          <w:trHeight w:val="8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4(h)(4)</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January 26,</w:t>
            </w:r>
          </w:p>
        </w:tc>
      </w:tr>
      <w:tr>
        <w:trPr>
          <w:trHeight w:val="176"/>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w w:val="99"/>
              </w:rPr>
              <w:t>2022, among Lamar Media, the Guarantors named therein and U.S.</w:t>
            </w:r>
          </w:p>
        </w:tc>
      </w:tr>
      <w:tr>
        <w:trPr>
          <w:trHeight w:val="184"/>
        </w:trPr>
        <w:tc>
          <w:tcPr>
            <w:tcW w:w="900" w:type="dxa"/>
            <w:vAlign w:val="bottom"/>
          </w:tcPr>
          <w:p>
            <w:pPr>
              <w:spacing w:after="0"/>
              <w:rPr>
                <w:sz w:val="16"/>
                <w:szCs w:val="16"/>
                <w:color w:val="auto"/>
              </w:rPr>
            </w:pPr>
          </w:p>
        </w:tc>
        <w:tc>
          <w:tcPr>
            <w:tcW w:w="526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Bank National Association, as Trustee, dated as of January 22,</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2021, relating to Lamar Media’s 3.625%% Senior Notes due 2031.</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4(h)(5)</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June 3, 2022,</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184"/>
        </w:trPr>
        <w:tc>
          <w:tcPr>
            <w:tcW w:w="900" w:type="dxa"/>
            <w:vAlign w:val="bottom"/>
          </w:tcPr>
          <w:p>
            <w:pPr>
              <w:spacing w:after="0"/>
              <w:rPr>
                <w:sz w:val="16"/>
                <w:szCs w:val="16"/>
                <w:color w:val="auto"/>
              </w:rPr>
            </w:pPr>
          </w:p>
        </w:tc>
        <w:tc>
          <w:tcPr>
            <w:tcW w:w="526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National Association, as Trustee, dated as of January 22, 2021,</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relating to Lamar Media’s 3.625%% Senior Notes due 2031.</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4(h)(6)</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May 14, 2024,</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184"/>
        </w:trPr>
        <w:tc>
          <w:tcPr>
            <w:tcW w:w="900" w:type="dxa"/>
            <w:vAlign w:val="bottom"/>
          </w:tcPr>
          <w:p>
            <w:pPr>
              <w:spacing w:after="0"/>
              <w:rPr>
                <w:sz w:val="16"/>
                <w:szCs w:val="16"/>
                <w:color w:val="auto"/>
              </w:rPr>
            </w:pPr>
          </w:p>
        </w:tc>
        <w:tc>
          <w:tcPr>
            <w:tcW w:w="526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Trust Company, National Association, as Trustee, dated as of</w:t>
            </w:r>
          </w:p>
        </w:tc>
      </w:tr>
      <w:tr>
        <w:trPr>
          <w:trHeight w:val="180"/>
        </w:trPr>
        <w:tc>
          <w:tcPr>
            <w:tcW w:w="900" w:type="dxa"/>
            <w:vAlign w:val="bottom"/>
          </w:tcPr>
          <w:p>
            <w:pPr>
              <w:spacing w:after="0"/>
              <w:rPr>
                <w:sz w:val="15"/>
                <w:szCs w:val="15"/>
                <w:color w:val="auto"/>
              </w:rPr>
            </w:pPr>
          </w:p>
        </w:tc>
        <w:tc>
          <w:tcPr>
            <w:tcW w:w="526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January 22, 2021, relating to Lamar Media’s 3.625%% Senior</w:t>
            </w:r>
          </w:p>
        </w:tc>
      </w:tr>
      <w:tr>
        <w:trPr>
          <w:trHeight w:val="234"/>
        </w:trPr>
        <w:tc>
          <w:tcPr>
            <w:tcW w:w="90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Notes due 2031.</w:t>
            </w: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4(h)(7)</w:t>
            </w:r>
          </w:p>
        </w:tc>
        <w:tc>
          <w:tcPr>
            <w:tcW w:w="5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 to the Indenture dated as of July 1, 2024,</w:t>
            </w:r>
          </w:p>
        </w:tc>
      </w:tr>
      <w:tr>
        <w:trPr>
          <w:trHeight w:val="175"/>
        </w:trPr>
        <w:tc>
          <w:tcPr>
            <w:tcW w:w="900" w:type="dxa"/>
            <w:vAlign w:val="bottom"/>
          </w:tcPr>
          <w:p>
            <w:pPr>
              <w:spacing w:after="0"/>
              <w:rPr>
                <w:sz w:val="15"/>
                <w:szCs w:val="15"/>
                <w:color w:val="auto"/>
              </w:rPr>
            </w:pPr>
          </w:p>
        </w:tc>
        <w:tc>
          <w:tcPr>
            <w:tcW w:w="52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among Lamar Media, the Guarantors named therein and U.S. Bank</w:t>
            </w:r>
          </w:p>
        </w:tc>
      </w:tr>
      <w:tr>
        <w:trPr>
          <w:trHeight w:val="204"/>
        </w:trPr>
        <w:tc>
          <w:tcPr>
            <w:tcW w:w="900" w:type="dxa"/>
            <w:vAlign w:val="bottom"/>
          </w:tcPr>
          <w:p>
            <w:pPr>
              <w:spacing w:after="0"/>
              <w:rPr>
                <w:sz w:val="17"/>
                <w:szCs w:val="17"/>
                <w:color w:val="auto"/>
              </w:rPr>
            </w:pPr>
          </w:p>
        </w:tc>
        <w:tc>
          <w:tcPr>
            <w:tcW w:w="5260" w:type="dxa"/>
            <w:vAlign w:val="bottom"/>
          </w:tcPr>
          <w:p>
            <w:pPr>
              <w:ind w:left="400"/>
              <w:spacing w:after="0" w:line="204" w:lineRule="exact"/>
              <w:rPr>
                <w:sz w:val="20"/>
                <w:szCs w:val="20"/>
                <w:color w:val="auto"/>
              </w:rPr>
            </w:pPr>
            <w:r>
              <w:rPr>
                <w:rFonts w:ascii="Times New Roman" w:cs="Times New Roman" w:eastAsia="Times New Roman" w:hAnsi="Times New Roman"/>
                <w:sz w:val="18"/>
                <w:szCs w:val="18"/>
                <w:color w:val="auto"/>
              </w:rPr>
              <w:t>Trust Company, National Association, as Trustee, dated as of</w:t>
            </w:r>
          </w:p>
        </w:tc>
      </w:tr>
    </w:tbl>
    <w:p>
      <w:pPr>
        <w:ind w:left="1320" w:right="400"/>
        <w:spacing w:after="0" w:line="226" w:lineRule="auto"/>
        <w:rPr>
          <w:sz w:val="20"/>
          <w:szCs w:val="20"/>
          <w:color w:val="auto"/>
        </w:rPr>
      </w:pPr>
      <w:r>
        <w:rPr>
          <w:rFonts w:ascii="Times New Roman" w:cs="Times New Roman" w:eastAsia="Times New Roman" w:hAnsi="Times New Roman"/>
          <w:sz w:val="18"/>
          <w:szCs w:val="18"/>
          <w:color w:val="auto"/>
        </w:rPr>
        <w:t>January 22, 2021, relating to Lamar Media’s 3.625%% Senior Notes due 2031. 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4" w:lineRule="exact"/>
        <w:rPr>
          <w:rFonts w:ascii="Times New Roman" w:cs="Times New Roman" w:eastAsia="Times New Roman" w:hAnsi="Times New Roman"/>
          <w:sz w:val="18"/>
          <w:szCs w:val="18"/>
          <w:u w:val="single" w:color="auto"/>
          <w:color w:val="0000FF"/>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2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Previously filed with the Indenture dated January 22, 2021, filed as</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No. 1-36756) filed on January 28, 2021 and incorporated herein by</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reference.</w:t>
        </w:r>
      </w:hyperlink>
    </w:p>
    <w:p>
      <w:pPr>
        <w:spacing w:after="0" w:line="90" w:lineRule="exact"/>
        <w:rPr>
          <w:rFonts w:ascii="Times New Roman" w:cs="Times New Roman" w:eastAsia="Times New Roman" w:hAnsi="Times New Roman"/>
          <w:sz w:val="18"/>
          <w:szCs w:val="18"/>
          <w:u w:val="single" w:color="auto"/>
          <w:color w:val="0000FF"/>
        </w:rPr>
      </w:pPr>
    </w:p>
    <w:p>
      <w:pPr>
        <w:ind w:right="2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Previously filed with the Indenture dated January 22, 2021, filed as</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Exhibit 4.1 to the Company’s Current Report on Form 8-K (File</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No. 1-36756) filed on January 28, 2021 and incorporated herein by</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reference.</w:t>
        </w:r>
      </w:hyperlink>
    </w:p>
    <w:p>
      <w:pPr>
        <w:spacing w:after="0" w:line="90" w:lineRule="exact"/>
        <w:rPr>
          <w:rFonts w:ascii="Times New Roman" w:cs="Times New Roman" w:eastAsia="Times New Roman" w:hAnsi="Times New Roman"/>
          <w:sz w:val="18"/>
          <w:szCs w:val="18"/>
          <w:u w:val="single" w:color="auto"/>
          <w:color w:val="0000FF"/>
        </w:rPr>
      </w:pPr>
    </w:p>
    <w:p>
      <w:pPr>
        <w:ind w:right="120"/>
        <w:spacing w:after="0" w:line="226" w:lineRule="auto"/>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Previously filed as Exhibit 4.1 to Lamar Advertising’s Quarterly</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60"/>
        <w:spacing w:after="0" w:line="226"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Previously filed as Exhibit 4.1 to Lamar Advertising’s Quarterly</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11">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211">
        <w:r>
          <w:rPr>
            <w:rFonts w:ascii="Times New Roman" w:cs="Times New Roman" w:eastAsia="Times New Roman" w:hAnsi="Times New Roman"/>
            <w:sz w:val="17"/>
            <w:szCs w:val="17"/>
            <w:u w:val="single" w:color="auto"/>
            <w:color w:val="0000FF"/>
          </w:rPr>
          <w:t>2024 filed on August 8, 2024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8" w:lineRule="exact"/>
        <w:rPr>
          <w:rFonts w:ascii="Times New Roman" w:cs="Times New Roman" w:eastAsia="Times New Roman" w:hAnsi="Times New Roman"/>
          <w:sz w:val="17"/>
          <w:szCs w:val="17"/>
          <w:u w:val="single" w:color="auto"/>
          <w:color w:val="0000FF"/>
        </w:rPr>
      </w:pPr>
    </w:p>
    <w:p>
      <w:pPr>
        <w:jc w:val="both"/>
        <w:ind w:right="100"/>
        <w:spacing w:after="0" w:line="229" w:lineRule="auto"/>
        <w:rPr>
          <w:rFonts w:ascii="Times New Roman" w:cs="Times New Roman" w:eastAsia="Times New Roman" w:hAnsi="Times New Roman"/>
          <w:sz w:val="17"/>
          <w:szCs w:val="17"/>
          <w:u w:val="single" w:color="auto"/>
          <w:color w:val="0000FF"/>
        </w:rPr>
      </w:pPr>
      <w:hyperlink r:id="rId212">
        <w:r>
          <w:rPr>
            <w:rFonts w:ascii="Times New Roman" w:cs="Times New Roman" w:eastAsia="Times New Roman" w:hAnsi="Times New Roman"/>
            <w:sz w:val="17"/>
            <w:szCs w:val="17"/>
            <w:u w:val="single" w:color="auto"/>
            <w:color w:val="0000FF"/>
          </w:rPr>
          <w:t>Previously filed as Exhibit 4.1 to the Company's Quarterly Report</w:t>
        </w:r>
      </w:hyperlink>
      <w:r>
        <w:rPr>
          <w:rFonts w:ascii="Times New Roman" w:cs="Times New Roman" w:eastAsia="Times New Roman" w:hAnsi="Times New Roman"/>
          <w:sz w:val="17"/>
          <w:szCs w:val="17"/>
          <w:u w:val="single" w:color="auto"/>
          <w:color w:val="0000FF"/>
        </w:rPr>
        <w:t xml:space="preserve"> </w:t>
      </w:r>
      <w:hyperlink r:id="rId212">
        <w:r>
          <w:rPr>
            <w:rFonts w:ascii="Times New Roman" w:cs="Times New Roman" w:eastAsia="Times New Roman" w:hAnsi="Times New Roman"/>
            <w:sz w:val="17"/>
            <w:szCs w:val="17"/>
            <w:u w:val="single" w:color="auto"/>
            <w:color w:val="0000FF"/>
          </w:rPr>
          <w:t>on Form 10-Q (File No. 1-36756) for the period ended September</w:t>
        </w:r>
      </w:hyperlink>
      <w:r>
        <w:rPr>
          <w:rFonts w:ascii="Times New Roman" w:cs="Times New Roman" w:eastAsia="Times New Roman" w:hAnsi="Times New Roman"/>
          <w:sz w:val="17"/>
          <w:szCs w:val="17"/>
          <w:u w:val="single" w:color="auto"/>
          <w:color w:val="0000FF"/>
        </w:rPr>
        <w:t xml:space="preserve"> </w:t>
      </w:r>
      <w:hyperlink r:id="rId212">
        <w:r>
          <w:rPr>
            <w:rFonts w:ascii="Times New Roman" w:cs="Times New Roman" w:eastAsia="Times New Roman" w:hAnsi="Times New Roman"/>
            <w:sz w:val="17"/>
            <w:szCs w:val="17"/>
            <w:u w:val="single" w:color="auto"/>
            <w:color w:val="0000FF"/>
          </w:rPr>
          <w:t>30, 2024 filed on November 8, 2024 and incorporated herein by</w:t>
        </w:r>
      </w:hyperlink>
    </w:p>
    <w:p>
      <w:pPr>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reference.</w:t>
        </w:r>
      </w:hyperlink>
    </w:p>
    <w:p>
      <w:pPr>
        <w:sectPr>
          <w:pgSz w:w="11900" w:h="16838" w:orient="portrait"/>
          <w:cols w:equalWidth="0" w:num="2">
            <w:col w:w="6180" w:space="160"/>
            <w:col w:w="4840"/>
          </w:cols>
          <w:pgMar w:left="320" w:top="121" w:right="39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4(h)(8)</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Supplemental Indenture to the Indenture dated as of December 6,</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2024, among Lamar Media, the Guarantors named therein and U.S.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Bank Trust Company, National Association, as Trustee, dated as of</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January 22, 2021, relating to Lamar Media’s 3.625%% Senior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2031.</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4(i)</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of Resignation, Appointment and Acceptance, dated as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of June 14, 2021, by and among Lamar Media, as issuer, U.S. Bank</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National Association, as successor trustee, and The Bank of New</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York Mellon Trust Company, N.A., as resigning trustee.</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10(a)(1)*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Company 1996 Equity Incentive Plan, as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by the Board of Directors on December 12,</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10(a)(2)*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Option Agreement under the 1996 Equity Incentive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 amended and restated.</w:t>
            </w:r>
          </w:p>
        </w:tc>
        <w:tc>
          <w:tcPr>
            <w:tcW w:w="0" w:type="dxa"/>
            <w:vAlign w:val="bottom"/>
          </w:tcPr>
          <w:p>
            <w:pPr>
              <w:spacing w:after="0"/>
              <w:rPr>
                <w:sz w:val="1"/>
                <w:szCs w:val="1"/>
                <w:color w:val="auto"/>
              </w:rPr>
            </w:pPr>
          </w:p>
        </w:tc>
      </w:tr>
      <w:tr>
        <w:trPr>
          <w:trHeight w:val="64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10(a)(3)*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Agreement.</w:t>
            </w:r>
          </w:p>
        </w:tc>
        <w:tc>
          <w:tcPr>
            <w:tcW w:w="0" w:type="dxa"/>
            <w:vAlign w:val="bottom"/>
          </w:tcPr>
          <w:p>
            <w:pPr>
              <w:spacing w:after="0"/>
              <w:rPr>
                <w:sz w:val="1"/>
                <w:szCs w:val="1"/>
                <w:color w:val="auto"/>
              </w:rPr>
            </w:pPr>
          </w:p>
        </w:tc>
      </w:tr>
      <w:tr>
        <w:trPr>
          <w:trHeight w:val="823"/>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10(a)(4)*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Agreement for Non-Employee directors.</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10(b)(1)*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2009 Employee Stock Purchase Plan, as amended.</w:t>
            </w:r>
          </w:p>
        </w:tc>
        <w:tc>
          <w:tcPr>
            <w:tcW w:w="0" w:type="dxa"/>
            <w:vAlign w:val="bottom"/>
          </w:tcPr>
          <w:p>
            <w:pPr>
              <w:spacing w:after="0"/>
              <w:rPr>
                <w:sz w:val="1"/>
                <w:szCs w:val="1"/>
                <w:color w:val="auto"/>
              </w:rPr>
            </w:pPr>
          </w:p>
        </w:tc>
      </w:tr>
      <w:tr>
        <w:trPr>
          <w:trHeight w:val="82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10(b)(2)*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Company 2019 Employee Stock Purchase Plan.</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Deferred Compensation Plan (as amended).</w:t>
            </w:r>
          </w:p>
        </w:tc>
        <w:tc>
          <w:tcPr>
            <w:tcW w:w="0" w:type="dxa"/>
            <w:vAlign w:val="bottom"/>
          </w:tcPr>
          <w:p>
            <w:pPr>
              <w:spacing w:after="0"/>
              <w:rPr>
                <w:sz w:val="1"/>
                <w:szCs w:val="1"/>
                <w:color w:val="auto"/>
              </w:rPr>
            </w:pPr>
          </w:p>
        </w:tc>
      </w:tr>
      <w:tr>
        <w:trPr>
          <w:trHeight w:val="59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Trust Agreement for the Lamar Deferred Compensation</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the Lamar Deferred Compensation Plan dated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13, 2013.</w:t>
            </w:r>
          </w:p>
        </w:tc>
        <w:tc>
          <w:tcPr>
            <w:tcW w:w="0" w:type="dxa"/>
            <w:vAlign w:val="bottom"/>
          </w:tcPr>
          <w:p>
            <w:pPr>
              <w:spacing w:after="0"/>
              <w:rPr>
                <w:sz w:val="1"/>
                <w:szCs w:val="1"/>
                <w:color w:val="auto"/>
              </w:rPr>
            </w:pPr>
          </w:p>
        </w:tc>
      </w:tr>
      <w:tr>
        <w:trPr>
          <w:trHeight w:val="58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10(c)(1)*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Summary of Management Compensatory Arrangements, dated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2016.</w:t>
            </w:r>
          </w:p>
        </w:tc>
        <w:tc>
          <w:tcPr>
            <w:tcW w:w="0" w:type="dxa"/>
            <w:vAlign w:val="bottom"/>
          </w:tcPr>
          <w:p>
            <w:pPr>
              <w:spacing w:after="0"/>
              <w:rPr>
                <w:sz w:val="1"/>
                <w:szCs w:val="1"/>
                <w:color w:val="auto"/>
              </w:rPr>
            </w:pPr>
          </w:p>
        </w:tc>
      </w:tr>
      <w:tr>
        <w:trPr>
          <w:trHeight w:val="1089"/>
        </w:trPr>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2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Previously filed as Exhibit 4.1 to Lamar Advertising’s Current</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Report on Form 8-K (File No. 1-36756) filed on June 21, 2021 and</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Previously filed as Exhibit 10(a)(1) to the Company’s Annual</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Report on Form 10-K for the year ended December 31, 2019 (File</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No. 1-36756) filed on February 20, 2020 and incorporated herein</w:t>
        </w:r>
      </w:hyperlink>
    </w:p>
    <w:p>
      <w:pPr>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17">
        <w:r>
          <w:rPr>
            <w:rFonts w:ascii="Times New Roman" w:cs="Times New Roman" w:eastAsia="Times New Roman" w:hAnsi="Times New Roman"/>
            <w:sz w:val="17"/>
            <w:szCs w:val="17"/>
            <w:u w:val="single" w:color="auto"/>
            <w:color w:val="0000FF"/>
          </w:rPr>
          <w:t>Previously filed as Exhibit 10(a)(2) to the Company’s Annual</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Report on Form 10-K for the year ended December 31, 2019 (File</w:t>
        </w:r>
      </w:hyperlink>
      <w:r>
        <w:rPr>
          <w:rFonts w:ascii="Times New Roman" w:cs="Times New Roman" w:eastAsia="Times New Roman" w:hAnsi="Times New Roman"/>
          <w:sz w:val="17"/>
          <w:szCs w:val="17"/>
          <w:u w:val="single" w:color="auto"/>
          <w:color w:val="0000FF"/>
        </w:rPr>
        <w:t xml:space="preserve"> </w:t>
      </w:r>
      <w:hyperlink r:id="rId217">
        <w:r>
          <w:rPr>
            <w:rFonts w:ascii="Times New Roman" w:cs="Times New Roman" w:eastAsia="Times New Roman" w:hAnsi="Times New Roman"/>
            <w:sz w:val="17"/>
            <w:szCs w:val="17"/>
            <w:u w:val="single" w:color="auto"/>
            <w:color w:val="0000FF"/>
          </w:rPr>
          <w:t>No. 1-36756) filed on February 20, 2020 and incorporated herein</w:t>
        </w:r>
      </w:hyperlink>
    </w:p>
    <w:p>
      <w:pPr>
        <w:spacing w:after="0"/>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jc w:val="both"/>
        <w:ind w:right="60"/>
        <w:spacing w:after="0" w:line="216"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Previously filed as Exhibit 10.16 of the Company’s Annual Report</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on Form 10-K for the year ended December 31, 2005 (File No. 0-</w:t>
        </w:r>
      </w:hyperlink>
      <w:hyperlink r:id="rId218">
        <w:r>
          <w:rPr>
            <w:rFonts w:ascii="Times New Roman" w:cs="Times New Roman" w:eastAsia="Times New Roman" w:hAnsi="Times New Roman"/>
            <w:sz w:val="18"/>
            <w:szCs w:val="18"/>
            <w:u w:val="single" w:color="auto"/>
            <w:color w:val="0000FF"/>
          </w:rPr>
          <w:t>30242) filed on March 15, 2006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on Form 8-K (File No. 0-30242) filed on May 30, 2007 and</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spacing w:after="0" w:line="227" w:lineRule="auto"/>
        <w:rPr>
          <w:rFonts w:ascii="Times New Roman" w:cs="Times New Roman" w:eastAsia="Times New Roman" w:hAnsi="Times New Roman"/>
          <w:sz w:val="17"/>
          <w:szCs w:val="17"/>
          <w:u w:val="single" w:color="auto"/>
          <w:color w:val="0000FF"/>
        </w:rPr>
      </w:pPr>
      <w:hyperlink r:id="rId220">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20">
        <w:r>
          <w:rPr>
            <w:rFonts w:ascii="Times New Roman" w:cs="Times New Roman" w:eastAsia="Times New Roman" w:hAnsi="Times New Roman"/>
            <w:sz w:val="17"/>
            <w:szCs w:val="17"/>
            <w:u w:val="single" w:color="auto"/>
            <w:color w:val="0000FF"/>
          </w:rPr>
          <w:t>on Form 10-Q for the period ended September 30, 2017 (File No.</w:t>
        </w:r>
      </w:hyperlink>
    </w:p>
    <w:p>
      <w:pPr>
        <w:spacing w:after="0" w:line="1" w:lineRule="exact"/>
        <w:rPr>
          <w:sz w:val="20"/>
          <w:szCs w:val="20"/>
          <w:color w:val="auto"/>
        </w:rPr>
      </w:pPr>
    </w:p>
    <w:p>
      <w:pPr>
        <w:ind w:right="220"/>
        <w:spacing w:after="0" w:line="233"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1-36756) filed on November 6, 2017 and incorporated herein by</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reference.</w:t>
        </w:r>
      </w:hyperlink>
    </w:p>
    <w:p>
      <w:pPr>
        <w:spacing w:after="0" w:line="51"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Previously filed as Exhibit 10.2 to Lamar Advertising’s Current</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Report on Form 8-K (File No. 1-36756) filed on June 5, 2019 and</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on Form 8-K (File No. 0-30242) filed on August 27, 2007 and</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on Form 8-K (File No. 0-30242) filed on December 14, 2005 and</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24">
        <w:r>
          <w:rPr>
            <w:rFonts w:ascii="Times New Roman" w:cs="Times New Roman" w:eastAsia="Times New Roman" w:hAnsi="Times New Roman"/>
            <w:sz w:val="17"/>
            <w:szCs w:val="17"/>
            <w:u w:val="single" w:color="auto"/>
            <w:color w:val="0000FF"/>
          </w:rPr>
          <w:t>Previously filed as Exhibit 10(d)(3) to the Company’s Annual</w:t>
        </w:r>
      </w:hyperlink>
      <w:r>
        <w:rPr>
          <w:rFonts w:ascii="Times New Roman" w:cs="Times New Roman" w:eastAsia="Times New Roman" w:hAnsi="Times New Roman"/>
          <w:sz w:val="17"/>
          <w:szCs w:val="17"/>
          <w:u w:val="single" w:color="auto"/>
          <w:color w:val="0000FF"/>
        </w:rPr>
        <w:t xml:space="preserve"> </w:t>
      </w:r>
      <w:hyperlink r:id="rId224">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24">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24">
        <w:r>
          <w:rPr>
            <w:rFonts w:ascii="Times New Roman" w:cs="Times New Roman" w:eastAsia="Times New Roman" w:hAnsi="Times New Roman"/>
            <w:sz w:val="18"/>
            <w:szCs w:val="18"/>
            <w:u w:val="single" w:color="auto"/>
            <w:color w:val="0000FF"/>
          </w:rPr>
          <w:t>by reference.</w:t>
        </w:r>
      </w:hyperlink>
    </w:p>
    <w:p>
      <w:pPr>
        <w:spacing w:after="0" w:line="57" w:lineRule="exact"/>
        <w:rPr>
          <w:rFonts w:ascii="Times New Roman" w:cs="Times New Roman" w:eastAsia="Times New Roman" w:hAnsi="Times New Roman"/>
          <w:sz w:val="17"/>
          <w:szCs w:val="17"/>
          <w:u w:val="single" w:color="auto"/>
          <w:color w:val="0000FF"/>
        </w:rPr>
      </w:pPr>
    </w:p>
    <w:p>
      <w:pPr>
        <w:ind w:right="240"/>
        <w:spacing w:after="0" w:line="22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Previously filed on the Company’s Current Report on Form 8-K</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(File No. 1-36756) filed on March 29, 2016 and incorporated</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10(d)(2)*</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Summary of Non-Management Director Compensatory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Arrangements, dated May 26, 2016.</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Financing Agreement, dated December 18, 2018, by</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among Lamar Media, as initial Servicer, Lamar TRS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and Lamar QRS</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Agreement, dated December 18, 2018,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certain subsidiaries of Lamar Media, Lamar Media,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Servicer, and Lamar QRS Receivables, LLC as Buyer.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Sale Agreement, dated December 18, 2018, by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certain subsidiaries of Lamar Media, Lamar Media,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Servicer, and Lamar TRS Receivables, LLC as Buyer.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Guaranty of Lamar Media dated December 18, 2018</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favor of PNC Bank, National Association.</w:t>
            </w:r>
          </w:p>
        </w:tc>
        <w:tc>
          <w:tcPr>
            <w:tcW w:w="0" w:type="dxa"/>
            <w:vAlign w:val="bottom"/>
          </w:tcPr>
          <w:p>
            <w:pPr>
              <w:spacing w:after="0"/>
              <w:rPr>
                <w:sz w:val="1"/>
                <w:szCs w:val="1"/>
                <w:color w:val="auto"/>
              </w:rPr>
            </w:pPr>
          </w:p>
        </w:tc>
      </w:tr>
      <w:tr>
        <w:trPr>
          <w:trHeight w:val="41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Receivables Financing Agreement,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February 6, 2020, by and among Lamar Media as initial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Servicer, Lamar TRS Receivables, LLC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borrowers and PNC Bank, National</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Purchase and Sale Agreement, dated as of</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Media as initial Servicer, and Lamar QRS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Purchase and Sale Agreement, dated as of</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Media as initial Servicer, and Lamar TRS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LLC as Buyer.</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Receivables Financing Agreement,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dated as of May 6, 2020, by and among Lamar Media as Servicer,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borrowers and PNC Bank, National Association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the Purchase and Sale Agreement, dated as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 May 6, 2020, by and among certain subsidiaries of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as originators, Lamar Media as Servicer,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Buyer, and consented to by PNC Bank,</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Association,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the Receivables Financing Agreement,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June 30, 2020, among Lamar Media, as Initial Servicer,</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bl>
    <w:p>
      <w:pPr>
        <w:ind w:left="1320" w:right="940"/>
        <w:spacing w:after="0" w:line="226" w:lineRule="auto"/>
        <w:rPr>
          <w:sz w:val="20"/>
          <w:szCs w:val="20"/>
          <w:color w:val="auto"/>
        </w:rPr>
      </w:pPr>
      <w:r>
        <w:rPr>
          <w:rFonts w:ascii="Times New Roman" w:cs="Times New Roman" w:eastAsia="Times New Roman" w:hAnsi="Times New Roman"/>
          <w:sz w:val="18"/>
          <w:szCs w:val="18"/>
          <w:color w:val="auto"/>
        </w:rPr>
        <w:t>as borrowers, and PNC Bank, National Association, 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6"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Previously filed on the Company’s Current Report on Form 8-K</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(File No. 1-36756) filed on May 31, 2016 and incorporated herein</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Previously filed as Exhibit 10.3 to the Company’s Current Report</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40"/>
        <w:spacing w:after="0" w:line="226"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Previously filed as Exhibit 10.4 to the Company’s Current Report</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on Form 8-K (File No. 1-36756) filed on December 21, 2018 and</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Previously filed as Exhibit 10.4 to the Company’s Current Report</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Previously filed as Exhibit 10.5 to the Company’s Current Report</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Previously filed as Exhibit 10.6 to the Company’s Current Report</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16" w:lineRule="auto"/>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Previously filed as Exhibit 10.2 to the Company’s Quarterly Report</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on Form 10-Q for the period ended June 30, 2020 (File No. 1-</w:t>
        </w:r>
      </w:hyperlink>
      <w:hyperlink r:id="rId236">
        <w:r>
          <w:rPr>
            <w:rFonts w:ascii="Times New Roman" w:cs="Times New Roman" w:eastAsia="Times New Roman" w:hAnsi="Times New Roman"/>
            <w:sz w:val="18"/>
            <w:szCs w:val="18"/>
            <w:u w:val="single" w:color="auto"/>
            <w:color w:val="0000FF"/>
          </w:rPr>
          <w:t>36756) filed on August 6, 2020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spacing w:after="0" w:line="216"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Previously filed as Exhibit 10.3 to the Company’s Quarterly Report</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on Form 10-Q for the period ended June 30, 2020 (File No. 1-</w:t>
        </w:r>
      </w:hyperlink>
      <w:hyperlink r:id="rId237">
        <w:r>
          <w:rPr>
            <w:rFonts w:ascii="Times New Roman" w:cs="Times New Roman" w:eastAsia="Times New Roman" w:hAnsi="Times New Roman"/>
            <w:sz w:val="18"/>
            <w:szCs w:val="18"/>
            <w:u w:val="single" w:color="auto"/>
            <w:color w:val="0000FF"/>
          </w:rPr>
          <w:t>36756) filed on August 6, 2020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on Form 8-K (File No. 1-36756) filed on July 6, 2020 and</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10(e)(11)</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Fourth Amendment to the Receivables Financing Agreement,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dated as of October 23, 2020, among Lamar Media, as Initial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Servicer, Lamar TRS Receivables, LLC and Lamar QRS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Receivables, LLC as borrowers, and PNC Bank, National</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a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Fifth Amendment to the Receivables Financing Agreement,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May 24, 2021, among Lamar Media, as Initial Servicer,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TRS Receivables, LLC and Lamar QRS Receivables, LLC</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borrowers, and PNC Bank, National Association,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a Lender.</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Sixth Amendment to the Receivables Financing Agreement, dated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 of June 24, 2022, among Lamar Media, as Initial Servicer,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SPEs, as Borrowers, and PNC Bank, National Association, as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Administrative Agent and a Lender. Previously filed as Exhibit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10.1 to the Company’s Current Report on Form 8-K (File No. 1-</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36756) filed on June 30, 2022 and incorporated herein by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Seventh Amendment to the Receivables Financing Agreement,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dated as of October 15, 2024, among Lamar Media, as Initial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Servicer, the SPEs, as Borrowers, and PNC Bank, National</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Association, as Administrative Agent and a Lender.</w:t>
            </w:r>
          </w:p>
        </w:tc>
        <w:tc>
          <w:tcPr>
            <w:tcW w:w="0" w:type="dxa"/>
            <w:vAlign w:val="bottom"/>
          </w:tcPr>
          <w:p>
            <w:pPr>
              <w:spacing w:after="0"/>
              <w:rPr>
                <w:sz w:val="1"/>
                <w:szCs w:val="1"/>
                <w:color w:val="auto"/>
              </w:rPr>
            </w:pPr>
          </w:p>
        </w:tc>
      </w:tr>
      <w:tr>
        <w:trPr>
          <w:trHeight w:val="230"/>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10(e)(15)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July 1, 2024,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6, 2020 (as amended), among Lamar Media,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 the lenders party thereto and North Carolina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dated as of April 28, 2010 by and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Lamar Advertising of Puerto Rico, Inc.,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named therein, each additional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that may be designated as such thereunder, the Lenders named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therein, and 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June 11, 2010,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by and among Lamar Media,</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Lamar Advertising of Puerto Rico, Inc., the Subsidiary Guarantors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each additional Subsidiary Borrower that may be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as such thereunder,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November 18, 2010,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by and among Lamar Media,</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Lamar Advertising of Puerto Rico, Inc., the Subsidiary Guarantors</w:t>
            </w:r>
          </w:p>
        </w:tc>
        <w:tc>
          <w:tcPr>
            <w:tcW w:w="0" w:type="dxa"/>
            <w:vAlign w:val="bottom"/>
          </w:tcPr>
          <w:p>
            <w:pPr>
              <w:spacing w:after="0"/>
              <w:rPr>
                <w:sz w:val="1"/>
                <w:szCs w:val="1"/>
                <w:color w:val="auto"/>
              </w:rPr>
            </w:pPr>
          </w:p>
        </w:tc>
      </w:tr>
    </w:tbl>
    <w:p>
      <w:pPr>
        <w:ind w:left="1320" w:right="240"/>
        <w:spacing w:after="0" w:line="218" w:lineRule="auto"/>
        <w:rPr>
          <w:sz w:val="20"/>
          <w:szCs w:val="20"/>
          <w:color w:val="auto"/>
        </w:rPr>
      </w:pPr>
      <w:r>
        <w:rPr>
          <w:rFonts w:ascii="Times New Roman" w:cs="Times New Roman" w:eastAsia="Times New Roman" w:hAnsi="Times New Roman"/>
          <w:sz w:val="18"/>
          <w:szCs w:val="18"/>
          <w:color w:val="auto"/>
        </w:rPr>
        <w:t>named therein, each additional Subsidiary Borrower that may be designated as such thereunder, the Lenders named therein, and JPMorgan 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40"/>
        <w:spacing w:after="0" w:line="226" w:lineRule="auto"/>
        <w:rPr>
          <w:rFonts w:ascii="Times New Roman" w:cs="Times New Roman" w:eastAsia="Times New Roman" w:hAnsi="Times New Roman"/>
          <w:sz w:val="18"/>
          <w:szCs w:val="18"/>
          <w:u w:val="single" w:color="auto"/>
          <w:color w:val="0000FF"/>
        </w:rPr>
      </w:pPr>
      <w:hyperlink r:id="rId24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on Form 8-K (File No. 1-36756) filed on October 26, 2020 and</w:t>
        </w:r>
      </w:hyperlink>
      <w:r>
        <w:rPr>
          <w:rFonts w:ascii="Times New Roman" w:cs="Times New Roman" w:eastAsia="Times New Roman" w:hAnsi="Times New Roman"/>
          <w:sz w:val="18"/>
          <w:szCs w:val="18"/>
          <w:u w:val="single" w:color="auto"/>
          <w:color w:val="0000FF"/>
        </w:rPr>
        <w:t xml:space="preserve"> </w:t>
      </w:r>
      <w:hyperlink r:id="rId241">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40"/>
        <w:spacing w:after="0" w:line="250" w:lineRule="auto"/>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on Form 8-K (File No. 1-36756) filed on May 28, 2021 and</w:t>
        </w:r>
      </w:hyperlink>
      <w:r>
        <w:rPr>
          <w:rFonts w:ascii="Times New Roman" w:cs="Times New Roman" w:eastAsia="Times New Roman" w:hAnsi="Times New Roman"/>
          <w:sz w:val="18"/>
          <w:szCs w:val="18"/>
          <w:u w:val="single" w:color="auto"/>
          <w:color w:val="0000FF"/>
        </w:rPr>
        <w:t xml:space="preserve"> </w:t>
      </w:r>
      <w:hyperlink r:id="rId242">
        <w:r>
          <w:rPr>
            <w:rFonts w:ascii="Times New Roman" w:cs="Times New Roman" w:eastAsia="Times New Roman" w:hAnsi="Times New Roman"/>
            <w:sz w:val="18"/>
            <w:szCs w:val="18"/>
            <w:u w:val="single" w:color="auto"/>
            <w:color w:val="0000FF"/>
          </w:rPr>
          <w:t>incorporated herein by reference.</w:t>
        </w:r>
      </w:hyperlink>
    </w:p>
    <w:p>
      <w:pPr>
        <w:spacing w:after="0" w:line="366"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43">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on Form 8-K (File No. 1-36756) filed on June 30, 2022 and</w:t>
        </w:r>
      </w:hyperlink>
      <w:r>
        <w:rPr>
          <w:rFonts w:ascii="Times New Roman" w:cs="Times New Roman" w:eastAsia="Times New Roman" w:hAnsi="Times New Roman"/>
          <w:sz w:val="18"/>
          <w:szCs w:val="18"/>
          <w:u w:val="single" w:color="auto"/>
          <w:color w:val="0000FF"/>
        </w:rPr>
        <w:t xml:space="preserve"> </w:t>
      </w:r>
      <w:hyperlink r:id="rId243">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on Form 8-K (File No. 1-36756) filed on October 21, 2024 and</w:t>
        </w:r>
      </w:hyperlink>
      <w:r>
        <w:rPr>
          <w:rFonts w:ascii="Times New Roman" w:cs="Times New Roman" w:eastAsia="Times New Roman" w:hAnsi="Times New Roman"/>
          <w:sz w:val="18"/>
          <w:szCs w:val="18"/>
          <w:u w:val="single" w:color="auto"/>
          <w:color w:val="0000FF"/>
        </w:rPr>
        <w:t xml:space="preserve"> </w:t>
      </w:r>
      <w:hyperlink r:id="rId244">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45">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45">
        <w:r>
          <w:rPr>
            <w:rFonts w:ascii="Times New Roman" w:cs="Times New Roman" w:eastAsia="Times New Roman" w:hAnsi="Times New Roman"/>
            <w:sz w:val="17"/>
            <w:szCs w:val="17"/>
            <w:u w:val="single" w:color="auto"/>
            <w:color w:val="0000FF"/>
          </w:rPr>
          <w:t>on Form 10-Q (File No. 1-36756) for the period ended September</w:t>
        </w:r>
      </w:hyperlink>
      <w:r>
        <w:rPr>
          <w:rFonts w:ascii="Times New Roman" w:cs="Times New Roman" w:eastAsia="Times New Roman" w:hAnsi="Times New Roman"/>
          <w:sz w:val="17"/>
          <w:szCs w:val="17"/>
          <w:u w:val="single" w:color="auto"/>
          <w:color w:val="0000FF"/>
        </w:rPr>
        <w:t xml:space="preserve"> </w:t>
      </w:r>
      <w:hyperlink r:id="rId245">
        <w:r>
          <w:rPr>
            <w:rFonts w:ascii="Times New Roman" w:cs="Times New Roman" w:eastAsia="Times New Roman" w:hAnsi="Times New Roman"/>
            <w:sz w:val="17"/>
            <w:szCs w:val="17"/>
            <w:u w:val="single" w:color="auto"/>
            <w:color w:val="0000FF"/>
          </w:rPr>
          <w:t>30, 2024 filed on November 8, 2024 and incorporated herein by</w:t>
        </w:r>
      </w:hyperlink>
    </w:p>
    <w:p>
      <w:pPr>
        <w:spacing w:after="0"/>
        <w:rPr>
          <w:rFonts w:ascii="Times New Roman" w:cs="Times New Roman" w:eastAsia="Times New Roman" w:hAnsi="Times New Roman"/>
          <w:sz w:val="18"/>
          <w:szCs w:val="18"/>
          <w:u w:val="single" w:color="auto"/>
          <w:color w:val="0000FF"/>
        </w:rPr>
      </w:pPr>
      <w:hyperlink r:id="rId245">
        <w:r>
          <w:rPr>
            <w:rFonts w:ascii="Times New Roman" w:cs="Times New Roman" w:eastAsia="Times New Roman" w:hAnsi="Times New Roman"/>
            <w:sz w:val="18"/>
            <w:szCs w:val="18"/>
            <w:u w:val="single" w:color="auto"/>
            <w:color w:val="0000FF"/>
          </w:rPr>
          <w:t>reference.</w:t>
        </w:r>
      </w:hyperlink>
    </w:p>
    <w:p>
      <w:pPr>
        <w:spacing w:after="0" w:line="246" w:lineRule="exact"/>
        <w:rPr>
          <w:rFonts w:ascii="Times New Roman" w:cs="Times New Roman" w:eastAsia="Times New Roman" w:hAnsi="Times New Roman"/>
          <w:sz w:val="17"/>
          <w:szCs w:val="17"/>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4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on Form 8-K (File No. 0-30242) filed on May 3, 2010, and</w:t>
        </w:r>
      </w:hyperlink>
      <w:r>
        <w:rPr>
          <w:rFonts w:ascii="Times New Roman" w:cs="Times New Roman" w:eastAsia="Times New Roman" w:hAnsi="Times New Roman"/>
          <w:sz w:val="18"/>
          <w:szCs w:val="18"/>
          <w:u w:val="single" w:color="auto"/>
          <w:color w:val="0000FF"/>
        </w:rPr>
        <w:t xml:space="preserve"> </w:t>
      </w:r>
      <w:hyperlink r:id="rId246">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47">
        <w:r>
          <w:rPr>
            <w:rFonts w:ascii="Times New Roman" w:cs="Times New Roman" w:eastAsia="Times New Roman" w:hAnsi="Times New Roman"/>
            <w:sz w:val="17"/>
            <w:szCs w:val="17"/>
            <w:u w:val="single" w:color="auto"/>
            <w:color w:val="0000FF"/>
          </w:rPr>
          <w:t>Previously filed as Exhibit 10(p)(2) to the Company’s Annual</w:t>
        </w:r>
      </w:hyperlink>
      <w:r>
        <w:rPr>
          <w:rFonts w:ascii="Times New Roman" w:cs="Times New Roman" w:eastAsia="Times New Roman" w:hAnsi="Times New Roman"/>
          <w:sz w:val="17"/>
          <w:szCs w:val="17"/>
          <w:u w:val="single" w:color="auto"/>
          <w:color w:val="0000FF"/>
        </w:rPr>
        <w:t xml:space="preserve"> </w:t>
      </w:r>
      <w:hyperlink r:id="rId247">
        <w:r>
          <w:rPr>
            <w:rFonts w:ascii="Times New Roman" w:cs="Times New Roman" w:eastAsia="Times New Roman" w:hAnsi="Times New Roman"/>
            <w:sz w:val="17"/>
            <w:szCs w:val="17"/>
            <w:u w:val="single" w:color="auto"/>
            <w:color w:val="0000FF"/>
          </w:rPr>
          <w:t>Report on Form 10-K for the year ended December 31, 2010 (File</w:t>
        </w:r>
      </w:hyperlink>
      <w:r>
        <w:rPr>
          <w:rFonts w:ascii="Times New Roman" w:cs="Times New Roman" w:eastAsia="Times New Roman" w:hAnsi="Times New Roman"/>
          <w:sz w:val="17"/>
          <w:szCs w:val="17"/>
          <w:u w:val="single" w:color="auto"/>
          <w:color w:val="0000FF"/>
        </w:rPr>
        <w:t xml:space="preserve"> </w:t>
      </w:r>
      <w:hyperlink r:id="rId247">
        <w:r>
          <w:rPr>
            <w:rFonts w:ascii="Times New Roman" w:cs="Times New Roman" w:eastAsia="Times New Roman" w:hAnsi="Times New Roman"/>
            <w:sz w:val="17"/>
            <w:szCs w:val="17"/>
            <w:u w:val="single" w:color="auto"/>
            <w:color w:val="0000FF"/>
          </w:rPr>
          <w:t>No. 0-30242) filed on February 25, 2011 and incorporated herein</w:t>
        </w:r>
      </w:hyperlink>
    </w:p>
    <w:p>
      <w:pPr>
        <w:spacing w:after="0"/>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48">
        <w:r>
          <w:rPr>
            <w:rFonts w:ascii="Times New Roman" w:cs="Times New Roman" w:eastAsia="Times New Roman" w:hAnsi="Times New Roman"/>
            <w:sz w:val="17"/>
            <w:szCs w:val="17"/>
            <w:u w:val="single" w:color="auto"/>
            <w:color w:val="0000FF"/>
          </w:rPr>
          <w:t>Previously filed as Exhibit 10(p)(3) to the Company’s Annual</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Report on Form 10-K for the year ended December 31, 2010 (File</w:t>
        </w:r>
      </w:hyperlink>
      <w:r>
        <w:rPr>
          <w:rFonts w:ascii="Times New Roman" w:cs="Times New Roman" w:eastAsia="Times New Roman" w:hAnsi="Times New Roman"/>
          <w:sz w:val="17"/>
          <w:szCs w:val="17"/>
          <w:u w:val="single" w:color="auto"/>
          <w:color w:val="0000FF"/>
        </w:rPr>
        <w:t xml:space="preserve"> </w:t>
      </w:r>
      <w:hyperlink r:id="rId248">
        <w:r>
          <w:rPr>
            <w:rFonts w:ascii="Times New Roman" w:cs="Times New Roman" w:eastAsia="Times New Roman" w:hAnsi="Times New Roman"/>
            <w:sz w:val="17"/>
            <w:szCs w:val="17"/>
            <w:u w:val="single" w:color="auto"/>
            <w:color w:val="0000FF"/>
          </w:rPr>
          <w:t>No. 0-30242) filed on February 25, 2011 and incorporated herein</w:t>
        </w:r>
      </w:hyperlink>
    </w:p>
    <w:p>
      <w:pPr>
        <w:spacing w:after="0"/>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10(f)(4)</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Restatement Agreement, dated as of February 9,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Agreement dated as of April 28, 2010 by and among Lamar</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Media, Lamar Advertising of Puerto Rico, Inc., the Subsidiary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Guarantors named therein, each additional Subsidiary Borrower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that may be designated as such thereunder, the Lenders named</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therein, and JPMorgan Chase Bank, N.A., as administrative agent</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(including the Amended and Restated Credit Agreement).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October 24,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Restatement Agreement, dated as of February 3, 2014, by</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among Lamar Media, the Company,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Bank, N.A., as administrative agent (including the Second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as Exhibit A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April 18, 2014, to the Second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by and among Lamar Media, the Company, the Subsidiary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Guarantors named therein,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Amendment No. 1 dated January 7, 2016 to the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Second Amended and Restated Credit Agreement, dated as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3, 2014, as amended by and among Lamar Media,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named therein, and JPMorgan Chase Bank, N.A., as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March 4, 2016, to the Second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as amended by and among Lamar Media, the Company,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of Lamar Media’s subsidiaries as Guarantors, JPMorgan</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Chase Bank, N.A. as Administrative Agent and the Lenders party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Restatement Agreement, dated as of May 15, 2017,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among Lamar Media, the Company,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Bank, N.A., as Administrative Agent (including the Third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as Exhibit A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as of March 16, 2018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Restatement Agreement, by and among Lamar Media, the</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c>
          <w:tcPr>
            <w:tcW w:w="0" w:type="dxa"/>
            <w:vAlign w:val="bottom"/>
          </w:tcPr>
          <w:p>
            <w:pPr>
              <w:spacing w:after="0"/>
              <w:rPr>
                <w:sz w:val="1"/>
                <w:szCs w:val="1"/>
                <w:color w:val="auto"/>
              </w:rPr>
            </w:pPr>
          </w:p>
        </w:tc>
      </w:tr>
    </w:tbl>
    <w:p>
      <w:pPr>
        <w:ind w:left="1320" w:right="60"/>
        <w:spacing w:after="0" w:line="220" w:lineRule="auto"/>
        <w:rPr>
          <w:sz w:val="20"/>
          <w:szCs w:val="20"/>
          <w:color w:val="auto"/>
        </w:rPr>
      </w:pPr>
      <w:r>
        <w:rPr>
          <w:rFonts w:ascii="Times New Roman" w:cs="Times New Roman" w:eastAsia="Times New Roman" w:hAnsi="Times New Roman"/>
          <w:sz w:val="17"/>
          <w:szCs w:val="17"/>
          <w:color w:val="auto"/>
        </w:rPr>
        <w:t>named therein, and JPMorgan Chase Bank, N.A., as administrative agent (including the Third Amended and Restated Credit Agreement, as amended for Amendment No. 1, as Exhibit A</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thereto).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on Form 8-K (File No. 0-30242) filed on February 14, 2012 and</w:t>
        </w:r>
      </w:hyperlink>
      <w:r>
        <w:rPr>
          <w:rFonts w:ascii="Times New Roman" w:cs="Times New Roman" w:eastAsia="Times New Roman" w:hAnsi="Times New Roman"/>
          <w:sz w:val="18"/>
          <w:szCs w:val="18"/>
          <w:u w:val="single" w:color="auto"/>
          <w:color w:val="0000FF"/>
        </w:rPr>
        <w:t xml:space="preserve"> </w:t>
      </w:r>
      <w:hyperlink r:id="rId251">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52">
        <w:r>
          <w:rPr>
            <w:rFonts w:ascii="Times New Roman" w:cs="Times New Roman" w:eastAsia="Times New Roman" w:hAnsi="Times New Roman"/>
            <w:sz w:val="17"/>
            <w:szCs w:val="17"/>
            <w:u w:val="single" w:color="auto"/>
            <w:color w:val="0000FF"/>
          </w:rPr>
          <w:t>Previously filed as Exhibit 10(f)(11) to the Company’s Annual</w:t>
        </w:r>
      </w:hyperlink>
      <w:r>
        <w:rPr>
          <w:rFonts w:ascii="Times New Roman" w:cs="Times New Roman" w:eastAsia="Times New Roman" w:hAnsi="Times New Roman"/>
          <w:sz w:val="17"/>
          <w:szCs w:val="17"/>
          <w:u w:val="single" w:color="auto"/>
          <w:color w:val="0000FF"/>
        </w:rPr>
        <w:t xml:space="preserve"> </w:t>
      </w:r>
      <w:hyperlink r:id="rId252">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52">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on Form 8-K (File No. 0-30242) filed on February 7, 2014 and</w:t>
        </w:r>
      </w:hyperlink>
      <w:r>
        <w:rPr>
          <w:rFonts w:ascii="Times New Roman" w:cs="Times New Roman" w:eastAsia="Times New Roman" w:hAnsi="Times New Roman"/>
          <w:sz w:val="18"/>
          <w:szCs w:val="18"/>
          <w:u w:val="single" w:color="auto"/>
          <w:color w:val="0000FF"/>
        </w:rPr>
        <w:t xml:space="preserve"> </w:t>
      </w:r>
      <w:hyperlink r:id="rId253">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on Form 8-K (File No. 0-30242) filed on April 22, 2014 and</w:t>
        </w:r>
      </w:hyperlink>
      <w:r>
        <w:rPr>
          <w:rFonts w:ascii="Times New Roman" w:cs="Times New Roman" w:eastAsia="Times New Roman" w:hAnsi="Times New Roman"/>
          <w:sz w:val="18"/>
          <w:szCs w:val="18"/>
          <w:u w:val="single" w:color="auto"/>
          <w:color w:val="0000FF"/>
        </w:rPr>
        <w:t xml:space="preserve"> </w:t>
      </w:r>
      <w:hyperlink r:id="rId254">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on Form 8-K (File No. 1-36756) filed on January 13, 2016 and</w:t>
        </w:r>
      </w:hyperlink>
      <w:r>
        <w:rPr>
          <w:rFonts w:ascii="Times New Roman" w:cs="Times New Roman" w:eastAsia="Times New Roman" w:hAnsi="Times New Roman"/>
          <w:sz w:val="18"/>
          <w:szCs w:val="18"/>
          <w:u w:val="single" w:color="auto"/>
          <w:color w:val="0000FF"/>
        </w:rPr>
        <w:t xml:space="preserve"> </w:t>
      </w:r>
      <w:hyperlink r:id="rId255">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on Form 8-K (File No. 1-36756) filed on March 8, 2016 and</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7">
        <w:r>
          <w:rPr>
            <w:rFonts w:ascii="Times New Roman" w:cs="Times New Roman" w:eastAsia="Times New Roman" w:hAnsi="Times New Roman"/>
            <w:sz w:val="18"/>
            <w:szCs w:val="18"/>
            <w:u w:val="single" w:color="auto"/>
            <w:color w:val="0000FF"/>
          </w:rPr>
          <w:t>on Form 8-K (File No. 1-36756) filed on May 19, 2017 and</w:t>
        </w:r>
      </w:hyperlink>
      <w:r>
        <w:rPr>
          <w:rFonts w:ascii="Times New Roman" w:cs="Times New Roman" w:eastAsia="Times New Roman" w:hAnsi="Times New Roman"/>
          <w:sz w:val="18"/>
          <w:szCs w:val="18"/>
          <w:u w:val="single" w:color="auto"/>
          <w:color w:val="0000FF"/>
        </w:rPr>
        <w:t xml:space="preserve"> </w:t>
      </w:r>
      <w:hyperlink r:id="rId257">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ind w:right="40"/>
        <w:spacing w:after="0" w:line="226" w:lineRule="auto"/>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on Form 8-K (File No. 1-36756) filed on March 21, 2018 and</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740"/>
          </w:cols>
          <w:pgMar w:left="320" w:top="121" w:right="4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10(f)(12)</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Amendment No. 2 dated as of December 6, 2018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Restatement Agreement, by and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the subsidiary guarantors named therein, the Lenders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named therein, and JPMorgan Chase Bank, N.A., as administrative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agent (including the Third Amended and Restated Credit</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as amended for Amendment No. 2, as Exhibit 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Amendment No. 1, dated January 17, 2019, by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among Lamar Media, Lamar Advertising, the subsidiary guarantors</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named therein, the Lenders named therein, and JPMorgan Chase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N.A.,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July 19, 2010,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Arizona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April 21, 2011,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Wisconsin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August 26, 2011, to the Credit</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dated as of April 28, 2010 among Lamar Media, the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subsidiary borrower party thereto, the subsidiary guarantors party</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the lenders party thereto and JPMorgan Chase Bank, N.A.,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by Montana Logos,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JPMorgan Chase Bank, N.A., as administrative agent, by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NextMedia Outdoor, Inc.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10(f)(18)</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JPMorgan Chase Bank, N.A., as administrative agent, by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NextMedia Outdoor, Inc.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10(f)(19)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November 14, 2012, to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9,</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2012 among Lamar Media, the subsidiary borrower party thereto,</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 subsidiary guarantors party thereto, the lenders party thereto</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JPMorgan Chase Bank, N.A., as administrative agent, by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NMG Outdoor I Corp.</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bl>
    <w:p>
      <w:pPr>
        <w:jc w:val="both"/>
        <w:ind w:left="1320" w:right="240"/>
        <w:spacing w:after="0" w:line="218" w:lineRule="auto"/>
        <w:rPr>
          <w:sz w:val="20"/>
          <w:szCs w:val="20"/>
          <w:color w:val="auto"/>
        </w:rPr>
      </w:pPr>
      <w:r>
        <w:rPr>
          <w:rFonts w:ascii="Times New Roman" w:cs="Times New Roman" w:eastAsia="Times New Roman" w:hAnsi="Times New Roman"/>
          <w:sz w:val="18"/>
          <w:szCs w:val="18"/>
          <w:color w:val="auto"/>
        </w:rPr>
        <w:t>subsidiary guarantors party thereto, the lenders party thereto and JPMorgan Chase Bank, N.A., as administrative agent, by Lamar TRS Holdings, LLC.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jc w:val="both"/>
        <w:ind w:right="40"/>
        <w:spacing w:after="0" w:line="226"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on Form 8-K (File No. 1-36756) filed on December 12, 2018 and</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Previously filed as Exhibit 10.1 to Lamar Advertising’s Current</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Report on Form 8-K (File No. 1-36756) filed on January 22, 2019</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and 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63">
        <w:r>
          <w:rPr>
            <w:rFonts w:ascii="Times New Roman" w:cs="Times New Roman" w:eastAsia="Times New Roman" w:hAnsi="Times New Roman"/>
            <w:sz w:val="17"/>
            <w:szCs w:val="17"/>
            <w:u w:val="single" w:color="auto"/>
            <w:color w:val="0000FF"/>
          </w:rPr>
          <w:t>Previously filed as Exhibit 10(p)(4) to the Company’s Annual</w:t>
        </w:r>
      </w:hyperlink>
      <w:r>
        <w:rPr>
          <w:rFonts w:ascii="Times New Roman" w:cs="Times New Roman" w:eastAsia="Times New Roman" w:hAnsi="Times New Roman"/>
          <w:sz w:val="17"/>
          <w:szCs w:val="17"/>
          <w:u w:val="single" w:color="auto"/>
          <w:color w:val="0000FF"/>
        </w:rPr>
        <w:t xml:space="preserve"> </w:t>
      </w:r>
      <w:hyperlink r:id="rId263">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63">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64">
        <w:r>
          <w:rPr>
            <w:rFonts w:ascii="Times New Roman" w:cs="Times New Roman" w:eastAsia="Times New Roman" w:hAnsi="Times New Roman"/>
            <w:sz w:val="17"/>
            <w:szCs w:val="17"/>
            <w:u w:val="single" w:color="auto"/>
            <w:color w:val="0000FF"/>
          </w:rPr>
          <w:t>Previously filed as Exhibit 10(p)(5) to the Company’s Annual</w:t>
        </w:r>
      </w:hyperlink>
      <w:r>
        <w:rPr>
          <w:rFonts w:ascii="Times New Roman" w:cs="Times New Roman" w:eastAsia="Times New Roman" w:hAnsi="Times New Roman"/>
          <w:sz w:val="17"/>
          <w:szCs w:val="17"/>
          <w:u w:val="single" w:color="auto"/>
          <w:color w:val="0000FF"/>
        </w:rPr>
        <w:t xml:space="preserve"> </w:t>
      </w:r>
      <w:hyperlink r:id="rId264">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64">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65">
        <w:r>
          <w:rPr>
            <w:rFonts w:ascii="Times New Roman" w:cs="Times New Roman" w:eastAsia="Times New Roman" w:hAnsi="Times New Roman"/>
            <w:sz w:val="17"/>
            <w:szCs w:val="17"/>
            <w:u w:val="single" w:color="auto"/>
            <w:color w:val="0000FF"/>
          </w:rPr>
          <w:t>Previously filed as Exhibit 10(p)(6) to the Company’s Annual</w:t>
        </w:r>
      </w:hyperlink>
      <w:r>
        <w:rPr>
          <w:rFonts w:ascii="Times New Roman" w:cs="Times New Roman" w:eastAsia="Times New Roman" w:hAnsi="Times New Roman"/>
          <w:sz w:val="17"/>
          <w:szCs w:val="17"/>
          <w:u w:val="single" w:color="auto"/>
          <w:color w:val="0000FF"/>
        </w:rPr>
        <w:t xml:space="preserve"> </w:t>
      </w:r>
      <w:hyperlink r:id="rId265">
        <w:r>
          <w:rPr>
            <w:rFonts w:ascii="Times New Roman" w:cs="Times New Roman" w:eastAsia="Times New Roman" w:hAnsi="Times New Roman"/>
            <w:sz w:val="17"/>
            <w:szCs w:val="17"/>
            <w:u w:val="single" w:color="auto"/>
            <w:color w:val="0000FF"/>
          </w:rPr>
          <w:t>Report on Form 10-K for the year ended December 31, 2011 (File</w:t>
        </w:r>
      </w:hyperlink>
      <w:r>
        <w:rPr>
          <w:rFonts w:ascii="Times New Roman" w:cs="Times New Roman" w:eastAsia="Times New Roman" w:hAnsi="Times New Roman"/>
          <w:sz w:val="17"/>
          <w:szCs w:val="17"/>
          <w:u w:val="single" w:color="auto"/>
          <w:color w:val="0000FF"/>
        </w:rPr>
        <w:t xml:space="preserve"> </w:t>
      </w:r>
      <w:hyperlink r:id="rId265">
        <w:r>
          <w:rPr>
            <w:rFonts w:ascii="Times New Roman" w:cs="Times New Roman" w:eastAsia="Times New Roman" w:hAnsi="Times New Roman"/>
            <w:sz w:val="17"/>
            <w:szCs w:val="17"/>
            <w:u w:val="single" w:color="auto"/>
            <w:color w:val="0000FF"/>
          </w:rPr>
          <w:t>No. 0-30242) filed on February 27, 2012 and incorporated herein</w:t>
        </w:r>
      </w:hyperlink>
    </w:p>
    <w:p>
      <w:pPr>
        <w:spacing w:after="0"/>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by reference.</w:t>
        </w:r>
      </w:hyperlink>
    </w:p>
    <w:p>
      <w:pPr>
        <w:spacing w:after="0" w:line="246"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66">
        <w:r>
          <w:rPr>
            <w:rFonts w:ascii="Times New Roman" w:cs="Times New Roman" w:eastAsia="Times New Roman" w:hAnsi="Times New Roman"/>
            <w:sz w:val="17"/>
            <w:szCs w:val="17"/>
            <w:u w:val="single" w:color="auto"/>
            <w:color w:val="0000FF"/>
          </w:rPr>
          <w:t>Previously filed as Exhibit 10(f)(9) to the Company’s Annual</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66">
        <w:r>
          <w:rPr>
            <w:rFonts w:ascii="Times New Roman" w:cs="Times New Roman" w:eastAsia="Times New Roman" w:hAnsi="Times New Roman"/>
            <w:sz w:val="17"/>
            <w:szCs w:val="17"/>
            <w:u w:val="single" w:color="auto"/>
            <w:color w:val="0000FF"/>
          </w:rPr>
          <w:t>Previously filed as Exhibit 10(f)(9) to the Company’s Annual</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66">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67">
        <w:r>
          <w:rPr>
            <w:rFonts w:ascii="Times New Roman" w:cs="Times New Roman" w:eastAsia="Times New Roman" w:hAnsi="Times New Roman"/>
            <w:sz w:val="17"/>
            <w:szCs w:val="17"/>
            <w:u w:val="single" w:color="auto"/>
            <w:color w:val="0000FF"/>
          </w:rPr>
          <w:t>Previously filed as Exhibit 10(f)(10) to the Company’s Annual</w:t>
        </w:r>
      </w:hyperlink>
      <w:r>
        <w:rPr>
          <w:rFonts w:ascii="Times New Roman" w:cs="Times New Roman" w:eastAsia="Times New Roman" w:hAnsi="Times New Roman"/>
          <w:sz w:val="17"/>
          <w:szCs w:val="17"/>
          <w:u w:val="single" w:color="auto"/>
          <w:color w:val="0000FF"/>
        </w:rPr>
        <w:t xml:space="preserve"> </w:t>
      </w:r>
      <w:hyperlink r:id="rId267">
        <w:r>
          <w:rPr>
            <w:rFonts w:ascii="Times New Roman" w:cs="Times New Roman" w:eastAsia="Times New Roman" w:hAnsi="Times New Roman"/>
            <w:sz w:val="17"/>
            <w:szCs w:val="17"/>
            <w:u w:val="single" w:color="auto"/>
            <w:color w:val="0000FF"/>
          </w:rPr>
          <w:t>Report on Form 10-K for the year ended December 31, 2012 (File</w:t>
        </w:r>
      </w:hyperlink>
      <w:r>
        <w:rPr>
          <w:rFonts w:ascii="Times New Roman" w:cs="Times New Roman" w:eastAsia="Times New Roman" w:hAnsi="Times New Roman"/>
          <w:sz w:val="17"/>
          <w:szCs w:val="17"/>
          <w:u w:val="single" w:color="auto"/>
          <w:color w:val="0000FF"/>
        </w:rPr>
        <w:t xml:space="preserve"> </w:t>
      </w:r>
      <w:hyperlink r:id="rId267">
        <w:r>
          <w:rPr>
            <w:rFonts w:ascii="Times New Roman" w:cs="Times New Roman" w:eastAsia="Times New Roman" w:hAnsi="Times New Roman"/>
            <w:sz w:val="17"/>
            <w:szCs w:val="17"/>
            <w:u w:val="single" w:color="auto"/>
            <w:color w:val="0000FF"/>
          </w:rPr>
          <w:t>No. 0-30242) filed on February 28, 2013 and incorporated herein</w:t>
        </w:r>
      </w:hyperlink>
    </w:p>
    <w:p>
      <w:pPr>
        <w:spacing w:after="0"/>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spacing w:after="0" w:line="229" w:lineRule="auto"/>
        <w:rPr>
          <w:rFonts w:ascii="Times New Roman" w:cs="Times New Roman" w:eastAsia="Times New Roman" w:hAnsi="Times New Roman"/>
          <w:sz w:val="17"/>
          <w:szCs w:val="17"/>
          <w:u w:val="single" w:color="auto"/>
          <w:color w:val="0000FF"/>
        </w:rPr>
      </w:pPr>
      <w:hyperlink r:id="rId268">
        <w:r>
          <w:rPr>
            <w:rFonts w:ascii="Times New Roman" w:cs="Times New Roman" w:eastAsia="Times New Roman" w:hAnsi="Times New Roman"/>
            <w:sz w:val="17"/>
            <w:szCs w:val="17"/>
            <w:u w:val="single" w:color="auto"/>
            <w:color w:val="0000FF"/>
          </w:rPr>
          <w:t>Previously filed as Exhibit 10(f)(12) to the Company’s Annual</w:t>
        </w:r>
      </w:hyperlink>
      <w:r>
        <w:rPr>
          <w:rFonts w:ascii="Times New Roman" w:cs="Times New Roman" w:eastAsia="Times New Roman" w:hAnsi="Times New Roman"/>
          <w:sz w:val="17"/>
          <w:szCs w:val="17"/>
          <w:u w:val="single" w:color="auto"/>
          <w:color w:val="0000FF"/>
        </w:rPr>
        <w:t xml:space="preserve"> </w:t>
      </w:r>
      <w:hyperlink r:id="rId268">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68">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by reference.</w:t>
        </w:r>
      </w:hyperlink>
    </w:p>
    <w:p>
      <w:pPr>
        <w:sectPr>
          <w:pgSz w:w="11900" w:h="16838" w:orient="portrait"/>
          <w:cols w:equalWidth="0" w:num="2">
            <w:col w:w="6200" w:space="140"/>
            <w:col w:w="4740"/>
          </w:cols>
          <w:pgMar w:left="320" w:top="121" w:right="4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10(f)(21)</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Company,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5, 2013, to the Amended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Restated Credit Agreement dated as of February 9, 2012</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among Lamar Media, the subsidiary borrower party thereto, the</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the lenders party thereto and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JPMorgan Chase Bank, N.A., as administrative agent, by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July 28, 2015, to the Second</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February 3,</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2014,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Lamar Alliance Airport Advertising Company.</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10(f)(25)</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30, 2018,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by Interstate Logos TRS,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agent, by FMG Outdoor Holdings, LLC, Lamar-Fairway Blocker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 Inc., Lamar-Fairway Blocker 2, Inc., Magic Media, Inc.,</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Fairway Media Group, LLC, Fairway Outdoor Advertising, LLC,</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Fairway Outdoor Funding Holdings, LLC, Fairway Outdoor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Funding, LLC, MCC Outdoor, LLC, Magic Media Real Estate,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LLC, FMO Real Estate, LLC, Douglas Outdoor Advertising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GA., Inc., Olympus Media/Indiana, LLC and Fairway CCO</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Indiana,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10(f)(27)</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January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bl>
    <w:p>
      <w:pPr>
        <w:jc w:val="both"/>
        <w:ind w:left="1320" w:right="220"/>
        <w:spacing w:after="0" w:line="218" w:lineRule="auto"/>
        <w:rPr>
          <w:sz w:val="20"/>
          <w:szCs w:val="20"/>
          <w:color w:val="auto"/>
        </w:rPr>
      </w:pPr>
      <w:r>
        <w:rPr>
          <w:rFonts w:ascii="Times New Roman" w:cs="Times New Roman" w:eastAsia="Times New Roman" w:hAnsi="Times New Roman"/>
          <w:sz w:val="18"/>
          <w:szCs w:val="18"/>
          <w:color w:val="auto"/>
        </w:rPr>
        <w:t>party thereto, the subsidiary guarantors party thereto, the lenders party thereto and JPMorgan Chase Bank, N.A., as administrative agent, by New Hampshire Logos, L.L.C.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ind w:right="100"/>
        <w:spacing w:after="0" w:line="229" w:lineRule="auto"/>
        <w:rPr>
          <w:rFonts w:ascii="Times New Roman" w:cs="Times New Roman" w:eastAsia="Times New Roman" w:hAnsi="Times New Roman"/>
          <w:sz w:val="17"/>
          <w:szCs w:val="17"/>
          <w:u w:val="single" w:color="auto"/>
          <w:color w:val="0000FF"/>
        </w:rPr>
      </w:pPr>
      <w:hyperlink r:id="rId271">
        <w:r>
          <w:rPr>
            <w:rFonts w:ascii="Times New Roman" w:cs="Times New Roman" w:eastAsia="Times New Roman" w:hAnsi="Times New Roman"/>
            <w:sz w:val="17"/>
            <w:szCs w:val="17"/>
            <w:u w:val="single" w:color="auto"/>
            <w:color w:val="0000FF"/>
          </w:rPr>
          <w:t>Previously filed as Exhibit 10(f)(13) to the Company’s Annual</w:t>
        </w:r>
      </w:hyperlink>
      <w:r>
        <w:rPr>
          <w:rFonts w:ascii="Times New Roman" w:cs="Times New Roman" w:eastAsia="Times New Roman" w:hAnsi="Times New Roman"/>
          <w:sz w:val="17"/>
          <w:szCs w:val="17"/>
          <w:u w:val="single" w:color="auto"/>
          <w:color w:val="0000FF"/>
        </w:rPr>
        <w:t xml:space="preserve"> </w:t>
      </w:r>
      <w:hyperlink r:id="rId271">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71">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71">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72">
        <w:r>
          <w:rPr>
            <w:rFonts w:ascii="Times New Roman" w:cs="Times New Roman" w:eastAsia="Times New Roman" w:hAnsi="Times New Roman"/>
            <w:sz w:val="17"/>
            <w:szCs w:val="17"/>
            <w:u w:val="single" w:color="auto"/>
            <w:color w:val="0000FF"/>
          </w:rPr>
          <w:t>Previously filed as Exhibit 10(f)(14) to the Company’s Annual</w:t>
        </w:r>
      </w:hyperlink>
      <w:r>
        <w:rPr>
          <w:rFonts w:ascii="Times New Roman" w:cs="Times New Roman" w:eastAsia="Times New Roman" w:hAnsi="Times New Roman"/>
          <w:sz w:val="17"/>
          <w:szCs w:val="17"/>
          <w:u w:val="single" w:color="auto"/>
          <w:color w:val="0000FF"/>
        </w:rPr>
        <w:t xml:space="preserve"> </w:t>
      </w:r>
      <w:hyperlink r:id="rId272">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72">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73">
        <w:r>
          <w:rPr>
            <w:rFonts w:ascii="Times New Roman" w:cs="Times New Roman" w:eastAsia="Times New Roman" w:hAnsi="Times New Roman"/>
            <w:sz w:val="17"/>
            <w:szCs w:val="17"/>
            <w:u w:val="single" w:color="auto"/>
            <w:color w:val="0000FF"/>
          </w:rPr>
          <w:t>Previously filed as Exhibit 10(f)(15) to the Company’s Annual</w:t>
        </w:r>
      </w:hyperlink>
      <w:r>
        <w:rPr>
          <w:rFonts w:ascii="Times New Roman" w:cs="Times New Roman" w:eastAsia="Times New Roman" w:hAnsi="Times New Roman"/>
          <w:sz w:val="17"/>
          <w:szCs w:val="17"/>
          <w:u w:val="single" w:color="auto"/>
          <w:color w:val="0000FF"/>
        </w:rPr>
        <w:t xml:space="preserve"> </w:t>
      </w:r>
      <w:hyperlink r:id="rId273">
        <w:r>
          <w:rPr>
            <w:rFonts w:ascii="Times New Roman" w:cs="Times New Roman" w:eastAsia="Times New Roman" w:hAnsi="Times New Roman"/>
            <w:sz w:val="17"/>
            <w:szCs w:val="17"/>
            <w:u w:val="single" w:color="auto"/>
            <w:color w:val="0000FF"/>
          </w:rPr>
          <w:t>Report on Form 10-K for the year ended December 31, 2013 (File</w:t>
        </w:r>
      </w:hyperlink>
      <w:r>
        <w:rPr>
          <w:rFonts w:ascii="Times New Roman" w:cs="Times New Roman" w:eastAsia="Times New Roman" w:hAnsi="Times New Roman"/>
          <w:sz w:val="17"/>
          <w:szCs w:val="17"/>
          <w:u w:val="single" w:color="auto"/>
          <w:color w:val="0000FF"/>
        </w:rPr>
        <w:t xml:space="preserve"> </w:t>
      </w:r>
      <w:hyperlink r:id="rId273">
        <w:r>
          <w:rPr>
            <w:rFonts w:ascii="Times New Roman" w:cs="Times New Roman" w:eastAsia="Times New Roman" w:hAnsi="Times New Roman"/>
            <w:sz w:val="17"/>
            <w:szCs w:val="17"/>
            <w:u w:val="single" w:color="auto"/>
            <w:color w:val="0000FF"/>
          </w:rPr>
          <w:t>No. 0-30242) filed on February 27, 2014 and incorporated herein</w:t>
        </w:r>
      </w:hyperlink>
    </w:p>
    <w:p>
      <w:pPr>
        <w:spacing w:after="0"/>
        <w:rPr>
          <w:rFonts w:ascii="Times New Roman" w:cs="Times New Roman" w:eastAsia="Times New Roman" w:hAnsi="Times New Roman"/>
          <w:sz w:val="18"/>
          <w:szCs w:val="18"/>
          <w:u w:val="single" w:color="auto"/>
          <w:color w:val="0000FF"/>
        </w:rPr>
      </w:pPr>
      <w:hyperlink r:id="rId273">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ind w:right="100"/>
        <w:spacing w:after="0" w:line="229" w:lineRule="auto"/>
        <w:rPr>
          <w:rFonts w:ascii="Times New Roman" w:cs="Times New Roman" w:eastAsia="Times New Roman" w:hAnsi="Times New Roman"/>
          <w:sz w:val="17"/>
          <w:szCs w:val="17"/>
          <w:u w:val="single" w:color="auto"/>
          <w:color w:val="0000FF"/>
        </w:rPr>
      </w:pPr>
      <w:hyperlink r:id="rId274">
        <w:r>
          <w:rPr>
            <w:rFonts w:ascii="Times New Roman" w:cs="Times New Roman" w:eastAsia="Times New Roman" w:hAnsi="Times New Roman"/>
            <w:sz w:val="17"/>
            <w:szCs w:val="17"/>
            <w:u w:val="single" w:color="auto"/>
            <w:color w:val="0000FF"/>
          </w:rPr>
          <w:t>Previously filed as Exhibit 10(f)(20) to the Company’s Annual</w:t>
        </w:r>
      </w:hyperlink>
      <w:r>
        <w:rPr>
          <w:rFonts w:ascii="Times New Roman" w:cs="Times New Roman" w:eastAsia="Times New Roman" w:hAnsi="Times New Roman"/>
          <w:sz w:val="17"/>
          <w:szCs w:val="17"/>
          <w:u w:val="single" w:color="auto"/>
          <w:color w:val="0000FF"/>
        </w:rPr>
        <w:t xml:space="preserve"> </w:t>
      </w:r>
      <w:hyperlink r:id="rId274">
        <w:r>
          <w:rPr>
            <w:rFonts w:ascii="Times New Roman" w:cs="Times New Roman" w:eastAsia="Times New Roman" w:hAnsi="Times New Roman"/>
            <w:sz w:val="17"/>
            <w:szCs w:val="17"/>
            <w:u w:val="single" w:color="auto"/>
            <w:color w:val="0000FF"/>
          </w:rPr>
          <w:t>Report on Form 10-K for the year ended December 31, 2016 (File</w:t>
        </w:r>
      </w:hyperlink>
      <w:r>
        <w:rPr>
          <w:rFonts w:ascii="Times New Roman" w:cs="Times New Roman" w:eastAsia="Times New Roman" w:hAnsi="Times New Roman"/>
          <w:sz w:val="17"/>
          <w:szCs w:val="17"/>
          <w:u w:val="single" w:color="auto"/>
          <w:color w:val="0000FF"/>
        </w:rPr>
        <w:t xml:space="preserve"> </w:t>
      </w:r>
      <w:hyperlink r:id="rId274">
        <w:r>
          <w:rPr>
            <w:rFonts w:ascii="Times New Roman" w:cs="Times New Roman" w:eastAsia="Times New Roman" w:hAnsi="Times New Roman"/>
            <w:sz w:val="17"/>
            <w:szCs w:val="17"/>
            <w:u w:val="single" w:color="auto"/>
            <w:color w:val="0000FF"/>
          </w:rPr>
          <w:t>No. 1-36756) filed on February 24, 2017 and incorporated herein</w:t>
        </w:r>
      </w:hyperlink>
    </w:p>
    <w:p>
      <w:pPr>
        <w:spacing w:after="0"/>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21"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75">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75">
        <w:r>
          <w:rPr>
            <w:rFonts w:ascii="Times New Roman" w:cs="Times New Roman" w:eastAsia="Times New Roman" w:hAnsi="Times New Roman"/>
            <w:sz w:val="17"/>
            <w:szCs w:val="17"/>
            <w:u w:val="single" w:color="auto"/>
            <w:color w:val="0000FF"/>
          </w:rPr>
          <w:t>on Form 10-Q for the period ended March 31, 2018 (File No. 1-</w:t>
        </w:r>
      </w:hyperlink>
      <w:hyperlink r:id="rId275">
        <w:r>
          <w:rPr>
            <w:rFonts w:ascii="Times New Roman" w:cs="Times New Roman" w:eastAsia="Times New Roman" w:hAnsi="Times New Roman"/>
            <w:sz w:val="17"/>
            <w:szCs w:val="17"/>
            <w:u w:val="single" w:color="auto"/>
            <w:color w:val="0000FF"/>
          </w:rPr>
          <w:t>36756) filed on May 5, 2018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4"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76">
        <w:r>
          <w:rPr>
            <w:rFonts w:ascii="Times New Roman" w:cs="Times New Roman" w:eastAsia="Times New Roman" w:hAnsi="Times New Roman"/>
            <w:sz w:val="17"/>
            <w:szCs w:val="17"/>
            <w:u w:val="single" w:color="auto"/>
            <w:color w:val="0000FF"/>
          </w:rPr>
          <w:t>Previously filed as Exhibit 10.3 to the Company’s Quarterly Report</w:t>
        </w:r>
      </w:hyperlink>
      <w:r>
        <w:rPr>
          <w:rFonts w:ascii="Times New Roman" w:cs="Times New Roman" w:eastAsia="Times New Roman" w:hAnsi="Times New Roman"/>
          <w:sz w:val="17"/>
          <w:szCs w:val="17"/>
          <w:u w:val="single" w:color="auto"/>
          <w:color w:val="0000FF"/>
        </w:rPr>
        <w:t xml:space="preserve"> </w:t>
      </w:r>
      <w:hyperlink r:id="rId276">
        <w:r>
          <w:rPr>
            <w:rFonts w:ascii="Times New Roman" w:cs="Times New Roman" w:eastAsia="Times New Roman" w:hAnsi="Times New Roman"/>
            <w:sz w:val="17"/>
            <w:szCs w:val="17"/>
            <w:u w:val="single" w:color="auto"/>
            <w:color w:val="0000FF"/>
          </w:rPr>
          <w:t>on Form 10-Q for the period ended March 31, 2019 (File No. 1-</w:t>
        </w:r>
      </w:hyperlink>
      <w:hyperlink r:id="rId276">
        <w:r>
          <w:rPr>
            <w:rFonts w:ascii="Times New Roman" w:cs="Times New Roman" w:eastAsia="Times New Roman" w:hAnsi="Times New Roman"/>
            <w:sz w:val="17"/>
            <w:szCs w:val="17"/>
            <w:u w:val="single" w:color="auto"/>
            <w:color w:val="0000FF"/>
          </w:rPr>
          <w:t>36756) filed on May 2, 2019,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59" w:lineRule="exact"/>
        <w:rPr>
          <w:rFonts w:ascii="Times New Roman" w:cs="Times New Roman" w:eastAsia="Times New Roman" w:hAnsi="Times New Roman"/>
          <w:sz w:val="17"/>
          <w:szCs w:val="17"/>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77">
        <w:r>
          <w:rPr>
            <w:rFonts w:ascii="Times New Roman" w:cs="Times New Roman" w:eastAsia="Times New Roman" w:hAnsi="Times New Roman"/>
            <w:sz w:val="17"/>
            <w:szCs w:val="17"/>
            <w:u w:val="single" w:color="auto"/>
            <w:color w:val="0000FF"/>
          </w:rPr>
          <w:t>Previously filed as Exhibit 10.4 to the Company’s Quarterly Report</w:t>
        </w:r>
      </w:hyperlink>
      <w:r>
        <w:rPr>
          <w:rFonts w:ascii="Times New Roman" w:cs="Times New Roman" w:eastAsia="Times New Roman" w:hAnsi="Times New Roman"/>
          <w:sz w:val="17"/>
          <w:szCs w:val="17"/>
          <w:u w:val="single" w:color="auto"/>
          <w:color w:val="0000FF"/>
        </w:rPr>
        <w:t xml:space="preserve"> </w:t>
      </w:r>
      <w:hyperlink r:id="rId277">
        <w:r>
          <w:rPr>
            <w:rFonts w:ascii="Times New Roman" w:cs="Times New Roman" w:eastAsia="Times New Roman" w:hAnsi="Times New Roman"/>
            <w:sz w:val="17"/>
            <w:szCs w:val="17"/>
            <w:u w:val="single" w:color="auto"/>
            <w:color w:val="0000FF"/>
          </w:rPr>
          <w:t>on Form 10-Q for the period ended March 31, 2019 (File No. 1-</w:t>
        </w:r>
      </w:hyperlink>
      <w:hyperlink r:id="rId277">
        <w:r>
          <w:rPr>
            <w:rFonts w:ascii="Times New Roman" w:cs="Times New Roman" w:eastAsia="Times New Roman" w:hAnsi="Times New Roman"/>
            <w:sz w:val="17"/>
            <w:szCs w:val="17"/>
            <w:u w:val="single" w:color="auto"/>
            <w:color w:val="0000FF"/>
          </w:rPr>
          <w:t>36756) filed on May 2, 2019, and 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10(f)(28)</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Joinder Agreement, dated as of August 15, 2019, to the Third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May 15,</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2017, as amended, among Lamar Media, the subsidiary borrower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party thereto, the subsidiary guarantors party thereto, the lenders</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party thereto and JPMorgan Chase Bank, N.A., as administrative</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agent, by Ashby Street Outdoor Holdings LLC, Ashby Street</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CC, LLC and Ashby Street Outdoor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10(f)(29)</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Amended and Restated Credit Agreement, dated as of</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6, 2020, by and among Lamar Media,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named therein, the Lenders named therein,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10(f)(30)</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March 17, 2022,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6, 2020 (as amended by that certain Amendment No. 1,</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dated as of July 2, 2021, and as further amended),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the subsidiary borrower party thereto,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party thereto, the lenders party thereto and JPMorgan</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Chase Bank, N.A., as administrative agent, by Sky High Murals-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Colossal Media, Inc.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June 7, 2022,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6, 2020 (as amended by that certain Amendment No. 1,</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dated as of July 2, 2021, and as further amended),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the subsidiary borrower party thereto,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party thereto, the lenders party thereto and JPMorgan</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Chase Bank, N.A., as administrative agent, by Lamar Advertising</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Limited Partnership, Lamar Advertising General Partner, and Sky</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Murals-Colossal Media, LLC.</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as of July 29, 2022 to the Fourth</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by and among Lamar Media, as Borrower, the Company, Lamar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Media’s subsidiary guarantors party thereto, JPMorgan Chase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Bank, N.A., as Administrative Agent and certain lenders from time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time party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dated as of April 26, 2023 to the Fourth</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by and among Lamar Media, as Borrower, the Company, Lamar</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Media's subsidiary guarantors party thereto, JPMorgan Chase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Bank, N.A., as Administrative Agent and certain lenders from time</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time party thereto.</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dated as of July 31, 2023 to the Fourth</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February 6, 2020,</w:t>
            </w:r>
          </w:p>
        </w:tc>
        <w:tc>
          <w:tcPr>
            <w:tcW w:w="0" w:type="dxa"/>
            <w:vAlign w:val="bottom"/>
          </w:tcPr>
          <w:p>
            <w:pPr>
              <w:spacing w:after="0"/>
              <w:rPr>
                <w:sz w:val="1"/>
                <w:szCs w:val="1"/>
                <w:color w:val="auto"/>
              </w:rPr>
            </w:pPr>
          </w:p>
        </w:tc>
      </w:tr>
      <w:tr>
        <w:trPr>
          <w:trHeight w:val="204"/>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by and among Lamar Media, as Borrower, the Company, Lamar</w:t>
            </w:r>
          </w:p>
        </w:tc>
        <w:tc>
          <w:tcPr>
            <w:tcW w:w="0" w:type="dxa"/>
            <w:vAlign w:val="bottom"/>
          </w:tcPr>
          <w:p>
            <w:pPr>
              <w:spacing w:after="0"/>
              <w:rPr>
                <w:sz w:val="1"/>
                <w:szCs w:val="1"/>
                <w:color w:val="auto"/>
              </w:rPr>
            </w:pPr>
          </w:p>
        </w:tc>
      </w:tr>
    </w:tbl>
    <w:p>
      <w:pPr>
        <w:ind w:left="1320" w:right="40"/>
        <w:spacing w:after="0" w:line="218" w:lineRule="auto"/>
        <w:rPr>
          <w:sz w:val="20"/>
          <w:szCs w:val="20"/>
          <w:color w:val="auto"/>
        </w:rPr>
      </w:pPr>
      <w:r>
        <w:rPr>
          <w:rFonts w:ascii="Times New Roman" w:cs="Times New Roman" w:eastAsia="Times New Roman" w:hAnsi="Times New Roman"/>
          <w:sz w:val="18"/>
          <w:szCs w:val="18"/>
          <w:color w:val="auto"/>
        </w:rPr>
        <w:t>Media's subsidiary guarantors party thereto, JPMorgan Chase Bank, N.A., as Administrative Agent and certain lenders from time to time party thereto.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27" w:lineRule="auto"/>
        <w:rPr>
          <w:rFonts w:ascii="Times New Roman" w:cs="Times New Roman" w:eastAsia="Times New Roman" w:hAnsi="Times New Roman"/>
          <w:sz w:val="17"/>
          <w:szCs w:val="17"/>
          <w:u w:val="single" w:color="auto"/>
          <w:color w:val="0000FF"/>
        </w:rPr>
      </w:pPr>
      <w:hyperlink r:id="rId280">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80">
        <w:r>
          <w:rPr>
            <w:rFonts w:ascii="Times New Roman" w:cs="Times New Roman" w:eastAsia="Times New Roman" w:hAnsi="Times New Roman"/>
            <w:sz w:val="17"/>
            <w:szCs w:val="17"/>
            <w:u w:val="single" w:color="auto"/>
            <w:color w:val="0000FF"/>
          </w:rPr>
          <w:t>on Form 10-Q for the period ended September 30, 2019 (File No.</w:t>
        </w:r>
      </w:hyperlink>
    </w:p>
    <w:p>
      <w:pPr>
        <w:spacing w:after="0" w:line="1" w:lineRule="exact"/>
        <w:rPr>
          <w:sz w:val="20"/>
          <w:szCs w:val="20"/>
          <w:color w:val="auto"/>
        </w:rPr>
      </w:pPr>
    </w:p>
    <w:p>
      <w:pPr>
        <w:ind w:right="180"/>
        <w:spacing w:after="0" w:line="233" w:lineRule="auto"/>
        <w:rPr>
          <w:rFonts w:ascii="Times New Roman" w:cs="Times New Roman" w:eastAsia="Times New Roman" w:hAnsi="Times New Roman"/>
          <w:sz w:val="18"/>
          <w:szCs w:val="18"/>
          <w:u w:val="single" w:color="auto"/>
          <w:color w:val="0000FF"/>
        </w:rPr>
      </w:pPr>
      <w:hyperlink r:id="rId280">
        <w:r>
          <w:rPr>
            <w:rFonts w:ascii="Times New Roman" w:cs="Times New Roman" w:eastAsia="Times New Roman" w:hAnsi="Times New Roman"/>
            <w:sz w:val="18"/>
            <w:szCs w:val="18"/>
            <w:u w:val="single" w:color="auto"/>
            <w:color w:val="0000FF"/>
          </w:rPr>
          <w:t>1-36756) filed on November 5, 2019, and incorporated herein by</w:t>
        </w:r>
      </w:hyperlink>
      <w:r>
        <w:rPr>
          <w:rFonts w:ascii="Times New Roman" w:cs="Times New Roman" w:eastAsia="Times New Roman" w:hAnsi="Times New Roman"/>
          <w:sz w:val="18"/>
          <w:szCs w:val="18"/>
          <w:u w:val="single" w:color="auto"/>
          <w:color w:val="0000FF"/>
        </w:rPr>
        <w:t xml:space="preserve"> </w:t>
      </w:r>
      <w:hyperlink r:id="rId280">
        <w:r>
          <w:rPr>
            <w:rFonts w:ascii="Times New Roman" w:cs="Times New Roman" w:eastAsia="Times New Roman" w:hAnsi="Times New Roman"/>
            <w:sz w:val="18"/>
            <w:szCs w:val="18"/>
            <w:u w:val="single" w:color="auto"/>
            <w:color w:val="0000FF"/>
          </w:rPr>
          <w:t>reference.</w:t>
        </w:r>
      </w:hyperlink>
    </w:p>
    <w:p>
      <w:pPr>
        <w:spacing w:after="0" w:line="200" w:lineRule="exact"/>
        <w:rPr>
          <w:sz w:val="20"/>
          <w:szCs w:val="20"/>
          <w:color w:val="auto"/>
        </w:rPr>
      </w:pPr>
    </w:p>
    <w:p>
      <w:pPr>
        <w:spacing w:after="0" w:line="391" w:lineRule="exact"/>
        <w:rPr>
          <w:sz w:val="20"/>
          <w:szCs w:val="20"/>
          <w:color w:val="auto"/>
        </w:rPr>
      </w:pPr>
    </w:p>
    <w:p>
      <w:pPr>
        <w:ind w:right="140"/>
        <w:spacing w:after="0" w:line="226" w:lineRule="auto"/>
        <w:rPr>
          <w:rFonts w:ascii="Times New Roman" w:cs="Times New Roman" w:eastAsia="Times New Roman" w:hAnsi="Times New Roman"/>
          <w:sz w:val="18"/>
          <w:szCs w:val="18"/>
          <w:u w:val="single" w:color="auto"/>
          <w:color w:val="0000FF"/>
        </w:rPr>
      </w:pPr>
      <w:hyperlink r:id="rId281">
        <w:r>
          <w:rPr>
            <w:rFonts w:ascii="Times New Roman" w:cs="Times New Roman" w:eastAsia="Times New Roman" w:hAnsi="Times New Roman"/>
            <w:sz w:val="18"/>
            <w:szCs w:val="18"/>
            <w:u w:val="single" w:color="auto"/>
            <w:color w:val="0000FF"/>
          </w:rPr>
          <w:t>Previously filed as Exhibit 10.3 to the Company’s Current Report</w:t>
        </w:r>
      </w:hyperlink>
      <w:r>
        <w:rPr>
          <w:rFonts w:ascii="Times New Roman" w:cs="Times New Roman" w:eastAsia="Times New Roman" w:hAnsi="Times New Roman"/>
          <w:sz w:val="18"/>
          <w:szCs w:val="18"/>
          <w:u w:val="single" w:color="auto"/>
          <w:color w:val="0000FF"/>
        </w:rPr>
        <w:t xml:space="preserve"> </w:t>
      </w:r>
      <w:hyperlink r:id="rId281">
        <w:r>
          <w:rPr>
            <w:rFonts w:ascii="Times New Roman" w:cs="Times New Roman" w:eastAsia="Times New Roman" w:hAnsi="Times New Roman"/>
            <w:sz w:val="18"/>
            <w:szCs w:val="18"/>
            <w:u w:val="single" w:color="auto"/>
            <w:color w:val="0000FF"/>
          </w:rPr>
          <w:t>on Form 8-K (File No. 1-36756) filed on February 12, 2020 and</w:t>
        </w:r>
      </w:hyperlink>
      <w:r>
        <w:rPr>
          <w:rFonts w:ascii="Times New Roman" w:cs="Times New Roman" w:eastAsia="Times New Roman" w:hAnsi="Times New Roman"/>
          <w:sz w:val="18"/>
          <w:szCs w:val="18"/>
          <w:u w:val="single" w:color="auto"/>
          <w:color w:val="0000FF"/>
        </w:rPr>
        <w:t xml:space="preserve"> </w:t>
      </w:r>
      <w:hyperlink r:id="rId281">
        <w:r>
          <w:rPr>
            <w:rFonts w:ascii="Times New Roman" w:cs="Times New Roman" w:eastAsia="Times New Roman" w:hAnsi="Times New Roman"/>
            <w:sz w:val="18"/>
            <w:szCs w:val="18"/>
            <w:u w:val="single" w:color="auto"/>
            <w:color w:val="0000FF"/>
          </w:rPr>
          <w:t>incorporated herein by reference.</w:t>
        </w:r>
      </w:hyperlink>
    </w:p>
    <w:p>
      <w:pPr>
        <w:spacing w:after="0" w:line="239" w:lineRule="exact"/>
        <w:rPr>
          <w:rFonts w:ascii="Times New Roman" w:cs="Times New Roman" w:eastAsia="Times New Roman" w:hAnsi="Times New Roman"/>
          <w:sz w:val="18"/>
          <w:szCs w:val="18"/>
          <w:u w:val="single" w:color="auto"/>
          <w:color w:val="0000FF"/>
        </w:rPr>
      </w:pPr>
    </w:p>
    <w:p>
      <w:pPr>
        <w:jc w:val="both"/>
        <w:ind w:right="120"/>
        <w:spacing w:after="0" w:line="226" w:lineRule="auto"/>
        <w:rPr>
          <w:rFonts w:ascii="Times New Roman" w:cs="Times New Roman" w:eastAsia="Times New Roman" w:hAnsi="Times New Roman"/>
          <w:sz w:val="18"/>
          <w:szCs w:val="18"/>
          <w:u w:val="single" w:color="auto"/>
          <w:color w:val="0000FF"/>
        </w:rPr>
      </w:pPr>
      <w:hyperlink r:id="rId282">
        <w:r>
          <w:rPr>
            <w:rFonts w:ascii="Times New Roman" w:cs="Times New Roman" w:eastAsia="Times New Roman" w:hAnsi="Times New Roman"/>
            <w:sz w:val="18"/>
            <w:szCs w:val="18"/>
            <w:u w:val="single" w:color="auto"/>
            <w:color w:val="0000FF"/>
          </w:rPr>
          <w:t>Previously filed as Exhibit 10.1 to Lamar Advertising’s Quarterly</w:t>
        </w:r>
      </w:hyperlink>
      <w:r>
        <w:rPr>
          <w:rFonts w:ascii="Times New Roman" w:cs="Times New Roman" w:eastAsia="Times New Roman" w:hAnsi="Times New Roman"/>
          <w:sz w:val="18"/>
          <w:szCs w:val="18"/>
          <w:u w:val="single" w:color="auto"/>
          <w:color w:val="0000FF"/>
        </w:rPr>
        <w:t xml:space="preserve"> </w:t>
      </w:r>
      <w:hyperlink r:id="rId282">
        <w:r>
          <w:rPr>
            <w:rFonts w:ascii="Times New Roman" w:cs="Times New Roman" w:eastAsia="Times New Roman" w:hAnsi="Times New Roman"/>
            <w:sz w:val="18"/>
            <w:szCs w:val="18"/>
            <w:u w:val="single" w:color="auto"/>
            <w:color w:val="0000FF"/>
          </w:rPr>
          <w:t>Report for the period ended March 31, 2022 filed on May 5, 2022</w:t>
        </w:r>
      </w:hyperlink>
      <w:r>
        <w:rPr>
          <w:rFonts w:ascii="Times New Roman" w:cs="Times New Roman" w:eastAsia="Times New Roman" w:hAnsi="Times New Roman"/>
          <w:sz w:val="18"/>
          <w:szCs w:val="18"/>
          <w:u w:val="single" w:color="auto"/>
          <w:color w:val="0000FF"/>
        </w:rPr>
        <w:t xml:space="preserve"> </w:t>
      </w:r>
      <w:hyperlink r:id="rId282">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68" w:lineRule="exact"/>
        <w:rPr>
          <w:rFonts w:ascii="Times New Roman" w:cs="Times New Roman" w:eastAsia="Times New Roman" w:hAnsi="Times New Roman"/>
          <w:sz w:val="18"/>
          <w:szCs w:val="18"/>
          <w:u w:val="single" w:color="auto"/>
          <w:color w:val="0000FF"/>
        </w:rPr>
      </w:pPr>
    </w:p>
    <w:p>
      <w:pPr>
        <w:jc w:val="both"/>
        <w:ind w:right="60"/>
        <w:spacing w:after="0" w:line="226" w:lineRule="auto"/>
        <w:rPr>
          <w:rFonts w:ascii="Times New Roman" w:cs="Times New Roman" w:eastAsia="Times New Roman" w:hAnsi="Times New Roman"/>
          <w:sz w:val="18"/>
          <w:szCs w:val="18"/>
          <w:u w:val="single" w:color="auto"/>
          <w:color w:val="0000FF"/>
        </w:rPr>
      </w:pPr>
      <w:hyperlink r:id="rId283">
        <w:r>
          <w:rPr>
            <w:rFonts w:ascii="Times New Roman" w:cs="Times New Roman" w:eastAsia="Times New Roman" w:hAnsi="Times New Roman"/>
            <w:sz w:val="18"/>
            <w:szCs w:val="18"/>
            <w:u w:val="single" w:color="auto"/>
            <w:color w:val="0000FF"/>
          </w:rPr>
          <w:t>Previously filed as Exhibit 10.1 to Lamar Advertising’s Quarterly</w:t>
        </w:r>
      </w:hyperlink>
      <w:r>
        <w:rPr>
          <w:rFonts w:ascii="Times New Roman" w:cs="Times New Roman" w:eastAsia="Times New Roman" w:hAnsi="Times New Roman"/>
          <w:sz w:val="18"/>
          <w:szCs w:val="18"/>
          <w:u w:val="single" w:color="auto"/>
          <w:color w:val="0000FF"/>
        </w:rPr>
        <w:t xml:space="preserve"> </w:t>
      </w:r>
      <w:hyperlink r:id="rId283">
        <w:r>
          <w:rPr>
            <w:rFonts w:ascii="Times New Roman" w:cs="Times New Roman" w:eastAsia="Times New Roman" w:hAnsi="Times New Roman"/>
            <w:sz w:val="18"/>
            <w:szCs w:val="18"/>
            <w:u w:val="single" w:color="auto"/>
            <w:color w:val="0000FF"/>
          </w:rPr>
          <w:t>Report for the period ended June 30, 2022 filed on August 3, 2022</w:t>
        </w:r>
      </w:hyperlink>
      <w:r>
        <w:rPr>
          <w:rFonts w:ascii="Times New Roman" w:cs="Times New Roman" w:eastAsia="Times New Roman" w:hAnsi="Times New Roman"/>
          <w:sz w:val="18"/>
          <w:szCs w:val="18"/>
          <w:u w:val="single" w:color="auto"/>
          <w:color w:val="0000FF"/>
        </w:rPr>
        <w:t xml:space="preserve"> </w:t>
      </w:r>
      <w:hyperlink r:id="rId283">
        <w:r>
          <w:rPr>
            <w:rFonts w:ascii="Times New Roman" w:cs="Times New Roman" w:eastAsia="Times New Roman" w:hAnsi="Times New Roman"/>
            <w:sz w:val="18"/>
            <w:szCs w:val="18"/>
            <w:u w:val="single" w:color="auto"/>
            <w:color w:val="0000FF"/>
          </w:rPr>
          <w:t>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4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8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84">
        <w:r>
          <w:rPr>
            <w:rFonts w:ascii="Times New Roman" w:cs="Times New Roman" w:eastAsia="Times New Roman" w:hAnsi="Times New Roman"/>
            <w:sz w:val="18"/>
            <w:szCs w:val="18"/>
            <w:u w:val="single" w:color="auto"/>
            <w:color w:val="0000FF"/>
          </w:rPr>
          <w:t>on Form 8-K (File No. 1-36756) filed on August 3, 2022 and</w:t>
        </w:r>
      </w:hyperlink>
      <w:r>
        <w:rPr>
          <w:rFonts w:ascii="Times New Roman" w:cs="Times New Roman" w:eastAsia="Times New Roman" w:hAnsi="Times New Roman"/>
          <w:sz w:val="18"/>
          <w:szCs w:val="18"/>
          <w:u w:val="single" w:color="auto"/>
          <w:color w:val="0000FF"/>
        </w:rPr>
        <w:t xml:space="preserve"> </w:t>
      </w:r>
      <w:hyperlink r:id="rId284">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85">
        <w:r>
          <w:rPr>
            <w:rFonts w:ascii="Times New Roman" w:cs="Times New Roman" w:eastAsia="Times New Roman" w:hAnsi="Times New Roman"/>
            <w:sz w:val="18"/>
            <w:szCs w:val="18"/>
            <w:u w:val="single" w:color="auto"/>
            <w:color w:val="0000FF"/>
          </w:rPr>
          <w:t>on Form 8-K (File No. 1-36756) filed on May 5, 2023 and</w:t>
        </w:r>
      </w:hyperlink>
      <w:r>
        <w:rPr>
          <w:rFonts w:ascii="Times New Roman" w:cs="Times New Roman" w:eastAsia="Times New Roman" w:hAnsi="Times New Roman"/>
          <w:sz w:val="18"/>
          <w:szCs w:val="18"/>
          <w:u w:val="single" w:color="auto"/>
          <w:color w:val="0000FF"/>
        </w:rPr>
        <w:t xml:space="preserve"> </w:t>
      </w:r>
      <w:hyperlink r:id="rId285">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86">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86">
        <w:r>
          <w:rPr>
            <w:rFonts w:ascii="Times New Roman" w:cs="Times New Roman" w:eastAsia="Times New Roman" w:hAnsi="Times New Roman"/>
            <w:sz w:val="18"/>
            <w:szCs w:val="18"/>
            <w:u w:val="single" w:color="auto"/>
            <w:color w:val="0000FF"/>
          </w:rPr>
          <w:t>on Form 8-K (File No. 1-36756) filed on August 2, 2023 and</w:t>
        </w:r>
      </w:hyperlink>
      <w:r>
        <w:rPr>
          <w:rFonts w:ascii="Times New Roman" w:cs="Times New Roman" w:eastAsia="Times New Roman" w:hAnsi="Times New Roman"/>
          <w:sz w:val="18"/>
          <w:szCs w:val="18"/>
          <w:u w:val="single" w:color="auto"/>
          <w:color w:val="0000FF"/>
        </w:rPr>
        <w:t xml:space="preserve"> </w:t>
      </w:r>
      <w:hyperlink r:id="rId286">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2">
            <w:col w:w="6200" w:space="140"/>
            <w:col w:w="4840"/>
          </w:cols>
          <w:pgMar w:left="320" w:top="121" w:right="3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10(f)(35)</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Joinder Agreement, dated as of May 14, 2024,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6, 2020 (as amended by that certain Amendment No. 1,</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dated as of July 2, 2021, and as further amended),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the subsidiary borrower party thereto,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party thereto, the lenders party thereto and Alabama</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Logos, 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10(f)(36)</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Joinder Agreement, dated as of December 6, 2024, to the Fourth</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as of dated as of</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6, 2020 (as amended by that certain Amendment No. 1,</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dated as of July 2, 2021, and as further amended), among Lamar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the subsidiary borrower party thereto, the subsidiary</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guarantors party thereto, the lenders party thereto and OBCM,</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0" w:type="dxa"/>
            <w:vAlign w:val="bottom"/>
          </w:tcPr>
          <w:p>
            <w:pPr>
              <w:spacing w:after="0"/>
              <w:rPr>
                <w:sz w:val="1"/>
                <w:szCs w:val="1"/>
                <w:color w:val="auto"/>
              </w:rPr>
            </w:pPr>
          </w:p>
        </w:tc>
      </w:tr>
      <w:tr>
        <w:trPr>
          <w:trHeight w:val="229"/>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10(g)(1)</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Limited Partnership Agreement Lamar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Limited Partnership, dated July 1, 2022.</w:t>
            </w:r>
          </w:p>
        </w:tc>
        <w:tc>
          <w:tcPr>
            <w:tcW w:w="0" w:type="dxa"/>
            <w:vAlign w:val="bottom"/>
          </w:tcPr>
          <w:p>
            <w:pPr>
              <w:spacing w:after="0"/>
              <w:rPr>
                <w:sz w:val="1"/>
                <w:szCs w:val="1"/>
                <w:color w:val="auto"/>
              </w:rPr>
            </w:pPr>
          </w:p>
        </w:tc>
      </w:tr>
      <w:tr>
        <w:trPr>
          <w:trHeight w:val="46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10(g)(2)*</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2022 LTIP Unit Award Agreement.</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10(g)(3)*</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2023 LTIP Unit Award Agreement.</w:t>
            </w:r>
          </w:p>
        </w:tc>
        <w:tc>
          <w:tcPr>
            <w:tcW w:w="0" w:type="dxa"/>
            <w:vAlign w:val="bottom"/>
          </w:tcPr>
          <w:p>
            <w:pPr>
              <w:spacing w:after="0"/>
              <w:rPr>
                <w:sz w:val="1"/>
                <w:szCs w:val="1"/>
                <w:color w:val="auto"/>
              </w:rPr>
            </w:pPr>
          </w:p>
        </w:tc>
      </w:tr>
      <w:tr>
        <w:trPr>
          <w:trHeight w:val="64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10(g)(4)*</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2024 LTIP Unit Award Agreement.</w:t>
            </w:r>
          </w:p>
        </w:tc>
        <w:tc>
          <w:tcPr>
            <w:tcW w:w="0" w:type="dxa"/>
            <w:vAlign w:val="bottom"/>
          </w:tcPr>
          <w:p>
            <w:pPr>
              <w:spacing w:after="0"/>
              <w:rPr>
                <w:sz w:val="1"/>
                <w:szCs w:val="1"/>
                <w:color w:val="auto"/>
              </w:rPr>
            </w:pPr>
          </w:p>
        </w:tc>
      </w:tr>
      <w:tr>
        <w:trPr>
          <w:trHeight w:val="594"/>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10(l)*</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Company and the</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directors and executive officers of the Company, dated as of</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18, 2014.</w:t>
            </w:r>
          </w:p>
        </w:tc>
        <w:tc>
          <w:tcPr>
            <w:tcW w:w="0" w:type="dxa"/>
            <w:vAlign w:val="bottom"/>
          </w:tcPr>
          <w:p>
            <w:pPr>
              <w:spacing w:after="0"/>
              <w:rPr>
                <w:sz w:val="1"/>
                <w:szCs w:val="1"/>
                <w:color w:val="auto"/>
              </w:rPr>
            </w:pPr>
          </w:p>
        </w:tc>
      </w:tr>
      <w:tr>
        <w:trPr>
          <w:trHeight w:val="2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Company Code of Business Conduct and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Ethics.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320" w:right="640" w:hanging="1294"/>
        <w:spacing w:after="0" w:line="237" w:lineRule="auto"/>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Lamar Advertising Policy on Securities Trading and Inside Information.</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21(a)</w:t>
            </w:r>
          </w:p>
        </w:tc>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28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22(a)</w:t>
            </w:r>
          </w:p>
        </w:tc>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Subsidiary guarantors of Lamar Media.</w:t>
            </w:r>
          </w:p>
        </w:tc>
      </w:tr>
      <w:tr>
        <w:trPr>
          <w:trHeight w:val="28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23(a)</w:t>
            </w:r>
          </w:p>
        </w:tc>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the Chief Executive Officer of the Company and</w:t>
            </w:r>
          </w:p>
        </w:tc>
      </w:tr>
      <w:tr>
        <w:trPr>
          <w:trHeight w:val="176"/>
        </w:trPr>
        <w:tc>
          <w:tcPr>
            <w:tcW w:w="840" w:type="dxa"/>
            <w:vAlign w:val="bottom"/>
          </w:tcPr>
          <w:p>
            <w:pPr>
              <w:spacing w:after="0"/>
              <w:rPr>
                <w:sz w:val="15"/>
                <w:szCs w:val="15"/>
                <w:color w:val="auto"/>
              </w:rPr>
            </w:pPr>
          </w:p>
        </w:tc>
        <w:tc>
          <w:tcPr>
            <w:tcW w:w="53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w w:val="99"/>
              </w:rPr>
              <w:t>Lamar Media pursuant to Securities Exchange Act Rules 13a-14(a)</w:t>
            </w:r>
          </w:p>
        </w:tc>
      </w:tr>
      <w:tr>
        <w:trPr>
          <w:trHeight w:val="184"/>
        </w:trPr>
        <w:tc>
          <w:tcPr>
            <w:tcW w:w="840" w:type="dxa"/>
            <w:vAlign w:val="bottom"/>
          </w:tcPr>
          <w:p>
            <w:pPr>
              <w:spacing w:after="0"/>
              <w:rPr>
                <w:sz w:val="16"/>
                <w:szCs w:val="16"/>
                <w:color w:val="auto"/>
              </w:rPr>
            </w:pPr>
          </w:p>
        </w:tc>
        <w:tc>
          <w:tcPr>
            <w:tcW w:w="530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and 15d-14(a) as adopted pursuant to Section 302 of the Sarbanes-</w:t>
            </w:r>
          </w:p>
        </w:tc>
      </w:tr>
      <w:tr>
        <w:trPr>
          <w:trHeight w:val="234"/>
        </w:trPr>
        <w:tc>
          <w:tcPr>
            <w:tcW w:w="840" w:type="dxa"/>
            <w:vAlign w:val="bottom"/>
          </w:tcPr>
          <w:p>
            <w:pPr>
              <w:spacing w:after="0"/>
              <w:rPr>
                <w:sz w:val="20"/>
                <w:szCs w:val="20"/>
                <w:color w:val="auto"/>
              </w:rPr>
            </w:pPr>
          </w:p>
        </w:tc>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24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Certification of the Chief Financial Officer of the Company and</w:t>
            </w:r>
          </w:p>
        </w:tc>
      </w:tr>
    </w:tbl>
    <w:p>
      <w:pPr>
        <w:ind w:left="1320"/>
        <w:spacing w:after="0" w:line="203" w:lineRule="auto"/>
        <w:rPr>
          <w:sz w:val="20"/>
          <w:szCs w:val="20"/>
          <w:color w:val="auto"/>
        </w:rPr>
      </w:pPr>
      <w:r>
        <w:rPr>
          <w:rFonts w:ascii="Times New Roman" w:cs="Times New Roman" w:eastAsia="Times New Roman" w:hAnsi="Times New Roman"/>
          <w:sz w:val="18"/>
          <w:szCs w:val="18"/>
          <w:color w:val="auto"/>
        </w:rPr>
        <w:t>Lamar Media pursuant to Securities Exchange Act Rules 13a-14(a)</w:t>
      </w:r>
    </w:p>
    <w:p>
      <w:pPr>
        <w:ind w:left="1320"/>
        <w:spacing w:after="0" w:line="219" w:lineRule="auto"/>
        <w:rPr>
          <w:sz w:val="20"/>
          <w:szCs w:val="20"/>
          <w:color w:val="auto"/>
        </w:rPr>
      </w:pPr>
      <w:r>
        <w:rPr>
          <w:rFonts w:ascii="Times New Roman" w:cs="Times New Roman" w:eastAsia="Times New Roman" w:hAnsi="Times New Roman"/>
          <w:sz w:val="18"/>
          <w:szCs w:val="18"/>
          <w:color w:val="auto"/>
        </w:rPr>
        <w:t>and 15d-14(a) as adopted pursuant to Section 302 of the Sarbanes-</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Oxley Act of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8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line="239" w:lineRule="auto"/>
        <w:rPr>
          <w:rFonts w:ascii="Times New Roman" w:cs="Times New Roman" w:eastAsia="Times New Roman" w:hAnsi="Times New Roman"/>
          <w:sz w:val="17"/>
          <w:szCs w:val="17"/>
          <w:u w:val="single" w:color="auto"/>
          <w:color w:val="0000FF"/>
        </w:rPr>
      </w:pPr>
      <w:hyperlink r:id="rId289">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89">
        <w:r>
          <w:rPr>
            <w:rFonts w:ascii="Times New Roman" w:cs="Times New Roman" w:eastAsia="Times New Roman" w:hAnsi="Times New Roman"/>
            <w:sz w:val="17"/>
            <w:szCs w:val="17"/>
            <w:u w:val="single" w:color="auto"/>
            <w:color w:val="0000FF"/>
          </w:rPr>
          <w:t>on Form 10-Q (File No. 1-36756) for the period ended June 30,</w:t>
        </w:r>
      </w:hyperlink>
      <w:r>
        <w:rPr>
          <w:rFonts w:ascii="Times New Roman" w:cs="Times New Roman" w:eastAsia="Times New Roman" w:hAnsi="Times New Roman"/>
          <w:sz w:val="17"/>
          <w:szCs w:val="17"/>
          <w:u w:val="single" w:color="auto"/>
          <w:color w:val="0000FF"/>
        </w:rPr>
        <w:t xml:space="preserve"> </w:t>
      </w:r>
      <w:hyperlink r:id="rId289">
        <w:r>
          <w:rPr>
            <w:rFonts w:ascii="Times New Roman" w:cs="Times New Roman" w:eastAsia="Times New Roman" w:hAnsi="Times New Roman"/>
            <w:sz w:val="17"/>
            <w:szCs w:val="17"/>
            <w:u w:val="single" w:color="auto"/>
            <w:color w:val="0000FF"/>
          </w:rPr>
          <w:t>2024 filed on August 8, 2024 and incorporated 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79"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357" w:lineRule="exact"/>
        <w:rPr>
          <w:rFonts w:ascii="Times New Roman" w:cs="Times New Roman" w:eastAsia="Times New Roman" w:hAnsi="Times New Roman"/>
          <w:sz w:val="17"/>
          <w:szCs w:val="17"/>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90">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on Form 8-K (File No. 1-36756) filed on July 7, 2022 and</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000FF"/>
          </w:rPr>
          <w:t>Previously filed as Exhibit 10.2 to the Company’s Current Report</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on Form 8-K (File No. 1-36756) filed on July 7, 2022 and</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292">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92">
        <w:r>
          <w:rPr>
            <w:rFonts w:ascii="Times New Roman" w:cs="Times New Roman" w:eastAsia="Times New Roman" w:hAnsi="Times New Roman"/>
            <w:sz w:val="18"/>
            <w:szCs w:val="18"/>
            <w:u w:val="single" w:color="auto"/>
            <w:color w:val="0000FF"/>
          </w:rPr>
          <w:t>on Form 8-K (File No. 1-36756) filed on March 2, 2023 and</w:t>
        </w:r>
      </w:hyperlink>
      <w:r>
        <w:rPr>
          <w:rFonts w:ascii="Times New Roman" w:cs="Times New Roman" w:eastAsia="Times New Roman" w:hAnsi="Times New Roman"/>
          <w:sz w:val="18"/>
          <w:szCs w:val="18"/>
          <w:u w:val="single" w:color="auto"/>
          <w:color w:val="0000FF"/>
        </w:rPr>
        <w:t xml:space="preserve"> </w:t>
      </w:r>
      <w:hyperlink r:id="rId292">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spacing w:after="0" w:line="239" w:lineRule="auto"/>
        <w:rPr>
          <w:rFonts w:ascii="Times New Roman" w:cs="Times New Roman" w:eastAsia="Times New Roman" w:hAnsi="Times New Roman"/>
          <w:sz w:val="17"/>
          <w:szCs w:val="17"/>
          <w:u w:val="single" w:color="auto"/>
          <w:color w:val="0000FF"/>
        </w:rPr>
      </w:pPr>
      <w:hyperlink r:id="rId293">
        <w:r>
          <w:rPr>
            <w:rFonts w:ascii="Times New Roman" w:cs="Times New Roman" w:eastAsia="Times New Roman" w:hAnsi="Times New Roman"/>
            <w:sz w:val="17"/>
            <w:szCs w:val="17"/>
            <w:u w:val="single" w:color="auto"/>
            <w:color w:val="0000FF"/>
          </w:rPr>
          <w:t>Previously filed as Exhibit 10.1 to the Company's Quarterly Report</w:t>
        </w:r>
      </w:hyperlink>
      <w:r>
        <w:rPr>
          <w:rFonts w:ascii="Times New Roman" w:cs="Times New Roman" w:eastAsia="Times New Roman" w:hAnsi="Times New Roman"/>
          <w:sz w:val="17"/>
          <w:szCs w:val="17"/>
          <w:u w:val="single" w:color="auto"/>
          <w:color w:val="0000FF"/>
        </w:rPr>
        <w:t xml:space="preserve"> </w:t>
      </w:r>
      <w:hyperlink r:id="rId293">
        <w:r>
          <w:rPr>
            <w:rFonts w:ascii="Times New Roman" w:cs="Times New Roman" w:eastAsia="Times New Roman" w:hAnsi="Times New Roman"/>
            <w:sz w:val="17"/>
            <w:szCs w:val="17"/>
            <w:u w:val="single" w:color="auto"/>
            <w:color w:val="0000FF"/>
          </w:rPr>
          <w:t>on Form 10-Q (File No. 1-36756) for the period ended March 31,</w:t>
        </w:r>
      </w:hyperlink>
      <w:r>
        <w:rPr>
          <w:rFonts w:ascii="Times New Roman" w:cs="Times New Roman" w:eastAsia="Times New Roman" w:hAnsi="Times New Roman"/>
          <w:sz w:val="17"/>
          <w:szCs w:val="17"/>
          <w:u w:val="single" w:color="auto"/>
          <w:color w:val="0000FF"/>
        </w:rPr>
        <w:t xml:space="preserve"> </w:t>
      </w:r>
      <w:hyperlink r:id="rId293">
        <w:r>
          <w:rPr>
            <w:rFonts w:ascii="Times New Roman" w:cs="Times New Roman" w:eastAsia="Times New Roman" w:hAnsi="Times New Roman"/>
            <w:sz w:val="17"/>
            <w:szCs w:val="17"/>
            <w:u w:val="single" w:color="auto"/>
            <w:color w:val="0000FF"/>
          </w:rPr>
          <w:t>2024 filed on May 2, 2024 and incorporated herein by reference.</w:t>
        </w:r>
      </w:hyperlink>
    </w:p>
    <w:p>
      <w:pPr>
        <w:spacing w:after="0" w:line="64" w:lineRule="exact"/>
        <w:rPr>
          <w:rFonts w:ascii="Times New Roman" w:cs="Times New Roman" w:eastAsia="Times New Roman" w:hAnsi="Times New Roman"/>
          <w:sz w:val="17"/>
          <w:szCs w:val="17"/>
          <w:u w:val="single" w:color="auto"/>
          <w:color w:val="0000FF"/>
        </w:rPr>
      </w:pPr>
    </w:p>
    <w:p>
      <w:pPr>
        <w:jc w:val="both"/>
        <w:ind w:right="120"/>
        <w:spacing w:after="0" w:line="226" w:lineRule="auto"/>
        <w:rPr>
          <w:rFonts w:ascii="Times New Roman" w:cs="Times New Roman" w:eastAsia="Times New Roman" w:hAnsi="Times New Roman"/>
          <w:sz w:val="18"/>
          <w:szCs w:val="18"/>
          <w:u w:val="single" w:color="auto"/>
          <w:color w:val="0000FF"/>
        </w:rPr>
      </w:pPr>
      <w:hyperlink r:id="rId294">
        <w:r>
          <w:rPr>
            <w:rFonts w:ascii="Times New Roman" w:cs="Times New Roman" w:eastAsia="Times New Roman" w:hAnsi="Times New Roman"/>
            <w:sz w:val="18"/>
            <w:szCs w:val="18"/>
            <w:u w:val="single" w:color="auto"/>
            <w:color w:val="0000FF"/>
          </w:rPr>
          <w:t>Previously filed as Exhibit 10.1 to the Company’s Current Report</w:t>
        </w:r>
      </w:hyperlink>
      <w:r>
        <w:rPr>
          <w:rFonts w:ascii="Times New Roman" w:cs="Times New Roman" w:eastAsia="Times New Roman" w:hAnsi="Times New Roman"/>
          <w:sz w:val="18"/>
          <w:szCs w:val="18"/>
          <w:u w:val="single" w:color="auto"/>
          <w:color w:val="0000FF"/>
        </w:rPr>
        <w:t xml:space="preserve"> </w:t>
      </w:r>
      <w:hyperlink r:id="rId294">
        <w:r>
          <w:rPr>
            <w:rFonts w:ascii="Times New Roman" w:cs="Times New Roman" w:eastAsia="Times New Roman" w:hAnsi="Times New Roman"/>
            <w:sz w:val="18"/>
            <w:szCs w:val="18"/>
            <w:u w:val="single" w:color="auto"/>
            <w:color w:val="0000FF"/>
          </w:rPr>
          <w:t>on Form 8-K (File No. 1-36756) filed on November 19, 2014 and</w:t>
        </w:r>
      </w:hyperlink>
      <w:r>
        <w:rPr>
          <w:rFonts w:ascii="Times New Roman" w:cs="Times New Roman" w:eastAsia="Times New Roman" w:hAnsi="Times New Roman"/>
          <w:sz w:val="18"/>
          <w:szCs w:val="18"/>
          <w:u w:val="single" w:color="auto"/>
          <w:color w:val="0000FF"/>
        </w:rPr>
        <w:t xml:space="preserve"> </w:t>
      </w:r>
      <w:hyperlink r:id="rId294">
        <w:r>
          <w:rPr>
            <w:rFonts w:ascii="Times New Roman" w:cs="Times New Roman" w:eastAsia="Times New Roman" w:hAnsi="Times New Roman"/>
            <w:sz w:val="18"/>
            <w:szCs w:val="18"/>
            <w:u w:val="single" w:color="auto"/>
            <w:color w:val="0000FF"/>
          </w:rPr>
          <w:t>incorporated herein by reference.</w:t>
        </w:r>
      </w:hyperlink>
    </w:p>
    <w:p>
      <w:pPr>
        <w:spacing w:after="0" w:line="63" w:lineRule="exact"/>
        <w:rPr>
          <w:rFonts w:ascii="Times New Roman" w:cs="Times New Roman" w:eastAsia="Times New Roman" w:hAnsi="Times New Roman"/>
          <w:sz w:val="18"/>
          <w:szCs w:val="18"/>
          <w:u w:val="single" w:color="auto"/>
          <w:color w:val="0000FF"/>
        </w:rPr>
      </w:pPr>
    </w:p>
    <w:p>
      <w:pPr>
        <w:jc w:val="both"/>
        <w:ind w:right="100"/>
        <w:spacing w:after="0" w:line="229" w:lineRule="auto"/>
        <w:rPr>
          <w:rFonts w:ascii="Times New Roman" w:cs="Times New Roman" w:eastAsia="Times New Roman" w:hAnsi="Times New Roman"/>
          <w:sz w:val="17"/>
          <w:szCs w:val="17"/>
          <w:u w:val="single" w:color="auto"/>
          <w:color w:val="0000FF"/>
        </w:rPr>
      </w:pPr>
      <w:hyperlink r:id="rId295">
        <w:r>
          <w:rPr>
            <w:rFonts w:ascii="Times New Roman" w:cs="Times New Roman" w:eastAsia="Times New Roman" w:hAnsi="Times New Roman"/>
            <w:sz w:val="17"/>
            <w:szCs w:val="17"/>
            <w:u w:val="single" w:color="auto"/>
            <w:color w:val="0000FF"/>
          </w:rPr>
          <w:t>Previously filed as Exhibit 14(a) to the Company's Annual Report</w:t>
        </w:r>
      </w:hyperlink>
      <w:r>
        <w:rPr>
          <w:rFonts w:ascii="Times New Roman" w:cs="Times New Roman" w:eastAsia="Times New Roman" w:hAnsi="Times New Roman"/>
          <w:sz w:val="17"/>
          <w:szCs w:val="17"/>
          <w:u w:val="single" w:color="auto"/>
          <w:color w:val="0000FF"/>
        </w:rPr>
        <w:t xml:space="preserve"> </w:t>
      </w:r>
      <w:hyperlink r:id="rId295">
        <w:r>
          <w:rPr>
            <w:rFonts w:ascii="Times New Roman" w:cs="Times New Roman" w:eastAsia="Times New Roman" w:hAnsi="Times New Roman"/>
            <w:sz w:val="17"/>
            <w:szCs w:val="17"/>
            <w:u w:val="single" w:color="auto"/>
            <w:color w:val="0000FF"/>
          </w:rPr>
          <w:t>on Form 10-K for the year ended December 31, 2022 (File No. 1-</w:t>
        </w:r>
      </w:hyperlink>
      <w:hyperlink r:id="rId295">
        <w:r>
          <w:rPr>
            <w:rFonts w:ascii="Times New Roman" w:cs="Times New Roman" w:eastAsia="Times New Roman" w:hAnsi="Times New Roman"/>
            <w:sz w:val="17"/>
            <w:szCs w:val="17"/>
            <w:u w:val="single" w:color="auto"/>
            <w:color w:val="0000FF"/>
          </w:rPr>
          <w:t>36756) filed on February 24, 2023 and incorporated herein by</w:t>
        </w:r>
      </w:hyperlink>
    </w:p>
    <w:p>
      <w:pPr>
        <w:spacing w:after="0"/>
        <w:rPr>
          <w:rFonts w:ascii="Times New Roman" w:cs="Times New Roman" w:eastAsia="Times New Roman" w:hAnsi="Times New Roman"/>
          <w:sz w:val="18"/>
          <w:szCs w:val="18"/>
          <w:u w:val="single" w:color="auto"/>
          <w:color w:val="0000FF"/>
        </w:rPr>
      </w:pPr>
      <w:hyperlink r:id="rId295">
        <w:r>
          <w:rPr>
            <w:rFonts w:ascii="Times New Roman" w:cs="Times New Roman" w:eastAsia="Times New Roman" w:hAnsi="Times New Roman"/>
            <w:sz w:val="18"/>
            <w:szCs w:val="18"/>
            <w:u w:val="single" w:color="auto"/>
            <w:color w:val="0000FF"/>
          </w:rPr>
          <w:t>reference.</w:t>
        </w:r>
      </w:hyperlink>
    </w:p>
    <w:p>
      <w:pPr>
        <w:spacing w:after="0" w:line="5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66"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7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7"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ectPr>
          <w:pgSz w:w="11900" w:h="16838" w:orient="portrait"/>
          <w:cols w:equalWidth="0" w:num="2">
            <w:col w:w="6200" w:space="140"/>
            <w:col w:w="4840"/>
          </w:cols>
          <w:pgMar w:left="320" w:top="121" w:right="3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0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32(a)</w:t>
            </w:r>
          </w:p>
        </w:tc>
        <w:tc>
          <w:tcPr>
            <w:tcW w:w="100" w:type="dxa"/>
            <w:vAlign w:val="bottom"/>
          </w:tcPr>
          <w:p>
            <w:pPr>
              <w:spacing w:after="0"/>
              <w:rPr>
                <w:sz w:val="15"/>
                <w:szCs w:val="15"/>
                <w:color w:val="auto"/>
              </w:rPr>
            </w:pPr>
          </w:p>
        </w:tc>
        <w:tc>
          <w:tcPr>
            <w:tcW w:w="490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292"/>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Recovery Policy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1320" w:right="20" w:hanging="1294"/>
        <w:spacing w:after="0" w:line="212" w:lineRule="auto"/>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combined Annual Report of the Company and Lamar Media Corp. on Form 10-K for the year ended December 31, 2024, formatted in Inline XBRL (eXtensible Business Reporting Language): (i) Consolidated Balance Sheets as of December 31, 2024 and 2023 of the Company and Lamar Media, (ii) Consolidated Statements of Income and Comprehensive Income for the years ended December 31, 2024, 2023 and 2022 of the Company and Lamar Media, (iii) Consolidated Statements of Stockholders’ Equity for the years ended December 31, 2024, 2023 and 2022 of the Company and Lamar Media, (iv) Consolidated Statements of Cash Flows for the years ended December 31, 2024, 2023 and 2022 of the Company and Lamar Media, and (v) Notes to Consolidated Financial Statements of the Company and Lamar Media.</w:t>
      </w:r>
    </w:p>
    <w:p>
      <w:pPr>
        <w:spacing w:after="0" w:line="73" w:lineRule="exact"/>
        <w:rPr>
          <w:sz w:val="20"/>
          <w:szCs w:val="20"/>
          <w:color w:val="auto"/>
        </w:rPr>
      </w:pPr>
    </w:p>
    <w:p>
      <w:pPr>
        <w:ind w:left="1320" w:right="220" w:hanging="1294"/>
        <w:spacing w:after="0" w:line="237" w:lineRule="auto"/>
        <w:tabs>
          <w:tab w:leader="none" w:pos="1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3111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9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66" w:lineRule="exact"/>
        <w:rPr>
          <w:sz w:val="20"/>
          <w:szCs w:val="20"/>
          <w:color w:val="auto"/>
        </w:rPr>
      </w:pPr>
    </w:p>
    <w:p>
      <w:pPr>
        <w:spacing w:after="0" w:line="216" w:lineRule="auto"/>
        <w:rPr>
          <w:rFonts w:ascii="Times New Roman" w:cs="Times New Roman" w:eastAsia="Times New Roman" w:hAnsi="Times New Roman"/>
          <w:sz w:val="18"/>
          <w:szCs w:val="18"/>
          <w:u w:val="single" w:color="auto"/>
          <w:color w:val="0000FF"/>
        </w:rPr>
      </w:pPr>
      <w:hyperlink r:id="rId297">
        <w:r>
          <w:rPr>
            <w:rFonts w:ascii="Times New Roman" w:cs="Times New Roman" w:eastAsia="Times New Roman" w:hAnsi="Times New Roman"/>
            <w:sz w:val="18"/>
            <w:szCs w:val="18"/>
            <w:u w:val="single" w:color="auto"/>
            <w:color w:val="0000FF"/>
          </w:rPr>
          <w:t>Previously filed as Exhibit 97 to the Company's Annual Report on</w:t>
        </w:r>
      </w:hyperlink>
      <w:r>
        <w:rPr>
          <w:rFonts w:ascii="Times New Roman" w:cs="Times New Roman" w:eastAsia="Times New Roman" w:hAnsi="Times New Roman"/>
          <w:sz w:val="18"/>
          <w:szCs w:val="18"/>
          <w:u w:val="single" w:color="auto"/>
          <w:color w:val="0000FF"/>
        </w:rPr>
        <w:t xml:space="preserve"> </w:t>
      </w:r>
      <w:hyperlink r:id="rId297">
        <w:r>
          <w:rPr>
            <w:rFonts w:ascii="Times New Roman" w:cs="Times New Roman" w:eastAsia="Times New Roman" w:hAnsi="Times New Roman"/>
            <w:sz w:val="18"/>
            <w:szCs w:val="18"/>
            <w:u w:val="single" w:color="auto"/>
            <w:color w:val="0000FF"/>
          </w:rPr>
          <w:t>Form 10-K for the year ended December 31, 2023 (File No. 1-</w:t>
        </w:r>
      </w:hyperlink>
      <w:hyperlink r:id="rId297">
        <w:r>
          <w:rPr>
            <w:rFonts w:ascii="Times New Roman" w:cs="Times New Roman" w:eastAsia="Times New Roman" w:hAnsi="Times New Roman"/>
            <w:sz w:val="18"/>
            <w:szCs w:val="18"/>
            <w:u w:val="single" w:color="auto"/>
            <w:color w:val="0000FF"/>
          </w:rPr>
          <w:t>36756) filed on February 23, 2024 and incorporated herein by</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97">
        <w:r>
          <w:rPr>
            <w:rFonts w:ascii="Times New Roman" w:cs="Times New Roman" w:eastAsia="Times New Roman" w:hAnsi="Times New Roman"/>
            <w:sz w:val="18"/>
            <w:szCs w:val="18"/>
            <w:u w:val="single" w:color="auto"/>
            <w:color w:val="0000FF"/>
          </w:rPr>
          <w:t>reference.</w:t>
        </w:r>
      </w:hyperlink>
    </w:p>
    <w:p>
      <w:pPr>
        <w:spacing w:after="0" w:line="328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140"/>
            <w:col w:w="4760"/>
          </w:cols>
          <w:pgMar w:left="320" w:top="121" w:right="479" w:bottom="1440" w:gutter="0" w:footer="0" w:header="0"/>
          <w:type w:val="continuous"/>
        </w:sectPr>
      </w:pPr>
    </w:p>
    <w:p>
      <w:pPr>
        <w:ind w:left="5480" w:right="720" w:hanging="5472"/>
        <w:spacing w:after="0" w:line="923"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 in which the executive officers or directors of the Company participate. 120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792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LAMAR ADVERTISING COMPANY</w:t>
            </w:r>
          </w:p>
        </w:tc>
      </w:tr>
      <w:tr>
        <w:trPr>
          <w:trHeight w:val="49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2025</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4"/>
        </w:trPr>
        <w:tc>
          <w:tcPr>
            <w:tcW w:w="3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79"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30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c>
          <w:tcPr>
            <w:tcW w:w="100" w:type="dxa"/>
            <w:vAlign w:val="bottom"/>
          </w:tcPr>
          <w:p>
            <w:pPr>
              <w:spacing w:after="0"/>
              <w:rPr>
                <w:sz w:val="22"/>
                <w:szCs w:val="22"/>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P. Reilly, Jr.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Reilly, Jr.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Wendell S.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Wendell S.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P. Mumblow</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Mumblow</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Marshall A. Loeb</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Marshall A. Loeb</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Reifenheiser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Reifenheiser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Anna Reilly</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Anna Reilly</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E. Koerner, III</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E. Koerner, III</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Thompson</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Thompson</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9"/>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Nancy Fletcher</w:t>
            </w:r>
          </w:p>
        </w:tc>
        <w:tc>
          <w:tcPr>
            <w:tcW w:w="100" w:type="dxa"/>
            <w:vAlign w:val="bottom"/>
          </w:tcPr>
          <w:p>
            <w:pPr>
              <w:spacing w:after="0"/>
              <w:rPr>
                <w:sz w:val="24"/>
                <w:szCs w:val="24"/>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w w:val="98"/>
              </w:rPr>
              <w:t>2/20/25</w:t>
            </w:r>
          </w:p>
        </w:tc>
      </w:tr>
      <w:tr>
        <w:trPr>
          <w:trHeight w:val="228"/>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Fletcher</w:t>
            </w:r>
          </w:p>
        </w:tc>
        <w:tc>
          <w:tcPr>
            <w:tcW w:w="10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LAMAR MEDIA CORP.</w:t>
            </w:r>
          </w:p>
        </w:tc>
      </w:tr>
      <w:tr>
        <w:trPr>
          <w:trHeight w:val="44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2025</w:t>
            </w:r>
          </w:p>
        </w:tc>
        <w:tc>
          <w:tcPr>
            <w:tcW w:w="28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3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4"/>
        </w:trPr>
        <w:tc>
          <w:tcPr>
            <w:tcW w:w="3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9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1240"/>
        <w:spacing w:after="0"/>
        <w:tabs>
          <w:tab w:leader="none" w:pos="61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151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0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Kevin P. Reilly,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373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0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P. Reilly, Jr.</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373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0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E. Reilly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9373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0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Jay L. Johnson</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Lee Kantrow,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373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0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Lee Kantrow, Jr.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w:t>
            </w:r>
          </w:p>
        </w:tc>
      </w:tr>
      <w:tr>
        <w:trPr>
          <w:trHeight w:val="7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w:t>
            </w:r>
          </w:p>
        </w:tc>
      </w:tr>
    </w:tbl>
    <w:p>
      <w:pPr>
        <w:spacing w:after="0" w:line="200" w:lineRule="exact"/>
        <w:rPr>
          <w:sz w:val="20"/>
          <w:szCs w:val="20"/>
          <w:color w:val="auto"/>
        </w:rPr>
      </w:pPr>
    </w:p>
    <w:p>
      <w:pPr>
        <w:spacing w:after="0" w:line="243"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2/20/25</w:t>
      </w:r>
    </w:p>
    <w:p>
      <w:pPr>
        <w:spacing w:after="0" w:line="219" w:lineRule="auto"/>
        <w:rPr>
          <w:sz w:val="20"/>
          <w:szCs w:val="20"/>
          <w:color w:val="auto"/>
        </w:rPr>
      </w:pPr>
      <w:r>
        <w:rPr>
          <w:rFonts w:ascii="Times New Roman" w:cs="Times New Roman" w:eastAsia="Times New Roman" w:hAnsi="Times New Roman"/>
          <w:sz w:val="18"/>
          <w:szCs w:val="18"/>
          <w:color w:val="auto"/>
        </w:rPr>
        <w:t>Chief Financial and Accounting Officer and Director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of Mergers and Acquisitions and Director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w:t>
            </w:r>
          </w:p>
        </w:tc>
      </w:tr>
    </w:tbl>
    <w:p>
      <w:pPr>
        <w:spacing w:after="0" w:line="415"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20"/>
          </w:cols>
          <w:pgMar w:left="320" w:top="121" w:right="359" w:bottom="1440" w:gutter="0" w:footer="0" w:header="0"/>
          <w:type w:val="continuous"/>
        </w:sectPr>
      </w:pPr>
    </w:p>
    <w:bookmarkStart w:id="123" w:name="page124"/>
    <w:bookmarkEnd w:id="123"/>
    <w:p>
      <w:pPr>
        <w:ind w:left="10060"/>
        <w:spacing w:after="0"/>
        <w:rPr>
          <w:sz w:val="20"/>
          <w:szCs w:val="20"/>
          <w:color w:val="auto"/>
        </w:rPr>
      </w:pPr>
      <w:r>
        <w:rPr>
          <w:rFonts w:ascii="Times New Roman" w:cs="Times New Roman" w:eastAsia="Times New Roman" w:hAnsi="Times New Roman"/>
          <w:sz w:val="19"/>
          <w:szCs w:val="19"/>
          <w:color w:val="auto"/>
        </w:rPr>
        <w:t>Exhibit 4(e)(8)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December 6,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OBCM,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3.750% Senior Notes due 2028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67"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w:t>
      </w:r>
    </w:p>
    <w:p>
      <w:pPr>
        <w:sectPr>
          <w:pgSz w:w="11900" w:h="16838" w:orient="portrait"/>
          <w:cols w:equalWidth="0" w:num="1">
            <w:col w:w="11240"/>
          </w:cols>
          <w:pgMar w:left="320" w:top="118" w:right="339" w:bottom="1440" w:gutter="0" w:footer="0" w:header="0"/>
        </w:sectPr>
      </w:pPr>
    </w:p>
    <w:bookmarkStart w:id="124" w:name="page125"/>
    <w:bookmarkEnd w:id="124"/>
    <w:p>
      <w:pPr>
        <w:spacing w:after="0" w:line="271" w:lineRule="auto"/>
        <w:rPr>
          <w:sz w:val="20"/>
          <w:szCs w:val="20"/>
          <w:color w:val="auto"/>
        </w:rPr>
      </w:pPr>
      <w:r>
        <w:rPr>
          <w:rFonts w:ascii="Times New Roman" w:cs="Times New Roman" w:eastAsia="Times New Roman" w:hAnsi="Times New Roman"/>
          <w:sz w:val="22"/>
          <w:szCs w:val="22"/>
          <w:color w:val="auto"/>
        </w:rPr>
        <w:t>other provisions in the Indenture and the Notes, to the extent not inconsistent with the terms and provisions of this Supplemental Indenture, shall remain in full force and effect.</w:t>
      </w:r>
    </w:p>
    <w:p>
      <w:pPr>
        <w:spacing w:after="0" w:line="158" w:lineRule="exact"/>
        <w:rPr>
          <w:sz w:val="20"/>
          <w:szCs w:val="20"/>
          <w:color w:val="auto"/>
        </w:rPr>
      </w:pPr>
    </w:p>
    <w:p>
      <w:pPr>
        <w:ind w:firstLine="656"/>
        <w:spacing w:after="0" w:line="284"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25" w:name="page126"/>
    <w:bookmarkEnd w:id="125"/>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3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3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OBCM, LLC</w:t>
      </w:r>
    </w:p>
    <w:p>
      <w:pPr>
        <w:spacing w:after="0" w:line="200" w:lineRule="exact"/>
        <w:rPr>
          <w:sz w:val="20"/>
          <w:szCs w:val="20"/>
          <w:color w:val="auto"/>
        </w:rPr>
      </w:pPr>
    </w:p>
    <w:p>
      <w:pPr>
        <w:spacing w:after="0" w:line="34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201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0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 Chief Financial Officer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422" w:right="339" w:bottom="1440" w:gutter="0" w:footer="0" w:header="0"/>
        </w:sectPr>
      </w:pPr>
    </w:p>
    <w:bookmarkStart w:id="126" w:name="page127"/>
    <w:bookmarkEnd w:id="126"/>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0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420" w:hanging="647"/>
        <w:spacing w:after="0" w:line="259" w:lineRule="auto"/>
        <w:tabs>
          <w:tab w:leader="none" w:pos="3400" w:val="left"/>
        </w:tabs>
        <w:rPr>
          <w:sz w:val="20"/>
          <w:szCs w:val="20"/>
          <w:color w:val="auto"/>
        </w:rPr>
      </w:pPr>
      <w:r>
        <w:rPr>
          <w:rFonts w:ascii="Times New Roman" w:cs="Times New Roman" w:eastAsia="Times New Roman" w:hAnsi="Times New Roman"/>
          <w:sz w:val="22"/>
          <w:szCs w:val="22"/>
          <w:color w:val="auto"/>
        </w:rPr>
        <w:t>Name:</w:t>
        <w:tab/>
        <w:t>Jay L. Johnson,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640"/>
          </w:cols>
          <w:pgMar w:left="1440" w:top="1418" w:right="819" w:bottom="1440" w:gutter="0" w:footer="0" w:header="0"/>
        </w:sectPr>
      </w:pPr>
    </w:p>
    <w:bookmarkStart w:id="127" w:name="page128"/>
    <w:bookmarkEnd w:id="127"/>
    <w:p>
      <w:pPr>
        <w:ind w:left="2780"/>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0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28" w:name="page129"/>
    <w:bookmarkEnd w:id="128"/>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AIRPORT ADVERTISING COMPANY</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0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09">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1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1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12">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Ashby Street Outdoor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1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14">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31" w:name="page132"/>
    <w:bookmarkEnd w:id="131"/>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1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32" w:name="page133"/>
    <w:bookmarkEnd w:id="132"/>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1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17">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33" w:name="page134"/>
    <w:bookmarkEnd w:id="133"/>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1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1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34" w:name="page135"/>
    <w:bookmarkEnd w:id="134"/>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2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2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35" w:name="page136"/>
    <w:bookmarkEnd w:id="135"/>
    <w:p>
      <w:pPr>
        <w:spacing w:after="0" w:line="3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22">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23">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36" w:name="page137"/>
    <w:bookmarkEnd w:id="136"/>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Class A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24">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25">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37" w:name="page138"/>
    <w:bookmarkEnd w:id="137"/>
    <w:p>
      <w:pPr>
        <w:ind w:left="278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2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2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38" w:name="page139"/>
    <w:bookmarkEnd w:id="138"/>
    <w:p>
      <w:pPr>
        <w:ind w:left="278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2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39" w:name="page140"/>
    <w:bookmarkEnd w:id="139"/>
    <w:p>
      <w:pPr>
        <w:ind w:left="278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3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7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3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200" w:lineRule="exact"/>
        <w:rPr>
          <w:sz w:val="20"/>
          <w:szCs w:val="20"/>
          <w:color w:val="auto"/>
        </w:rPr>
      </w:pPr>
    </w:p>
    <w:p>
      <w:pPr>
        <w:spacing w:after="0" w:line="3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40" w:name="page141"/>
    <w:bookmarkEnd w:id="140"/>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32">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3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41" w:name="page142"/>
    <w:bookmarkEnd w:id="141"/>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332" w:lineRule="exact"/>
        <w:rPr>
          <w:sz w:val="20"/>
          <w:szCs w:val="20"/>
          <w:color w:val="auto"/>
        </w:rPr>
      </w:pPr>
    </w:p>
    <w:p>
      <w:pPr>
        <w:ind w:left="2940" w:hanging="161"/>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9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Wallace L.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417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34">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Wallace L. Duke, Jr.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42" w:name="page143"/>
    <w:bookmarkEnd w:id="142"/>
    <w:p>
      <w:pPr>
        <w:ind w:left="10080"/>
        <w:spacing w:after="0"/>
        <w:rPr>
          <w:sz w:val="20"/>
          <w:szCs w:val="20"/>
          <w:color w:val="auto"/>
        </w:rPr>
      </w:pPr>
      <w:r>
        <w:rPr>
          <w:rFonts w:ascii="Times New Roman" w:cs="Times New Roman" w:eastAsia="Times New Roman" w:hAnsi="Times New Roman"/>
          <w:sz w:val="19"/>
          <w:szCs w:val="19"/>
          <w:color w:val="auto"/>
        </w:rPr>
        <w:t>Exhibit 4(f)(8)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FEBRUARY 6, 2020</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December 6,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OBCM,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February 6,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4.000% Senior Notes due 2030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67"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w:t>
      </w:r>
    </w:p>
    <w:p>
      <w:pPr>
        <w:sectPr>
          <w:pgSz w:w="11900" w:h="16838" w:orient="portrait"/>
          <w:cols w:equalWidth="0" w:num="1">
            <w:col w:w="11240"/>
          </w:cols>
          <w:pgMar w:left="320" w:top="118" w:right="339" w:bottom="1440" w:gutter="0" w:footer="0" w:header="0"/>
        </w:sectPr>
      </w:pPr>
    </w:p>
    <w:bookmarkStart w:id="143" w:name="page144"/>
    <w:bookmarkEnd w:id="143"/>
    <w:p>
      <w:pPr>
        <w:spacing w:after="0" w:line="271" w:lineRule="auto"/>
        <w:rPr>
          <w:sz w:val="20"/>
          <w:szCs w:val="20"/>
          <w:color w:val="auto"/>
        </w:rPr>
      </w:pPr>
      <w:r>
        <w:rPr>
          <w:rFonts w:ascii="Times New Roman" w:cs="Times New Roman" w:eastAsia="Times New Roman" w:hAnsi="Times New Roman"/>
          <w:sz w:val="22"/>
          <w:szCs w:val="22"/>
          <w:color w:val="auto"/>
        </w:rPr>
        <w:t>other provisions in the Indenture and the Notes, to the extent not inconsistent with the terms and provisions of this Supplemental Indenture, shall remain in full force and effect.</w:t>
      </w:r>
    </w:p>
    <w:p>
      <w:pPr>
        <w:spacing w:after="0" w:line="158" w:lineRule="exact"/>
        <w:rPr>
          <w:sz w:val="20"/>
          <w:szCs w:val="20"/>
          <w:color w:val="auto"/>
        </w:rPr>
      </w:pPr>
    </w:p>
    <w:p>
      <w:pPr>
        <w:ind w:firstLine="656"/>
        <w:spacing w:after="0" w:line="284"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1" w:right="339" w:bottom="1440" w:gutter="0" w:footer="0" w:header="0"/>
        </w:sectPr>
      </w:pPr>
    </w:p>
    <w:bookmarkStart w:id="144" w:name="page145"/>
    <w:bookmarkEnd w:id="14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3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3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OBCM, LLC</w:t>
      </w:r>
    </w:p>
    <w:p>
      <w:pPr>
        <w:spacing w:after="0" w:line="200" w:lineRule="exact"/>
        <w:rPr>
          <w:sz w:val="20"/>
          <w:szCs w:val="20"/>
          <w:color w:val="auto"/>
        </w:rPr>
      </w:pPr>
    </w:p>
    <w:p>
      <w:pPr>
        <w:spacing w:after="0" w:line="34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201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35">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 Chief Financial Officer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421" w:right="339" w:bottom="1440" w:gutter="0" w:footer="0" w:header="0"/>
        </w:sectPr>
      </w:pPr>
    </w:p>
    <w:bookmarkStart w:id="145" w:name="page146"/>
    <w:bookmarkEnd w:id="145"/>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3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420" w:hanging="647"/>
        <w:spacing w:after="0" w:line="259" w:lineRule="auto"/>
        <w:tabs>
          <w:tab w:leader="none" w:pos="3400" w:val="left"/>
        </w:tabs>
        <w:rPr>
          <w:sz w:val="20"/>
          <w:szCs w:val="20"/>
          <w:color w:val="auto"/>
        </w:rPr>
      </w:pPr>
      <w:r>
        <w:rPr>
          <w:rFonts w:ascii="Times New Roman" w:cs="Times New Roman" w:eastAsia="Times New Roman" w:hAnsi="Times New Roman"/>
          <w:sz w:val="22"/>
          <w:szCs w:val="22"/>
          <w:color w:val="auto"/>
        </w:rPr>
        <w:t>Name:</w:t>
        <w:tab/>
        <w:t>Jay L. Johnson,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640"/>
          </w:cols>
          <w:pgMar w:left="1440" w:top="1417" w:right="819" w:bottom="1440" w:gutter="0" w:footer="0" w:header="0"/>
        </w:sectPr>
      </w:pPr>
    </w:p>
    <w:bookmarkStart w:id="146" w:name="page147"/>
    <w:bookmarkEnd w:id="146"/>
    <w:p>
      <w:pPr>
        <w:ind w:left="2780"/>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7">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7" w:right="1440" w:bottom="1440" w:gutter="0" w:footer="0" w:header="0"/>
        </w:sectPr>
      </w:pPr>
    </w:p>
    <w:bookmarkStart w:id="147" w:name="page148"/>
    <w:bookmarkEnd w:id="147"/>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AIRPORT ADVERTISING COMPANY</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3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3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4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4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42">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Ashby Street Outdoor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43">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44">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50" w:name="page151"/>
    <w:bookmarkEnd w:id="150"/>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4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51" w:name="page152"/>
    <w:bookmarkEnd w:id="151"/>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4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4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1" w:right="979" w:bottom="1440" w:gutter="0" w:footer="0" w:header="0"/>
        </w:sectPr>
      </w:pPr>
    </w:p>
    <w:bookmarkStart w:id="152" w:name="page153"/>
    <w:bookmarkEnd w:id="152"/>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4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4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53" w:name="page154"/>
    <w:bookmarkEnd w:id="153"/>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5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5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54" w:name="page155"/>
    <w:bookmarkEnd w:id="154"/>
    <w:p>
      <w:pPr>
        <w:spacing w:after="0" w:line="3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5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53">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55" w:name="page156"/>
    <w:bookmarkEnd w:id="155"/>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Class A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54">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55">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56" w:name="page157"/>
    <w:bookmarkEnd w:id="156"/>
    <w:p>
      <w:pPr>
        <w:ind w:left="278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5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5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57" w:name="page158"/>
    <w:bookmarkEnd w:id="157"/>
    <w:p>
      <w:pPr>
        <w:ind w:left="278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58">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59">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58" w:name="page159"/>
    <w:bookmarkEnd w:id="158"/>
    <w:p>
      <w:pPr>
        <w:ind w:left="278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6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7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6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200" w:lineRule="exact"/>
        <w:rPr>
          <w:sz w:val="20"/>
          <w:szCs w:val="20"/>
          <w:color w:val="auto"/>
        </w:rPr>
      </w:pPr>
    </w:p>
    <w:p>
      <w:pPr>
        <w:spacing w:after="0" w:line="3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59" w:name="page160"/>
    <w:bookmarkEnd w:id="159"/>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6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6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60" w:name="page161"/>
    <w:bookmarkEnd w:id="160"/>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332" w:lineRule="exact"/>
        <w:rPr>
          <w:sz w:val="20"/>
          <w:szCs w:val="20"/>
          <w:color w:val="auto"/>
        </w:rPr>
      </w:pPr>
    </w:p>
    <w:p>
      <w:pPr>
        <w:ind w:left="2940" w:hanging="161"/>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9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Wallace L.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417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64">
                      <a:extLst>
                        <a:ext uri="{28A0092B-C50C-407E-A947-70E740481C1C}"/>
                      </a:extLst>
                    </a:blip>
                    <a:srcRect/>
                    <a:stretch>
                      <a:fillRect/>
                    </a:stretch>
                  </pic:blipFill>
                  <pic:spPr bwMode="auto">
                    <a:xfrm>
                      <a:off x="0" y="0"/>
                      <a:ext cx="141732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Wallace L. Duke, Jr.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color w:val="auto"/>
        </w:rPr>
        <w:t>Exhibit 4(g)(8)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MAY 13, 2020</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December 6,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OBCM,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May 13, 2020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4.875% Senior Notes due 2029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67"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w:t>
      </w:r>
    </w:p>
    <w:p>
      <w:pPr>
        <w:sectPr>
          <w:pgSz w:w="11900" w:h="16838" w:orient="portrait"/>
          <w:cols w:equalWidth="0" w:num="1">
            <w:col w:w="11240"/>
          </w:cols>
          <w:pgMar w:left="320" w:top="118" w:right="339" w:bottom="1440" w:gutter="0" w:footer="0" w:header="0"/>
        </w:sectPr>
      </w:pPr>
    </w:p>
    <w:bookmarkStart w:id="162" w:name="page163"/>
    <w:bookmarkEnd w:id="162"/>
    <w:p>
      <w:pPr>
        <w:spacing w:after="0" w:line="271" w:lineRule="auto"/>
        <w:rPr>
          <w:sz w:val="20"/>
          <w:szCs w:val="20"/>
          <w:color w:val="auto"/>
        </w:rPr>
      </w:pPr>
      <w:r>
        <w:rPr>
          <w:rFonts w:ascii="Times New Roman" w:cs="Times New Roman" w:eastAsia="Times New Roman" w:hAnsi="Times New Roman"/>
          <w:sz w:val="22"/>
          <w:szCs w:val="22"/>
          <w:color w:val="auto"/>
        </w:rPr>
        <w:t>other provisions in the Indenture and the Notes, to the extent not inconsistent with the terms and provisions of this Supplemental Indenture, shall remain in full force and effect.</w:t>
      </w:r>
    </w:p>
    <w:p>
      <w:pPr>
        <w:spacing w:after="0" w:line="158" w:lineRule="exact"/>
        <w:rPr>
          <w:sz w:val="20"/>
          <w:szCs w:val="20"/>
          <w:color w:val="auto"/>
        </w:rPr>
      </w:pPr>
    </w:p>
    <w:p>
      <w:pPr>
        <w:ind w:firstLine="656"/>
        <w:spacing w:after="0" w:line="284"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63" w:name="page164"/>
    <w:bookmarkEnd w:id="16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3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3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OBCM, LLC</w:t>
      </w:r>
    </w:p>
    <w:p>
      <w:pPr>
        <w:spacing w:after="0" w:line="200" w:lineRule="exact"/>
        <w:rPr>
          <w:sz w:val="20"/>
          <w:szCs w:val="20"/>
          <w:color w:val="auto"/>
        </w:rPr>
      </w:pPr>
    </w:p>
    <w:p>
      <w:pPr>
        <w:spacing w:after="0" w:line="34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201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6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 Chief Financial Officer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422" w:right="339" w:bottom="1440" w:gutter="0" w:footer="0" w:header="0"/>
        </w:sectPr>
      </w:pPr>
    </w:p>
    <w:bookmarkStart w:id="164" w:name="page165"/>
    <w:bookmarkEnd w:id="164"/>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6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420" w:hanging="647"/>
        <w:spacing w:after="0" w:line="259" w:lineRule="auto"/>
        <w:tabs>
          <w:tab w:leader="none" w:pos="3400" w:val="left"/>
        </w:tabs>
        <w:rPr>
          <w:sz w:val="20"/>
          <w:szCs w:val="20"/>
          <w:color w:val="auto"/>
        </w:rPr>
      </w:pPr>
      <w:r>
        <w:rPr>
          <w:rFonts w:ascii="Times New Roman" w:cs="Times New Roman" w:eastAsia="Times New Roman" w:hAnsi="Times New Roman"/>
          <w:sz w:val="22"/>
          <w:szCs w:val="22"/>
          <w:color w:val="auto"/>
        </w:rPr>
        <w:t>Name:</w:t>
        <w:tab/>
        <w:t>Jay L. Johnson,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640"/>
          </w:cols>
          <w:pgMar w:left="1440" w:top="1418" w:right="819" w:bottom="1440" w:gutter="0" w:footer="0" w:header="0"/>
        </w:sectPr>
      </w:pPr>
    </w:p>
    <w:bookmarkStart w:id="165" w:name="page166"/>
    <w:bookmarkEnd w:id="165"/>
    <w:p>
      <w:pPr>
        <w:ind w:left="2780"/>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67">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66" w:name="page167"/>
    <w:bookmarkEnd w:id="166"/>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AIRPORT ADVERTISING COMPANY</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68">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6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70">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7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7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Ashby Street Outdoor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7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74">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69" w:name="page170"/>
    <w:bookmarkEnd w:id="169"/>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75">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0" w:name="page171"/>
    <w:bookmarkEnd w:id="170"/>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7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7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1" w:name="page172"/>
    <w:bookmarkEnd w:id="171"/>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7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79">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2" w:name="page173"/>
    <w:bookmarkEnd w:id="172"/>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80">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8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3" w:name="page174"/>
    <w:bookmarkEnd w:id="173"/>
    <w:p>
      <w:pPr>
        <w:spacing w:after="0" w:line="3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8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8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74" w:name="page175"/>
    <w:bookmarkEnd w:id="174"/>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Class A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84">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8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5" w:name="page176"/>
    <w:bookmarkEnd w:id="175"/>
    <w:p>
      <w:pPr>
        <w:ind w:left="278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8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87">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6" w:name="page177"/>
    <w:bookmarkEnd w:id="176"/>
    <w:p>
      <w:pPr>
        <w:ind w:left="278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8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89">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7" w:name="page178"/>
    <w:bookmarkEnd w:id="177"/>
    <w:p>
      <w:pPr>
        <w:ind w:left="278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9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7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9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200" w:lineRule="exact"/>
        <w:rPr>
          <w:sz w:val="20"/>
          <w:szCs w:val="20"/>
          <w:color w:val="auto"/>
        </w:rPr>
      </w:pPr>
    </w:p>
    <w:p>
      <w:pPr>
        <w:spacing w:after="0" w:line="3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8" w:name="page179"/>
    <w:bookmarkEnd w:id="178"/>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9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93">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79" w:name="page180"/>
    <w:bookmarkEnd w:id="179"/>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332" w:lineRule="exact"/>
        <w:rPr>
          <w:sz w:val="20"/>
          <w:szCs w:val="20"/>
          <w:color w:val="auto"/>
        </w:rPr>
      </w:pPr>
    </w:p>
    <w:p>
      <w:pPr>
        <w:ind w:left="2940" w:hanging="161"/>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9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Wallace L.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417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94">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Wallace L. Duke, Jr.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0"/>
          <w:szCs w:val="20"/>
          <w:color w:val="auto"/>
        </w:rPr>
        <w:t>Exhibit 4(h)(8)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SUPPLEMENTAL INDENTURE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INDENTURE DATED JANUARY 22, 2021</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SUPPLEMENTAL INDENTURE dated as of December 6, 2024, among 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Guarantors party hereto, OBCM, LLC, a Delaware limited liability company (the “</w:t>
      </w:r>
      <w:r>
        <w:rPr>
          <w:rFonts w:ascii="Times New Roman" w:cs="Times New Roman" w:eastAsia="Times New Roman" w:hAnsi="Times New Roman"/>
          <w:sz w:val="22"/>
          <w:szCs w:val="22"/>
          <w:u w:val="single" w:color="auto"/>
          <w:color w:val="auto"/>
        </w:rPr>
        <w:t>New Guarantor</w:t>
      </w:r>
      <w:r>
        <w:rPr>
          <w:rFonts w:ascii="Times New Roman" w:cs="Times New Roman" w:eastAsia="Times New Roman" w:hAnsi="Times New Roman"/>
          <w:sz w:val="22"/>
          <w:szCs w:val="22"/>
          <w:color w:val="auto"/>
        </w:rPr>
        <w:t>”), and U.S. BANK TRUST COMPANY, NATIONAL ASSOCIATION (as successor in interest to U.S. Bank National Association),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each of the Company and the Guarantors (as defined in the Indenture referred to below) has heretofore executed and delivered to the original trustee, The Bank of New York Mellon Trust Company, N.A., an Indenture, dated as of January 22, 2021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providing for the issuance of 3.625%% Senior Notes due 2031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WHEREAS, the New Guarantor desires to provide a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the obligations of the Company under the Notes and the Indenture in accordance with Article 10 of the Indenture;</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pursuant to Section 8.01 of the Indenture, the Company, the Trustee, the Guarantors and the New Guarantor are authorized to execute and deliver this Supplemental Indenture;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all conditions precedent provided for in the Indenture relating to the execution of this Supplemental Indenture have been complied with.</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parties hereto mutually covenant and agree for the equal and ratable benefit of the Holders as follows:</w:t>
      </w:r>
    </w:p>
    <w:p>
      <w:pPr>
        <w:spacing w:after="0" w:line="167"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terms used herein without definition have the meanings ascribed to them in the Indenture.</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The New Guarantor hereby agrees to provide a full and unconditional guarantee of the Company’s obligations under the Notes and the Indenture on the terms and subject to the conditions set forth in the Indenture, including but not limited to Article 10 thereof, with the same effect and to the same extent as if the New Guarantor had been named as a Guarantor in the Indenture.</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 of Supplemental Indenture</w:t>
      </w:r>
      <w:r>
        <w:rPr>
          <w:rFonts w:ascii="Times New Roman" w:cs="Times New Roman" w:eastAsia="Times New Roman" w:hAnsi="Times New Roman"/>
          <w:sz w:val="22"/>
          <w:szCs w:val="22"/>
          <w:color w:val="auto"/>
        </w:rPr>
        <w:t>. This Supplemental Indenture shall become effective upon the execution and delivery of this Supplemental Indenture by the Company, the Guarantors, the New Guarantor and the Trustee.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 Remains in Full Force and Effect</w:t>
      </w:r>
      <w:r>
        <w:rPr>
          <w:rFonts w:ascii="Times New Roman" w:cs="Times New Roman" w:eastAsia="Times New Roman" w:hAnsi="Times New Roman"/>
          <w:sz w:val="22"/>
          <w:szCs w:val="22"/>
          <w:color w:val="auto"/>
        </w:rPr>
        <w:t>. This Supplemental Indenture shall form a part of the Indenture for all purposes and, except as supplemented or amended hereby, all</w:t>
      </w:r>
    </w:p>
    <w:p>
      <w:pPr>
        <w:sectPr>
          <w:pgSz w:w="11900" w:h="16838" w:orient="portrait"/>
          <w:cols w:equalWidth="0" w:num="1">
            <w:col w:w="11240"/>
          </w:cols>
          <w:pgMar w:left="320" w:top="118" w:right="339" w:bottom="1440" w:gutter="0" w:footer="0" w:header="0"/>
        </w:sectPr>
      </w:pPr>
    </w:p>
    <w:bookmarkStart w:id="181" w:name="page182"/>
    <w:bookmarkEnd w:id="181"/>
    <w:p>
      <w:pPr>
        <w:spacing w:after="0" w:line="271" w:lineRule="auto"/>
        <w:rPr>
          <w:sz w:val="20"/>
          <w:szCs w:val="20"/>
          <w:color w:val="auto"/>
        </w:rPr>
      </w:pPr>
      <w:r>
        <w:rPr>
          <w:rFonts w:ascii="Times New Roman" w:cs="Times New Roman" w:eastAsia="Times New Roman" w:hAnsi="Times New Roman"/>
          <w:sz w:val="22"/>
          <w:szCs w:val="22"/>
          <w:color w:val="auto"/>
        </w:rPr>
        <w:t>other provisions in the Indenture and the Notes, to the extent not inconsistent with the terms and provisions of this Supplemental Indenture, shall remain in full force and effect.</w:t>
      </w:r>
    </w:p>
    <w:p>
      <w:pPr>
        <w:spacing w:after="0" w:line="158" w:lineRule="exact"/>
        <w:rPr>
          <w:sz w:val="20"/>
          <w:szCs w:val="20"/>
          <w:color w:val="auto"/>
        </w:rPr>
      </w:pPr>
    </w:p>
    <w:p>
      <w:pPr>
        <w:ind w:firstLine="656"/>
        <w:spacing w:after="0" w:line="284"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Articles and Sections of this Supplemental Indenture are inserted for convenience of reference and shall not be deemed a part thereof.</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each of which so executed shall be deemed to be an original, but all such counterparts shall together constitute but one and the same instrument.</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 without regard to principles of conflicts of laws.</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Disclaimer</w:t>
      </w:r>
      <w:r>
        <w:rPr>
          <w:rFonts w:ascii="Times New Roman" w:cs="Times New Roman" w:eastAsia="Times New Roman" w:hAnsi="Times New Roman"/>
          <w:sz w:val="22"/>
          <w:szCs w:val="22"/>
          <w:color w:val="auto"/>
        </w:rPr>
        <w:t>. The Trustee is not responsible for the validity or sufficiency of this Supplemental Indenture nor for the recitals hereof, which shall be taken as the statements of the Company, the Guarantors and the New Guarantor.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82" w:name="page183"/>
    <w:bookmarkEnd w:id="18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caused this Supplemental Indenture to be duly executed as of the day and year first above written.</w:t>
      </w:r>
    </w:p>
    <w:p>
      <w:pPr>
        <w:spacing w:after="0" w:line="3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NEW GUARANTOR:</w:t>
      </w:r>
    </w:p>
    <w:p>
      <w:pPr>
        <w:spacing w:after="0" w:line="3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OBCM, LLC</w:t>
      </w:r>
    </w:p>
    <w:p>
      <w:pPr>
        <w:spacing w:after="0" w:line="200" w:lineRule="exact"/>
        <w:rPr>
          <w:sz w:val="20"/>
          <w:szCs w:val="20"/>
          <w:color w:val="auto"/>
        </w:rPr>
      </w:pPr>
    </w:p>
    <w:p>
      <w:pPr>
        <w:spacing w:after="0" w:line="34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201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9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 Chief Financial Officer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11240"/>
          </w:cols>
          <w:pgMar w:left="320" w:top="1422" w:right="339" w:bottom="1440" w:gutter="0" w:footer="0" w:header="0"/>
        </w:sectPr>
      </w:pPr>
    </w:p>
    <w:bookmarkStart w:id="183" w:name="page184"/>
    <w:bookmarkEnd w:id="183"/>
    <w:p>
      <w:pPr>
        <w:ind w:left="27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MEDIA CORP.</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9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420" w:hanging="647"/>
        <w:spacing w:after="0" w:line="259" w:lineRule="auto"/>
        <w:tabs>
          <w:tab w:leader="none" w:pos="3400" w:val="left"/>
        </w:tabs>
        <w:rPr>
          <w:sz w:val="20"/>
          <w:szCs w:val="20"/>
          <w:color w:val="auto"/>
        </w:rPr>
      </w:pPr>
      <w:r>
        <w:rPr>
          <w:rFonts w:ascii="Times New Roman" w:cs="Times New Roman" w:eastAsia="Times New Roman" w:hAnsi="Times New Roman"/>
          <w:sz w:val="22"/>
          <w:szCs w:val="22"/>
          <w:color w:val="auto"/>
        </w:rPr>
        <w:t>Name:</w:t>
        <w:tab/>
        <w:t>Jay L. Johnson, 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640"/>
          </w:cols>
          <w:pgMar w:left="1440" w:top="1418" w:right="819" w:bottom="1440" w:gutter="0" w:footer="0" w:header="0"/>
        </w:sectPr>
      </w:pPr>
    </w:p>
    <w:bookmarkStart w:id="184" w:name="page185"/>
    <w:bookmarkEnd w:id="184"/>
    <w:p>
      <w:pPr>
        <w:ind w:left="2780"/>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3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ALABAMA LOGOS,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ARIZONA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COLORADO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DELAWARE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GEORGIA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KANSAS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KENTUCKY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LOUISIANA INTERSTATE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MAINE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MICHIGAN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MINNESOTA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MISSISSIPPI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MISSOURI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MONTANA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NEBRASKA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NEVADA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HAMPSHIRE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JERSEY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MEXICO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NORTH CAROLINA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OHIO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OKLAHOMA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SOUTH CAROLINA LOGOS,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TENNESSEE LOGOS,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UTAH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VIRGINIA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WASHINGTON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WISCONSIN LOGOS,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9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019"/>
          </w:cols>
          <w:pgMar w:left="1440" w:top="1418" w:right="1440" w:bottom="1440" w:gutter="0" w:footer="0" w:header="0"/>
        </w:sectPr>
      </w:pPr>
    </w:p>
    <w:bookmarkStart w:id="185" w:name="page186"/>
    <w:bookmarkEnd w:id="185"/>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AIRPORT ADVERTISING COMPANY</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9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SKYHIGH MURALS – COLOSSAL MEDIA, LLC</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99">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FLORIDA LOGOS,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Interstate Logos TRS,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00">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86" w:name="page187"/>
    <w:bookmarkEnd w:id="18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HOLDINGS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CENTRAL OUTDOOR,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SOUTHWEST,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LAMAR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TRS HOLDINGS,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0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INTERSTATE LOGOS TRS,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INVESTMENTS,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SERVICE COMPANY,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TRANSIT,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0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ASHBY STREET OUTDOOR CC,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Ashby Street Outdoor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0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TEXAS LIMITED PARTNERSHIP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04">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88" w:name="page189"/>
    <w:bookmarkEnd w:id="188"/>
    <w:p>
      <w:pPr>
        <w:ind w:left="2780"/>
        <w:spacing w:after="0"/>
        <w:rPr>
          <w:sz w:val="20"/>
          <w:szCs w:val="20"/>
          <w:color w:val="auto"/>
        </w:rPr>
      </w:pPr>
      <w:r>
        <w:rPr>
          <w:rFonts w:ascii="Times New Roman" w:cs="Times New Roman" w:eastAsia="Times New Roman" w:hAnsi="Times New Roman"/>
          <w:sz w:val="22"/>
          <w:szCs w:val="22"/>
          <w:color w:val="auto"/>
        </w:rPr>
        <w:t>LAMAR ADVERTISING OF COLORADO SPRINGS,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LOUISIANA,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MICHIGAN,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SOUTH DAKOTA,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YOUNGSTOWN,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AIR,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ELECTRICAL,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FLORIDA,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NORTH,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OCI SOUTH,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OHIO OUTDOOR HOLDING,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TENNESSEE,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05">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89" w:name="page190"/>
    <w:bookmarkEnd w:id="189"/>
    <w:p>
      <w:pPr>
        <w:ind w:left="2780"/>
        <w:spacing w:after="0"/>
        <w:rPr>
          <w:sz w:val="20"/>
          <w:szCs w:val="20"/>
          <w:color w:val="auto"/>
        </w:rPr>
      </w:pPr>
      <w:r>
        <w:rPr>
          <w:rFonts w:ascii="Times New Roman" w:cs="Times New Roman" w:eastAsia="Times New Roman" w:hAnsi="Times New Roman"/>
          <w:sz w:val="22"/>
          <w:szCs w:val="22"/>
          <w:color w:val="auto"/>
        </w:rPr>
        <w:t>TLC FARMS,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TLC Properties,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06">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GP COMPANY, LLC</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LP COMPANY,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HOLDINGS,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07">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90" w:name="page191"/>
    <w:bookmarkEnd w:id="190"/>
    <w:p>
      <w:pPr>
        <w:ind w:left="2780"/>
        <w:spacing w:after="0"/>
        <w:rPr>
          <w:sz w:val="20"/>
          <w:szCs w:val="20"/>
          <w:color w:val="auto"/>
        </w:rPr>
      </w:pPr>
      <w:r>
        <w:rPr>
          <w:rFonts w:ascii="Times New Roman" w:cs="Times New Roman" w:eastAsia="Times New Roman" w:hAnsi="Times New Roman"/>
          <w:sz w:val="22"/>
          <w:szCs w:val="22"/>
          <w:color w:val="auto"/>
        </w:rPr>
        <w:t>LAMAR ADVANTAGE OUTDOOR COMPANY, L.P.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08">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ADVANTAGE HOLDING COMPANY,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Outdoor Company, L.P.,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Advantage GP Company,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Central Outdoor,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09">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91" w:name="page192"/>
    <w:bookmarkEnd w:id="191"/>
    <w:p>
      <w:pPr>
        <w:ind w:left="2780"/>
        <w:spacing w:after="0"/>
        <w:rPr>
          <w:sz w:val="20"/>
          <w:szCs w:val="20"/>
          <w:color w:val="auto"/>
        </w:rPr>
      </w:pPr>
      <w:r>
        <w:rPr>
          <w:rFonts w:ascii="Times New Roman" w:cs="Times New Roman" w:eastAsia="Times New Roman" w:hAnsi="Times New Roman"/>
          <w:sz w:val="22"/>
          <w:szCs w:val="22"/>
          <w:color w:val="auto"/>
        </w:rPr>
        <w:t>OUTDOOR MARKETING SYSTEMS,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OUTDOOR PROMOTIONS WEST,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TRIUMPH OUTDOOR RHODE ISLAND,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1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TLC PROPERTIES II,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Investments,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1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92" w:name="page193"/>
    <w:bookmarkEnd w:id="192"/>
    <w:p>
      <w:pPr>
        <w:spacing w:after="0" w:line="3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OF PENN,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Lamar Company, L.L.C., its Class A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12">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13">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93" w:name="page194"/>
    <w:bookmarkEnd w:id="193"/>
    <w:p>
      <w:pPr>
        <w:ind w:left="2780"/>
        <w:spacing w:after="0"/>
        <w:rPr>
          <w:sz w:val="20"/>
          <w:szCs w:val="20"/>
          <w:color w:val="auto"/>
        </w:rPr>
      </w:pPr>
      <w:r>
        <w:rPr>
          <w:rFonts w:ascii="Times New Roman" w:cs="Times New Roman" w:eastAsia="Times New Roman" w:hAnsi="Times New Roman"/>
          <w:sz w:val="22"/>
          <w:szCs w:val="22"/>
          <w:color w:val="auto"/>
        </w:rPr>
        <w:t>LAMAR OBIE COMPANY,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Class A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14">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Transit, LLC, its Class B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TRS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1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94" w:name="page195"/>
    <w:bookmarkEnd w:id="194"/>
    <w:p>
      <w:pPr>
        <w:ind w:left="2780"/>
        <w:spacing w:after="0"/>
        <w:rPr>
          <w:sz w:val="20"/>
          <w:szCs w:val="20"/>
          <w:color w:val="auto"/>
        </w:rPr>
      </w:pPr>
      <w:r>
        <w:rPr>
          <w:rFonts w:ascii="Times New Roman" w:cs="Times New Roman" w:eastAsia="Times New Roman" w:hAnsi="Times New Roman"/>
          <w:sz w:val="22"/>
          <w:szCs w:val="22"/>
          <w:color w:val="auto"/>
        </w:rPr>
        <w:t>LAMAR-FAIRWAY BLOCKER 1,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LAMAR-FAIRWAY BLOCKER 2,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MAGIC MEDIA/LAMAR,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MEDIA GROUP, LLC</w:t>
      </w:r>
    </w:p>
    <w:p>
      <w:pPr>
        <w:spacing w:after="0" w:line="23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1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OUTDOOR ADVERTISING,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17">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95" w:name="page196"/>
    <w:bookmarkEnd w:id="195"/>
    <w:p>
      <w:pPr>
        <w:ind w:left="2780"/>
        <w:spacing w:after="0"/>
        <w:rPr>
          <w:sz w:val="20"/>
          <w:szCs w:val="20"/>
          <w:color w:val="auto"/>
        </w:rPr>
      </w:pPr>
      <w:r>
        <w:rPr>
          <w:rFonts w:ascii="Times New Roman" w:cs="Times New Roman" w:eastAsia="Times New Roman" w:hAnsi="Times New Roman"/>
          <w:sz w:val="22"/>
          <w:szCs w:val="22"/>
          <w:color w:val="auto"/>
        </w:rPr>
        <w:t>FAIRWAY OUTDOOR FUNDING HOLDINGS,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1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OUTDOOR FUNDING,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12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19">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96" w:name="page197"/>
    <w:bookmarkEnd w:id="196"/>
    <w:p>
      <w:pPr>
        <w:ind w:left="2780"/>
        <w:spacing w:after="0"/>
        <w:rPr>
          <w:sz w:val="20"/>
          <w:szCs w:val="20"/>
          <w:color w:val="auto"/>
        </w:rPr>
      </w:pPr>
      <w:r>
        <w:rPr>
          <w:rFonts w:ascii="Times New Roman" w:cs="Times New Roman" w:eastAsia="Times New Roman" w:hAnsi="Times New Roman"/>
          <w:sz w:val="22"/>
          <w:szCs w:val="22"/>
          <w:color w:val="auto"/>
        </w:rPr>
        <w:t>DOUGLAS OUTDOOR ADVERTISING OF GA.,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Magic Media/Lamar,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20">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MCC OUTDOOR, LLC</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MAGIC MEDIA REAL ESTATE, LLC</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FMO REAL ESTATE, LLC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OLYMPUS MEDIA/INDIANA,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FAIRWAY CCO INDIANA, LLC</w:t>
      </w: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Funding Holdings,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Outdoor Advertising, LLC,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Fairway Media Group, LLC, its Managing Member</w:t>
      </w:r>
    </w:p>
    <w:p>
      <w:pPr>
        <w:spacing w:after="0" w:line="71"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Limited Partnership, its Managing Member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21">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200" w:lineRule="exact"/>
        <w:rPr>
          <w:sz w:val="20"/>
          <w:szCs w:val="20"/>
          <w:color w:val="auto"/>
        </w:rPr>
      </w:pPr>
    </w:p>
    <w:p>
      <w:pPr>
        <w:spacing w:after="0" w:line="3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97" w:name="page198"/>
    <w:bookmarkEnd w:id="197"/>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LIMITED PARTNERSHIP</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Advertising General Partner, LLC, its General Partner</w:t>
      </w:r>
    </w:p>
    <w:p>
      <w:pPr>
        <w:spacing w:after="0" w:line="1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2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9"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15"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LAMAR ADVERTISING GENERAL PARTNER, LLC</w:t>
      </w:r>
    </w:p>
    <w:p>
      <w:pPr>
        <w:spacing w:after="0" w:line="26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Lamar Media Corp., its Managing Member</w:t>
      </w:r>
    </w:p>
    <w:p>
      <w:pPr>
        <w:spacing w:after="0" w:line="200" w:lineRule="exact"/>
        <w:rPr>
          <w:sz w:val="20"/>
          <w:szCs w:val="20"/>
          <w:color w:val="auto"/>
        </w:rPr>
      </w:pPr>
    </w:p>
    <w:p>
      <w:pPr>
        <w:spacing w:after="0" w:line="34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201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23">
                      <a:extLst>
                        <a:ext uri="{28A0092B-C50C-407E-A947-70E740481C1C}"/>
                      </a:extLst>
                    </a:blip>
                    <a:srcRect/>
                    <a:stretch>
                      <a:fillRect/>
                    </a:stretch>
                  </pic:blipFill>
                  <pic:spPr bwMode="auto">
                    <a:xfrm>
                      <a:off x="0" y="0"/>
                      <a:ext cx="1120140" cy="8890"/>
                    </a:xfrm>
                    <a:prstGeom prst="rect">
                      <a:avLst/>
                    </a:prstGeom>
                    <a:noFill/>
                  </pic:spPr>
                </pic:pic>
              </a:graphicData>
            </a:graphic>
          </wp:anchor>
        </w:drawing>
      </w:r>
    </w:p>
    <w:p>
      <w:pPr>
        <w:spacing w:after="0" w:line="8" w:lineRule="exact"/>
        <w:rPr>
          <w:sz w:val="20"/>
          <w:szCs w:val="20"/>
          <w:color w:val="auto"/>
        </w:rPr>
      </w:pPr>
    </w:p>
    <w:p>
      <w:pPr>
        <w:ind w:left="3260"/>
        <w:spacing w:after="0"/>
        <w:tabs>
          <w:tab w:leader="none" w:pos="40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w:t>
      </w:r>
    </w:p>
    <w:p>
      <w:pPr>
        <w:spacing w:after="0" w:line="4" w:lineRule="exact"/>
        <w:rPr>
          <w:sz w:val="20"/>
          <w:szCs w:val="20"/>
          <w:color w:val="auto"/>
        </w:rPr>
      </w:pPr>
    </w:p>
    <w:p>
      <w:pPr>
        <w:ind w:left="3260"/>
        <w:spacing w:after="0"/>
        <w:tabs>
          <w:tab w:leader="none" w:pos="3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22" w:right="979" w:bottom="1440" w:gutter="0" w:footer="0" w:header="0"/>
        </w:sectPr>
      </w:pPr>
    </w:p>
    <w:bookmarkStart w:id="198" w:name="page199"/>
    <w:bookmarkEnd w:id="198"/>
    <w:p>
      <w:pPr>
        <w:spacing w:after="0" w:line="200" w:lineRule="exact"/>
        <w:rPr>
          <w:sz w:val="20"/>
          <w:szCs w:val="20"/>
          <w:color w:val="auto"/>
        </w:rPr>
      </w:pPr>
    </w:p>
    <w:p>
      <w:pPr>
        <w:spacing w:after="0" w:line="23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TRUSTEE:</w:t>
      </w:r>
    </w:p>
    <w:p>
      <w:pPr>
        <w:spacing w:after="0" w:line="332" w:lineRule="exact"/>
        <w:rPr>
          <w:sz w:val="20"/>
          <w:szCs w:val="20"/>
          <w:color w:val="auto"/>
        </w:rPr>
      </w:pPr>
    </w:p>
    <w:p>
      <w:pPr>
        <w:ind w:left="2940" w:hanging="161"/>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successor in interest to U.S. Bank National Association, as Trustee</w:t>
      </w:r>
    </w:p>
    <w:p>
      <w:pPr>
        <w:spacing w:after="0" w:line="200" w:lineRule="exact"/>
        <w:rPr>
          <w:sz w:val="20"/>
          <w:szCs w:val="20"/>
          <w:color w:val="auto"/>
        </w:rPr>
      </w:pPr>
    </w:p>
    <w:p>
      <w:pPr>
        <w:spacing w:after="0" w:line="29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Wallace L.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417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24">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Wallace L. Duke, Jr.</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to Supplemental Indenture]</w:t>
      </w:r>
    </w:p>
    <w:p>
      <w:pPr>
        <w:sectPr>
          <w:pgSz w:w="11900" w:h="16838" w:orient="portrait"/>
          <w:cols w:equalWidth="0" w:num="1">
            <w:col w:w="9480"/>
          </w:cols>
          <w:pgMar w:left="1440" w:top="1440" w:right="97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0"/>
          <w:szCs w:val="20"/>
          <w:color w:val="auto"/>
        </w:rPr>
        <w:t>Exhibit 10(f)(36)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JOINDER AGREEMENT</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JOINDER AGREEMENT dated as of December 6, 2024, by OBCM, LLC, a Delaware limited liability company (the “</w:t>
      </w:r>
      <w:r>
        <w:rPr>
          <w:rFonts w:ascii="Times New Roman" w:cs="Times New Roman" w:eastAsia="Times New Roman" w:hAnsi="Times New Roman"/>
          <w:sz w:val="21"/>
          <w:szCs w:val="21"/>
          <w:u w:val="single" w:color="auto"/>
          <w:color w:val="auto"/>
        </w:rPr>
        <w:t>Additional Subsidiary Guarantor</w:t>
      </w:r>
      <w:r>
        <w:rPr>
          <w:rFonts w:ascii="Times New Roman" w:cs="Times New Roman" w:eastAsia="Times New Roman" w:hAnsi="Times New Roman"/>
          <w:sz w:val="21"/>
          <w:szCs w:val="21"/>
          <w:color w:val="auto"/>
        </w:rPr>
        <w:t>”), in favor of JPMorgan Chase Bank, N.A., as administrative agent for the Lenders party to the Credit Agreement referred to below (in such capacity, together with its successors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Lamar Media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each Additional Subsidiary Borrower that may be or may become a party thereto (each an “</w:t>
      </w:r>
      <w:r>
        <w:rPr>
          <w:rFonts w:ascii="Times New Roman" w:cs="Times New Roman" w:eastAsia="Times New Roman" w:hAnsi="Times New Roman"/>
          <w:sz w:val="22"/>
          <w:szCs w:val="22"/>
          <w:u w:val="single" w:color="auto"/>
          <w:color w:val="auto"/>
        </w:rPr>
        <w:t>Additional Subsidiary Borrower</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certain of its subsidiaries (collectively, the “</w:t>
      </w:r>
      <w:r>
        <w:rPr>
          <w:rFonts w:ascii="Times New Roman" w:cs="Times New Roman" w:eastAsia="Times New Roman" w:hAnsi="Times New Roman"/>
          <w:sz w:val="22"/>
          <w:szCs w:val="22"/>
          <w:u w:val="single" w:color="auto"/>
          <w:color w:val="auto"/>
        </w:rPr>
        <w:t>Existing Subsidiary Guarantors</w:t>
      </w:r>
      <w:r>
        <w:rPr>
          <w:rFonts w:ascii="Times New Roman" w:cs="Times New Roman" w:eastAsia="Times New Roman" w:hAnsi="Times New Roman"/>
          <w:sz w:val="22"/>
          <w:szCs w:val="22"/>
          <w:color w:val="auto"/>
        </w:rPr>
        <w:t>” and, together with the Borrowers, the “</w:t>
      </w:r>
      <w:r>
        <w:rPr>
          <w:rFonts w:ascii="Times New Roman" w:cs="Times New Roman" w:eastAsia="Times New Roman" w:hAnsi="Times New Roman"/>
          <w:sz w:val="22"/>
          <w:szCs w:val="22"/>
          <w:u w:val="single" w:color="auto"/>
          <w:color w:val="auto"/>
        </w:rPr>
        <w:t>Securing Parties</w:t>
      </w:r>
      <w:r>
        <w:rPr>
          <w:rFonts w:ascii="Times New Roman" w:cs="Times New Roman" w:eastAsia="Times New Roman" w:hAnsi="Times New Roman"/>
          <w:sz w:val="22"/>
          <w:szCs w:val="22"/>
          <w:color w:val="auto"/>
        </w:rPr>
        <w:t>”) are parties to that certain Fourth Amended and Restated Credit Agreement dated as of February 6, 2020 (as amended by that certain Amendment No. 1, dated as of July 2, 2021, as amended by that certain Amendment No. 2, dated as of July 29, 2022, as amended by that certain Amendment No. 3, dated as of April 26, 2023, as amended by that certain Amendment No. 4, dated as of July 31, 2023, and as further amended, restated, amended and restated, extended,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providing, subject to the terms and conditions thereof, for extensions of credit (by means of loans and letters of credit) to be made by the Lenders named therein (collectively, together with any entity that becomes a “Lender” party to the Credit Agreement after the date hereof as provided therein,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together with Administrative Agent and any successors or assigns of any of the foregoing, the “</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to the Borrowers. In addition, the Borrowers may from time to time be obligated to one or more of the Lenders under the Credit Agreement in respect of Swap Agreements under and as defined in the Credit Agreement (collectively, the “</w:t>
      </w:r>
      <w:r>
        <w:rPr>
          <w:rFonts w:ascii="Times New Roman" w:cs="Times New Roman" w:eastAsia="Times New Roman" w:hAnsi="Times New Roman"/>
          <w:sz w:val="22"/>
          <w:szCs w:val="22"/>
          <w:u w:val="single" w:color="auto"/>
          <w:color w:val="auto"/>
        </w:rPr>
        <w:t>Swap Agreements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connection with the Credit Agreement, the Borrowers, the Existing Subsidiary Guarantors and the Administrative Agent are parties to that certain Amended and Restated Pledge Agreement dated as of February 3, 2014 (the “</w:t>
      </w:r>
      <w:r>
        <w:rPr>
          <w:rFonts w:ascii="Times New Roman" w:cs="Times New Roman" w:eastAsia="Times New Roman" w:hAnsi="Times New Roman"/>
          <w:sz w:val="22"/>
          <w:szCs w:val="22"/>
          <w:u w:val="single" w:color="auto"/>
          <w:color w:val="auto"/>
        </w:rPr>
        <w:t>Pledge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pursuant to which the Securing Parties have,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granted a security interest in the Collateral (as defined in the Pledge Agreement) as collateral security for the Secured Obligations (as so defined). Terms defined in the Pledge Agreement are used herein as defined therein.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To induce the Secured Parties to enter into the Credit Agreement, and to extend credit thereunder and to extend credit to the Borrowers under Swap Agreements, and for other good and valuable consideration the receipt and sufficiency of which are hereby acknowledged, the Additional Subsidiary Guarantor has agreed to become a party to the Credit Agreement and the Pledge Agreement as a “Subsidiary Guarantor” thereunder, and to pledge and grant a security interest in the Collateral (as defined in the Pledge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Accordingly, the parties hereto agree as follows:</w:t>
      </w:r>
    </w:p>
    <w:p>
      <w:pPr>
        <w:spacing w:after="0" w:line="22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Terms defined in the Credit Agreement are used herein as defined therein.</w:t>
      </w:r>
    </w:p>
    <w:p>
      <w:pPr>
        <w:sectPr>
          <w:pgSz w:w="11900" w:h="16838" w:orient="portrait"/>
          <w:cols w:equalWidth="0" w:num="1">
            <w:col w:w="11240"/>
          </w:cols>
          <w:pgMar w:left="320" w:top="118" w:right="339" w:bottom="1440" w:gutter="0" w:footer="0" w:header="0"/>
        </w:sectPr>
      </w:pPr>
    </w:p>
    <w:bookmarkStart w:id="200" w:name="page201"/>
    <w:bookmarkEnd w:id="200"/>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Joinder to Agreements</w:t>
      </w:r>
      <w:r>
        <w:rPr>
          <w:rFonts w:ascii="Times New Roman" w:cs="Times New Roman" w:eastAsia="Times New Roman" w:hAnsi="Times New Roman"/>
          <w:sz w:val="22"/>
          <w:szCs w:val="22"/>
          <w:color w:val="auto"/>
        </w:rPr>
        <w:t>. Effective upon the execution and delivery hereof, the Additional Subsidiary Guarantor hereby agrees that it shall become a “Subsidiary Guarantor” under and for all purposes of the Credit Agreement and a “Securing Party” under and for all purposes of the Pledge Agreement with all the rights and obligations of a Subsidiary Guarantor and Securing Party thereunder, as applicable. Without limiting the generality of the foregoing, the Additional Subsidiary Guarantor hereby:</w:t>
      </w:r>
    </w:p>
    <w:p>
      <w:pPr>
        <w:spacing w:after="0" w:line="179" w:lineRule="exact"/>
        <w:rPr>
          <w:sz w:val="20"/>
          <w:szCs w:val="20"/>
          <w:color w:val="auto"/>
        </w:rPr>
      </w:pPr>
    </w:p>
    <w:p>
      <w:pPr>
        <w:jc w:val="both"/>
        <w:ind w:left="660" w:hanging="4"/>
        <w:spacing w:after="0" w:line="256"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spacing w:after="0" w:line="176" w:lineRule="exact"/>
        <w:rPr>
          <w:rFonts w:ascii="Times New Roman" w:cs="Times New Roman" w:eastAsia="Times New Roman" w:hAnsi="Times New Roman"/>
          <w:sz w:val="22"/>
          <w:szCs w:val="22"/>
          <w:color w:val="auto"/>
        </w:rPr>
      </w:pPr>
    </w:p>
    <w:p>
      <w:pPr>
        <w:jc w:val="both"/>
        <w:ind w:left="660" w:hanging="4"/>
        <w:spacing w:after="0" w:line="268" w:lineRule="auto"/>
        <w:tabs>
          <w:tab w:leader="none" w:pos="130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grants the security interests in all right, title and interest of such Additional Subsidiary Guarantor in all Collateral (as defined in the Pledge Agreement) that it now owns or hereafter acquires and whether now existing or hereafter coming into existence provided for by Article III of the Pledge Agreement as collateral security for the Secured Obligations and agrees that the Schedules thereof shall be supplemented as provided in Appendices A and B hereto;</w:t>
      </w:r>
    </w:p>
    <w:p>
      <w:pPr>
        <w:spacing w:after="0" w:line="163" w:lineRule="exact"/>
        <w:rPr>
          <w:rFonts w:ascii="Times New Roman" w:cs="Times New Roman" w:eastAsia="Times New Roman" w:hAnsi="Times New Roman"/>
          <w:sz w:val="21"/>
          <w:szCs w:val="21"/>
          <w:color w:val="auto"/>
        </w:rPr>
      </w:pPr>
    </w:p>
    <w:p>
      <w:pPr>
        <w:jc w:val="both"/>
        <w:ind w:left="660" w:hanging="4"/>
        <w:spacing w:after="0" w:line="263" w:lineRule="auto"/>
        <w:tabs>
          <w:tab w:leader="none" w:pos="130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the representations and warranties set forth in Article IV of the Credit Agreement and in Article II of the Pledge Agreement, to the extent relating to such Additional Subsidiary Guarantor or to the Pledged Equity evidenced by the certificates, if any, identified in Appendix A hereto; and</w:t>
      </w:r>
    </w:p>
    <w:p>
      <w:pPr>
        <w:spacing w:after="0" w:line="167" w:lineRule="exact"/>
        <w:rPr>
          <w:rFonts w:ascii="Times New Roman" w:cs="Times New Roman" w:eastAsia="Times New Roman" w:hAnsi="Times New Roman"/>
          <w:sz w:val="22"/>
          <w:szCs w:val="22"/>
          <w:color w:val="auto"/>
        </w:rPr>
      </w:pPr>
    </w:p>
    <w:p>
      <w:pPr>
        <w:ind w:left="660" w:hanging="4"/>
        <w:spacing w:after="0" w:line="271"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to the jurisdiction of the courts, and waives jury trial, as provided in Sections 10.09 and 10.10 of the Credit Agreement.</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The Additional Subsidiary Guarantor hereby instructs its counsel to deliver the opinions referred to in Section 6.10(a)(iii) of the Credit Agreement to the Secured Parties.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201" w:name="page202"/>
    <w:bookmarkEnd w:id="20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Additional Subsidiary Guarantor has caused this Joinder Agreement to be duly executed and delivered as of the day and year first above written.</w:t>
      </w:r>
    </w:p>
    <w:p>
      <w:pPr>
        <w:spacing w:after="0" w:line="3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ADDITIONAL SUBSIDIARY GUARANTOR:</w:t>
      </w:r>
    </w:p>
    <w:p>
      <w:pPr>
        <w:spacing w:after="0" w:line="3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OBCM, LLC</w:t>
      </w:r>
    </w:p>
    <w:p>
      <w:pPr>
        <w:spacing w:after="0" w:line="200" w:lineRule="exact"/>
        <w:rPr>
          <w:sz w:val="20"/>
          <w:szCs w:val="20"/>
          <w:color w:val="auto"/>
        </w:rPr>
      </w:pPr>
    </w:p>
    <w:p>
      <w:pPr>
        <w:spacing w:after="0" w:line="3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201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25">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Jay L. Johnson, Executive Vice-President, Chief Financial Officer,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James R.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3639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2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James R. McIlwain,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22"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Inderjeet 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1499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27">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Inderjeet Aneja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Lamar – Signature page to Joinder Agreement</w:t>
      </w:r>
    </w:p>
    <w:p>
      <w:pPr>
        <w:sectPr>
          <w:pgSz w:w="11900" w:h="16838" w:orient="portrait"/>
          <w:cols w:equalWidth="0" w:num="1">
            <w:col w:w="10139"/>
          </w:cols>
          <w:pgMar w:left="320" w:top="1422" w:right="1440" w:bottom="1440" w:gutter="0" w:footer="0" w:header="0"/>
        </w:sectPr>
      </w:pPr>
    </w:p>
    <w:bookmarkStart w:id="203" w:name="page204"/>
    <w:bookmarkEnd w:id="203"/>
    <w:p>
      <w:pPr>
        <w:jc w:val="both"/>
        <w:spacing w:after="0" w:line="257" w:lineRule="auto"/>
        <w:rPr>
          <w:sz w:val="20"/>
          <w:szCs w:val="20"/>
          <w:color w:val="auto"/>
        </w:rPr>
      </w:pPr>
      <w:r>
        <w:rPr>
          <w:rFonts w:ascii="Times New Roman" w:cs="Times New Roman" w:eastAsia="Times New Roman" w:hAnsi="Times New Roman"/>
          <w:sz w:val="22"/>
          <w:szCs w:val="22"/>
          <w:color w:val="auto"/>
        </w:rPr>
        <w:t>The undersigned hereby respectively pledges and grants a security interest in the Pledged Equity that it owns as described in Appendix A hereto and agrees that Schedule 1, Part 2 – Pledged Equity of the Pledge Agreement is hereby supplemented by adding thereto the information listed on Appendix A.</w:t>
      </w:r>
    </w:p>
    <w:p>
      <w:pPr>
        <w:spacing w:after="0" w:line="200" w:lineRule="exact"/>
        <w:rPr>
          <w:sz w:val="20"/>
          <w:szCs w:val="20"/>
          <w:color w:val="auto"/>
        </w:rPr>
      </w:pPr>
    </w:p>
    <w:p>
      <w:pPr>
        <w:spacing w:after="0" w:line="2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SkyHigh Murals – Colossal Media, LLC, Issuee</w:t>
      </w:r>
    </w:p>
    <w:p>
      <w:pPr>
        <w:spacing w:after="0" w:line="200" w:lineRule="exact"/>
        <w:rPr>
          <w:sz w:val="20"/>
          <w:szCs w:val="20"/>
          <w:color w:val="auto"/>
        </w:rPr>
      </w:pPr>
    </w:p>
    <w:p>
      <w:pPr>
        <w:spacing w:after="0" w:line="344"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201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2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8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Jay L. Johnson, Executive Vice-President, Chief Financial Officer,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Treasurer</w:t>
      </w:r>
    </w:p>
    <w:p>
      <w:pPr>
        <w:sectPr>
          <w:pgSz w:w="11900" w:h="16838" w:orient="portrait"/>
          <w:cols w:equalWidth="0" w:num="1">
            <w:col w:w="11240"/>
          </w:cols>
          <w:pgMar w:left="320" w:top="1422"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LAMAR ADVERTISING COMPANY</w:t>
      </w:r>
    </w:p>
    <w:p>
      <w:pPr>
        <w:spacing w:after="0" w:line="16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Policy on</w:t>
      </w:r>
    </w:p>
    <w:p>
      <w:pPr>
        <w:spacing w:after="0" w:line="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Securities Trading</w:t>
      </w:r>
    </w:p>
    <w:p>
      <w:pPr>
        <w:spacing w:after="0" w:line="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 Information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 is against Lamar Advertising Company policy for any person associated with Lamar Advertising Company to:</w:t>
      </w:r>
    </w:p>
    <w:p>
      <w:pPr>
        <w:spacing w:after="0" w:line="112" w:lineRule="exact"/>
        <w:rPr>
          <w:sz w:val="20"/>
          <w:szCs w:val="20"/>
          <w:color w:val="auto"/>
        </w:rPr>
      </w:pPr>
    </w:p>
    <w:p>
      <w:pPr>
        <w:ind w:left="340" w:right="380" w:hanging="332"/>
        <w:spacing w:after="0" w:line="262" w:lineRule="auto"/>
        <w:tabs>
          <w:tab w:leader="none" w:pos="335"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Buy or sell Lamar Advertising Company Class A common stock or other securities (including puts and calls) when you know of material inside information about Lamar Advertising Company (“insider trading”).</w:t>
      </w:r>
    </w:p>
    <w:p>
      <w:pPr>
        <w:spacing w:after="0" w:line="163" w:lineRule="exact"/>
        <w:rPr>
          <w:rFonts w:ascii="Times New Roman" w:cs="Times New Roman" w:eastAsia="Times New Roman" w:hAnsi="Times New Roman"/>
          <w:sz w:val="22"/>
          <w:szCs w:val="22"/>
          <w:b w:val="1"/>
          <w:bCs w:val="1"/>
          <w:color w:val="auto"/>
        </w:rPr>
      </w:pPr>
    </w:p>
    <w:p>
      <w:pPr>
        <w:ind w:left="340" w:right="540" w:hanging="332"/>
        <w:spacing w:after="0" w:line="275" w:lineRule="auto"/>
        <w:tabs>
          <w:tab w:leader="none" w:pos="335"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Disclose any “inside information” relating to Lamar Advertising Company to anyone outside Lamar Advertising Company unless authorized to do so by our Statement of Disclosure Policy and Practices.</w:t>
      </w:r>
    </w:p>
    <w:p>
      <w:pPr>
        <w:spacing w:after="0" w:line="41"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22"/>
          <w:szCs w:val="22"/>
          <w:b w:val="1"/>
          <w:bCs w:val="1"/>
          <w:color w:val="auto"/>
        </w:rPr>
        <w:t>It is also a criminal offense to buy or sell our securities when you know of inside information about Lamar Advertising Company or to disclose our inside information to anyone else if it is reasonably foreseeable that the person will trade in our securities. In addition to disciplinary procedures by Lamar Advertising Company for violating this policy, these actions may expose you to significant legal penalties.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We have adopted this policy in response to the law and to protect Lamar Advertising Company. We have all worked hard to establish our reputation for integrity and ethical conduct and cannot afford to have it damaged.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is covered by this policy?</w:t>
      </w:r>
    </w:p>
    <w:p>
      <w:pPr>
        <w:spacing w:after="0" w:line="212"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This policy applies to all employees, officers and directors of Lamar Advertising Company and all consultants to Lamar Advertising Company. It also applies to family members and others living in your household who may learn inside information. You are responsible for their compliance.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“material inside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inside information is information that:</w:t>
      </w:r>
    </w:p>
    <w:p>
      <w:pPr>
        <w:spacing w:after="0" w:line="94"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has not been disclosed publicly (“inside information”); </w:t>
      </w:r>
      <w:r>
        <w:rPr>
          <w:rFonts w:ascii="Times New Roman" w:cs="Times New Roman" w:eastAsia="Times New Roman" w:hAnsi="Times New Roman"/>
          <w:sz w:val="22"/>
          <w:szCs w:val="22"/>
          <w:i w:val="1"/>
          <w:iCs w:val="1"/>
          <w:color w:val="auto"/>
        </w:rPr>
        <w:t>and</w:t>
      </w:r>
    </w:p>
    <w:p>
      <w:pPr>
        <w:spacing w:after="0" w:line="129" w:lineRule="exact"/>
        <w:rPr>
          <w:rFonts w:ascii="Times New Roman" w:cs="Times New Roman" w:eastAsia="Times New Roman" w:hAnsi="Times New Roman"/>
          <w:sz w:val="22"/>
          <w:szCs w:val="22"/>
          <w:b w:val="1"/>
          <w:bCs w:val="1"/>
          <w:color w:val="auto"/>
        </w:rPr>
      </w:pPr>
    </w:p>
    <w:p>
      <w:pPr>
        <w:ind w:left="340" w:right="280" w:hanging="332"/>
        <w:spacing w:after="0" w:line="271" w:lineRule="auto"/>
        <w:tabs>
          <w:tab w:leader="none" w:pos="335"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is “material;” i.e., it could be expected to affect the price of our securities or an investor’s decision about buying or selling our stock or our other securities.</w:t>
      </w:r>
    </w:p>
    <w:p>
      <w:pPr>
        <w:sectPr>
          <w:pgSz w:w="11900" w:h="16838" w:orient="portrait"/>
          <w:cols w:equalWidth="0" w:num="1">
            <w:col w:w="11240"/>
          </w:cols>
          <w:pgMar w:left="320" w:top="118"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20"/>
        <w:spacing w:after="0" w:line="379" w:lineRule="auto"/>
        <w:rPr>
          <w:sz w:val="20"/>
          <w:szCs w:val="20"/>
          <w:color w:val="auto"/>
        </w:rPr>
      </w:pPr>
      <w:r>
        <w:rPr>
          <w:rFonts w:ascii="Times New Roman" w:cs="Times New Roman" w:eastAsia="Times New Roman" w:hAnsi="Times New Roman"/>
          <w:sz w:val="22"/>
          <w:szCs w:val="22"/>
          <w:color w:val="auto"/>
        </w:rPr>
        <w:t xml:space="preserve">Examples of “material” information are given at the end of this policy statement. </w:t>
      </w:r>
      <w:r>
        <w:rPr>
          <w:rFonts w:ascii="Times New Roman" w:cs="Times New Roman" w:eastAsia="Times New Roman" w:hAnsi="Times New Roman"/>
          <w:sz w:val="22"/>
          <w:szCs w:val="22"/>
          <w:b w:val="1"/>
          <w:bCs w:val="1"/>
          <w:i w:val="1"/>
          <w:iCs w:val="1"/>
          <w:color w:val="auto"/>
        </w:rPr>
        <w:t>Information about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companies</w:t>
      </w:r>
    </w:p>
    <w:p>
      <w:pPr>
        <w:spacing w:after="0" w:line="98"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22"/>
          <w:szCs w:val="22"/>
          <w:color w:val="auto"/>
        </w:rPr>
        <w:t>This policy also applies to material inside information about other companies with which Lamar Advertising Company is negotiating or does business. You may not trade in the securities of any such company if you have material inside information about it, nor may you disclose any such material inside information to others.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Consequences of violating this policy</w:t>
      </w:r>
    </w:p>
    <w:p>
      <w:pPr>
        <w:spacing w:after="0" w:line="239" w:lineRule="exact"/>
        <w:rPr>
          <w:sz w:val="20"/>
          <w:szCs w:val="20"/>
          <w:color w:val="auto"/>
        </w:rPr>
      </w:pPr>
    </w:p>
    <w:p>
      <w:pPr>
        <w:ind w:left="340" w:right="380" w:hanging="332"/>
        <w:spacing w:after="0" w:line="258" w:lineRule="auto"/>
        <w:tabs>
          <w:tab w:leader="none" w:pos="335"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view of the seriousness of this subject, Lamar Advertising Company will discipline any person who violates this policy by any appropriate means, including dismissal for cause.</w:t>
      </w:r>
    </w:p>
    <w:p>
      <w:pPr>
        <w:spacing w:after="0" w:line="77" w:lineRule="exact"/>
        <w:rPr>
          <w:rFonts w:ascii="Times New Roman" w:cs="Times New Roman" w:eastAsia="Times New Roman" w:hAnsi="Times New Roman"/>
          <w:sz w:val="22"/>
          <w:szCs w:val="22"/>
          <w:b w:val="1"/>
          <w:bCs w:val="1"/>
          <w:color w:val="auto"/>
        </w:rPr>
      </w:pPr>
    </w:p>
    <w:p>
      <w:pPr>
        <w:ind w:left="340" w:right="360" w:hanging="332"/>
        <w:spacing w:after="0" w:line="244" w:lineRule="auto"/>
        <w:tabs>
          <w:tab w:leader="none" w:pos="335"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Federal law imposes civil and criminal penalties (including fines up to $5 million and jail terms up to 20 years) for insider trading or disclosing our inside information to anyone else if it is reasonably foreseeable that the person will trade in our securities (“tipping”).</w:t>
      </w:r>
    </w:p>
    <w:p>
      <w:pPr>
        <w:spacing w:after="0" w:line="92" w:lineRule="exact"/>
        <w:rPr>
          <w:rFonts w:ascii="Times New Roman" w:cs="Times New Roman" w:eastAsia="Times New Roman" w:hAnsi="Times New Roman"/>
          <w:sz w:val="22"/>
          <w:szCs w:val="22"/>
          <w:b w:val="1"/>
          <w:bCs w:val="1"/>
          <w:color w:val="auto"/>
        </w:rPr>
      </w:pPr>
    </w:p>
    <w:p>
      <w:pPr>
        <w:jc w:val="both"/>
        <w:ind w:left="340" w:right="180" w:hanging="332"/>
        <w:spacing w:after="0" w:line="282" w:lineRule="auto"/>
        <w:tabs>
          <w:tab w:leader="none" w:pos="335"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addition, Lamar Advertising Company and any supervisor of an employee who trades with material inside information or engages in tipping may face civil and criminal penalties if we or the supervisor failed to take appropriate steps to prevent it.</w:t>
      </w:r>
    </w:p>
    <w:p>
      <w:pPr>
        <w:spacing w:after="0" w:line="135" w:lineRule="exact"/>
        <w:rPr>
          <w:sz w:val="20"/>
          <w:szCs w:val="20"/>
          <w:color w:val="auto"/>
        </w:rPr>
      </w:pPr>
    </w:p>
    <w:p>
      <w:pPr>
        <w:ind w:right="800"/>
        <w:spacing w:after="0" w:line="271" w:lineRule="auto"/>
        <w:rPr>
          <w:sz w:val="20"/>
          <w:szCs w:val="20"/>
          <w:color w:val="auto"/>
        </w:rPr>
      </w:pPr>
      <w:r>
        <w:rPr>
          <w:rFonts w:ascii="Times New Roman" w:cs="Times New Roman" w:eastAsia="Times New Roman" w:hAnsi="Times New Roman"/>
          <w:sz w:val="22"/>
          <w:szCs w:val="22"/>
          <w:color w:val="auto"/>
        </w:rPr>
        <w:t>Any of these consequences, and even an investigation that does not result in prosecution, can tarnish your reputation and irreparably damage you and Lamar Advertising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Timing of securities transactions</w:t>
      </w:r>
    </w:p>
    <w:p>
      <w:pPr>
        <w:spacing w:after="0" w:line="226"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1"/>
          <w:szCs w:val="21"/>
          <w:color w:val="auto"/>
        </w:rPr>
        <w:t xml:space="preserve">If you know of material inside information about Lamar Advertising Company, you may not engage in any transaction in our securities until at least 48 hours after the information is publicly announced </w:t>
      </w:r>
      <w:r>
        <w:rPr>
          <w:rFonts w:ascii="Times New Roman" w:cs="Times New Roman" w:eastAsia="Times New Roman" w:hAnsi="Times New Roman"/>
          <w:sz w:val="21"/>
          <w:szCs w:val="21"/>
          <w:i w:val="1"/>
          <w:iCs w:val="1"/>
          <w:color w:val="auto"/>
        </w:rPr>
        <w:t>and</w:t>
      </w:r>
      <w:r>
        <w:rPr>
          <w:rFonts w:ascii="Times New Roman" w:cs="Times New Roman" w:eastAsia="Times New Roman" w:hAnsi="Times New Roman"/>
          <w:sz w:val="21"/>
          <w:szCs w:val="21"/>
          <w:color w:val="auto"/>
        </w:rPr>
        <w:t xml:space="preserve"> you do not know of any other material inside information. If the information relates to our financial performance, you must wait until at least 48 hours after we issue our quarterly earnings release. The release of earnings will typically occur during February, May, August and November.</w:t>
      </w:r>
    </w:p>
    <w:p>
      <w:pPr>
        <w:spacing w:after="0" w:line="159"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22"/>
          <w:szCs w:val="22"/>
          <w:color w:val="auto"/>
        </w:rPr>
        <w:t xml:space="preserve">There is only one exception to these timing requirements. You may make transactions at any time if you do so in compliance with a plan that meets the requirements of Securities and Exchange Commission (SEC) Rule 10b5-1 </w:t>
      </w:r>
      <w:r>
        <w:rPr>
          <w:rFonts w:ascii="Times New Roman" w:cs="Times New Roman" w:eastAsia="Times New Roman" w:hAnsi="Times New Roman"/>
          <w:sz w:val="22"/>
          <w:szCs w:val="22"/>
          <w:b w:val="1"/>
          <w:bCs w:val="1"/>
          <w:i w:val="1"/>
          <w:iCs w:val="1"/>
          <w:color w:val="auto"/>
        </w:rPr>
        <w:t>and</w:t>
      </w:r>
      <w:r>
        <w:rPr>
          <w:rFonts w:ascii="Times New Roman" w:cs="Times New Roman" w:eastAsia="Times New Roman" w:hAnsi="Times New Roman"/>
          <w:sz w:val="22"/>
          <w:szCs w:val="22"/>
          <w:color w:val="auto"/>
        </w:rPr>
        <w:t xml:space="preserve"> was previously approved by our General Counsel or Chief Financial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Quarterly blackout periods-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applicable to directors, executive officers, and certain designated employees only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Directors, executive officers and certain employees of Lamar Advertising Company are subject to a special restriction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Directors, executive officers and employees with regular access to material non-public information, as designated by Lamar Advertising Company from time to time, may not engage in any transactions in our securities (other than acquisitions directly from Lamar Advertising Company) during “blackout periods” that cover the last day of the month ending each calendar quarter (i.e., March, June, September, and December) and the period from the end of that quarter until 48 hours after the quarterly earnings release.</w:t>
      </w:r>
    </w:p>
    <w:p>
      <w:pPr>
        <w:sectPr>
          <w:pgSz w:w="11900" w:h="16838" w:orient="portrait"/>
          <w:cols w:equalWidth="0" w:num="1">
            <w:col w:w="11240"/>
          </w:cols>
          <w:pgMar w:left="320" w:top="118"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920"/>
        <w:spacing w:after="0" w:line="258" w:lineRule="auto"/>
        <w:rPr>
          <w:sz w:val="20"/>
          <w:szCs w:val="20"/>
          <w:color w:val="auto"/>
        </w:rPr>
      </w:pPr>
      <w:r>
        <w:rPr>
          <w:rFonts w:ascii="Times New Roman" w:cs="Times New Roman" w:eastAsia="Times New Roman" w:hAnsi="Times New Roman"/>
          <w:sz w:val="22"/>
          <w:szCs w:val="22"/>
          <w:color w:val="auto"/>
        </w:rPr>
        <w:t>The only exception to the blackout period restriction is for transactions pursuant to a Rule 10b5-1 plan established with the approval of our General Counsel.</w:t>
      </w:r>
    </w:p>
    <w:p>
      <w:pPr>
        <w:spacing w:after="0" w:line="158"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Lamar Advertising Company reserves the right to publicly announce Rule 10b5-1 plans and purchases and sales made under those plans if we determine it advisable to do so in order to minimize adverse reaction to insider sales activity.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Pre-clearance requirement--applicable to directors and executive officers</w:t>
      </w:r>
    </w:p>
    <w:p>
      <w:pPr>
        <w:spacing w:after="0" w:line="185"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2"/>
          <w:szCs w:val="22"/>
          <w:color w:val="auto"/>
        </w:rPr>
        <w:t xml:space="preserve">In order to avoid inadvertent insider trading violations and to promote compliance with SEC reporting requirements, directors and executive officers </w:t>
      </w:r>
      <w:r>
        <w:rPr>
          <w:rFonts w:ascii="Times New Roman" w:cs="Times New Roman" w:eastAsia="Times New Roman" w:hAnsi="Times New Roman"/>
          <w:sz w:val="22"/>
          <w:szCs w:val="22"/>
          <w:b w:val="1"/>
          <w:bCs w:val="1"/>
          <w:i w:val="1"/>
          <w:iCs w:val="1"/>
          <w:color w:val="auto"/>
        </w:rPr>
        <w:t>may not purchase or sell any Lamar Advertising Company security without first obtaining approval</w:t>
      </w:r>
      <w:r>
        <w:rPr>
          <w:rFonts w:ascii="Times New Roman" w:cs="Times New Roman" w:eastAsia="Times New Roman" w:hAnsi="Times New Roman"/>
          <w:sz w:val="22"/>
          <w:szCs w:val="22"/>
          <w:color w:val="auto"/>
        </w:rPr>
        <w:t xml:space="preserve"> for such transaction from our General Counsel or Chief Financial Officer or, in the case of the Chief Financial Officer, from our Chief Executive Officer. Purchases directly from Lamar Advertising Company are exempt from this requirement. Any such approval is effective only for the day for which it is granted. The approving officer’s decision is final. Lamar Advertising Company will not bear any losses resulting in personal accounts through the implementation of this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Shares acquired from Lamar Advertising Company</w:t>
      </w:r>
    </w:p>
    <w:p>
      <w:pPr>
        <w:spacing w:after="0" w:line="195" w:lineRule="exact"/>
        <w:rPr>
          <w:sz w:val="20"/>
          <w:szCs w:val="20"/>
          <w:color w:val="auto"/>
        </w:rPr>
      </w:pPr>
    </w:p>
    <w:p>
      <w:pPr>
        <w:jc w:val="both"/>
        <w:ind w:right="280"/>
        <w:spacing w:after="0" w:line="252" w:lineRule="auto"/>
        <w:rPr>
          <w:sz w:val="20"/>
          <w:szCs w:val="20"/>
          <w:color w:val="auto"/>
        </w:rPr>
      </w:pPr>
      <w:r>
        <w:rPr>
          <w:rFonts w:ascii="Times New Roman" w:cs="Times New Roman" w:eastAsia="Times New Roman" w:hAnsi="Times New Roman"/>
          <w:sz w:val="22"/>
          <w:szCs w:val="22"/>
          <w:color w:val="auto"/>
        </w:rPr>
        <w:t xml:space="preserve">These restrictions on timing of securities transactions do not apply to the acquisition of shares </w:t>
      </w:r>
      <w:r>
        <w:rPr>
          <w:rFonts w:ascii="Times New Roman" w:cs="Times New Roman" w:eastAsia="Times New Roman" w:hAnsi="Times New Roman"/>
          <w:sz w:val="22"/>
          <w:szCs w:val="22"/>
          <w:i w:val="1"/>
          <w:iCs w:val="1"/>
          <w:color w:val="auto"/>
        </w:rPr>
        <w:t>directly from</w:t>
      </w:r>
      <w:r>
        <w:rPr>
          <w:rFonts w:ascii="Times New Roman" w:cs="Times New Roman" w:eastAsia="Times New Roman" w:hAnsi="Times New Roman"/>
          <w:sz w:val="22"/>
          <w:szCs w:val="22"/>
          <w:color w:val="auto"/>
        </w:rPr>
        <w:t xml:space="preserve"> Lamar Advertising Company itself, such as a purchase under our Employee Stock Purchase Plan or a stock option exercise.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any sale of those shares is restricted by this policy.</w:t>
      </w:r>
    </w:p>
    <w:p>
      <w:pPr>
        <w:spacing w:after="0" w:line="189" w:lineRule="exact"/>
        <w:rPr>
          <w:sz w:val="20"/>
          <w:szCs w:val="20"/>
          <w:color w:val="auto"/>
        </w:rPr>
      </w:pPr>
    </w:p>
    <w:p>
      <w:pPr>
        <w:ind w:right="740"/>
        <w:spacing w:after="0" w:line="262" w:lineRule="auto"/>
        <w:rPr>
          <w:sz w:val="20"/>
          <w:szCs w:val="20"/>
          <w:color w:val="auto"/>
        </w:rPr>
      </w:pPr>
      <w:r>
        <w:rPr>
          <w:rFonts w:ascii="Times New Roman" w:cs="Times New Roman" w:eastAsia="Times New Roman" w:hAnsi="Times New Roman"/>
          <w:sz w:val="22"/>
          <w:szCs w:val="22"/>
          <w:b w:val="1"/>
          <w:bCs w:val="1"/>
          <w:color w:val="auto"/>
        </w:rPr>
        <w:t>There are no exceptions to this insider trading policy, even for transactions that may be necessary for independent reasons (such as the need to raise money for an emergency).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Restrictions on disclosure of material inside information</w:t>
      </w:r>
    </w:p>
    <w:p>
      <w:pPr>
        <w:spacing w:after="0" w:line="212"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22"/>
          <w:szCs w:val="22"/>
          <w:color w:val="auto"/>
        </w:rPr>
        <w:t>This policy prohibits disclosing material inside information relating to Lamar Advertising Company to anyone outside Lamar Advertising Company unless authorized to do so by our Disclosure Policy and Practices. Unauthorized disclosures may:</w:t>
      </w:r>
    </w:p>
    <w:p>
      <w:pPr>
        <w:spacing w:after="0" w:line="87"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Harm Lamar Advertising Company because they reveal our confidential, proprietary information to competitors,</w:t>
      </w:r>
    </w:p>
    <w:p>
      <w:pPr>
        <w:spacing w:after="0" w:line="98"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Be considered illegal “tipping” for which you may have criminal liability, or</w:t>
      </w:r>
    </w:p>
    <w:p>
      <w:pPr>
        <w:spacing w:after="0" w:line="111" w:lineRule="exact"/>
        <w:rPr>
          <w:rFonts w:ascii="Times New Roman" w:cs="Times New Roman" w:eastAsia="Times New Roman" w:hAnsi="Times New Roman"/>
          <w:sz w:val="22"/>
          <w:szCs w:val="22"/>
          <w:b w:val="1"/>
          <w:bCs w:val="1"/>
          <w:color w:val="auto"/>
        </w:rPr>
      </w:pPr>
    </w:p>
    <w:p>
      <w:pPr>
        <w:ind w:left="320" w:hanging="312"/>
        <w:spacing w:after="0"/>
        <w:tabs>
          <w:tab w:leader="none" w:pos="3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Violate SEC rules against selective disclosure of material inside information.</w:t>
      </w:r>
    </w:p>
    <w:p>
      <w:pPr>
        <w:spacing w:after="0" w:line="2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Our Disclosure Policy and Practices authorizes only certain officers to speak for Lamar Advertising Company. As stated in more detail in that policy, (1) you must refer all inquiries from the media or investors to certain authorized individuals and (2) you must review the substance of all information that will be presented at trade or investor conferences internally with company management.</w:t>
      </w:r>
    </w:p>
    <w:p>
      <w:pPr>
        <w:spacing w:after="0" w:line="173"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22"/>
          <w:szCs w:val="22"/>
          <w:color w:val="auto"/>
        </w:rPr>
        <w:t>Material inside information should be secured. For example, access to files containing material, nonpublic information and computer files containing such information should be restricted, and conversations containing such information, if appropriate at all, should be conducted in private (for example, not by cellular telephone, to avoid potential interception).</w:t>
      </w:r>
    </w:p>
    <w:p>
      <w:pPr>
        <w:sectPr>
          <w:pgSz w:w="11900" w:h="16838" w:orient="portrait"/>
          <w:cols w:equalWidth="0" w:num="1">
            <w:col w:w="11240"/>
          </w:cols>
          <w:pgMar w:left="320" w:top="118"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Examples of “material”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examples of information that is frequently regarded as material include information relating to:</w:t>
      </w:r>
    </w:p>
    <w:p>
      <w:pPr>
        <w:spacing w:after="0" w:line="11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earnings or losses that are higher or lower than generally expected by the investment community</w:t>
      </w:r>
    </w:p>
    <w:p>
      <w:pPr>
        <w:spacing w:after="0" w:line="246"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other qualitative or financial information relating to quarterly results</w:t>
      </w:r>
    </w:p>
    <w:p>
      <w:pPr>
        <w:spacing w:after="0" w:line="260"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in-progress major sales or strategic deals or the loss of such deals</w:t>
      </w:r>
    </w:p>
    <w:p>
      <w:pPr>
        <w:spacing w:after="0" w:line="260"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sales “pipeline”</w:t>
      </w:r>
    </w:p>
    <w:p>
      <w:pPr>
        <w:spacing w:after="0" w:line="260"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hard predictions about the significance of announced strategic/operational/product initiatives</w:t>
      </w:r>
    </w:p>
    <w:p>
      <w:pPr>
        <w:spacing w:after="0" w:line="273"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proposed merger or acquisition, joint venture or a sale of part of our business</w:t>
      </w:r>
    </w:p>
    <w:p>
      <w:pPr>
        <w:spacing w:after="0" w:line="233"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proposed public offering of our securities</w:t>
      </w:r>
    </w:p>
    <w:p>
      <w:pPr>
        <w:spacing w:after="0" w:line="260" w:lineRule="exact"/>
        <w:rPr>
          <w:rFonts w:ascii="Times New Roman" w:cs="Times New Roman" w:eastAsia="Times New Roman" w:hAnsi="Times New Roman"/>
          <w:sz w:val="22"/>
          <w:szCs w:val="22"/>
          <w:b w:val="1"/>
          <w:bCs w:val="1"/>
          <w:color w:val="auto"/>
        </w:rPr>
      </w:pPr>
    </w:p>
    <w:p>
      <w:pPr>
        <w:ind w:left="660" w:right="400" w:hanging="328"/>
        <w:spacing w:after="0" w:line="271" w:lineRule="auto"/>
        <w:tabs>
          <w:tab w:leader="none" w:pos="655"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other events regarding the Company’s securities, such as a default on senior securities, stock repurchases, stock splits, dividends, recapitalizations or sales of additional securities.</w:t>
      </w:r>
    </w:p>
    <w:p>
      <w:pPr>
        <w:spacing w:after="0" w:line="198"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change in control of the Company</w:t>
      </w:r>
    </w:p>
    <w:p>
      <w:pPr>
        <w:spacing w:after="0" w:line="246"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change in management</w:t>
      </w:r>
    </w:p>
    <w:p>
      <w:pPr>
        <w:spacing w:after="0" w:line="260"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significant new products, services or discoveries</w:t>
      </w:r>
    </w:p>
    <w:p>
      <w:pPr>
        <w:spacing w:after="0" w:line="273"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pending regulatory action</w:t>
      </w:r>
    </w:p>
    <w:p>
      <w:pPr>
        <w:spacing w:after="0" w:line="260"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impending financial or liquidity problems</w:t>
      </w:r>
    </w:p>
    <w:p>
      <w:pPr>
        <w:spacing w:after="0" w:line="246"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change in auditors or withdrawal of audit reports</w:t>
      </w:r>
    </w:p>
    <w:p>
      <w:pPr>
        <w:spacing w:after="0" w:line="260"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Other types of information may also be material; this should not be regarded as a complete list of all information that might be considered “material” information regarding Lamar Advertising Company or any other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Implementation of this policy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Lamar Advertising Company requires each employee to certify that s/he has read and will comply with this policy.</w:t>
      </w:r>
    </w:p>
    <w:p>
      <w:pPr>
        <w:spacing w:after="0" w:line="220" w:lineRule="exact"/>
        <w:rPr>
          <w:sz w:val="20"/>
          <w:szCs w:val="20"/>
          <w:color w:val="auto"/>
        </w:rPr>
      </w:pPr>
    </w:p>
    <w:p>
      <w:pPr>
        <w:ind w:right="1380"/>
        <w:spacing w:after="0" w:line="258" w:lineRule="auto"/>
        <w:rPr>
          <w:sz w:val="20"/>
          <w:szCs w:val="20"/>
          <w:color w:val="auto"/>
        </w:rPr>
      </w:pPr>
      <w:r>
        <w:rPr>
          <w:rFonts w:ascii="Times New Roman" w:cs="Times New Roman" w:eastAsia="Times New Roman" w:hAnsi="Times New Roman"/>
          <w:sz w:val="22"/>
          <w:szCs w:val="22"/>
          <w:color w:val="auto"/>
        </w:rPr>
        <w:t>If you have questions about a specific transaction or situation, you may obtain additional guidance from our Chief Financial Officer.</w:t>
      </w:r>
    </w:p>
    <w:p>
      <w:pPr>
        <w:sectPr>
          <w:pgSz w:w="11900" w:h="16838" w:orient="portrait"/>
          <w:cols w:equalWidth="0" w:num="1">
            <w:col w:w="11240"/>
          </w:cols>
          <w:pgMar w:left="320" w:top="118"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0"/>
          <w:szCs w:val="20"/>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Company Policy on Communications</w:t>
      </w:r>
    </w:p>
    <w:p>
      <w:pPr>
        <w:spacing w:after="0" w:line="199"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2"/>
          <w:szCs w:val="22"/>
          <w:color w:val="auto"/>
        </w:rPr>
        <w:t>It is against the law and Lamar Advertising Company policy for any person acting on behalf of Lamar Advertising Company to selectively disclose material nonpublic information to securities professionals (including, for example, buy and sell-side analysts, institutional investment managers and investment companies) or to stockholders of Lamar Advertising Company under circumstances where it is reasonably foreseeable that the stockholder may be likely to trade on the basis of such information, unless the information is simultaneously disclosed to the public generally.</w:t>
      </w:r>
    </w:p>
    <w:p>
      <w:pPr>
        <w:spacing w:after="0" w:line="183" w:lineRule="exact"/>
        <w:rPr>
          <w:sz w:val="20"/>
          <w:szCs w:val="20"/>
          <w:color w:val="auto"/>
        </w:rPr>
      </w:pPr>
    </w:p>
    <w:p>
      <w:pPr>
        <w:ind w:right="1920"/>
        <w:spacing w:after="0" w:line="258" w:lineRule="auto"/>
        <w:rPr>
          <w:sz w:val="20"/>
          <w:szCs w:val="20"/>
          <w:color w:val="auto"/>
        </w:rPr>
      </w:pPr>
      <w:r>
        <w:rPr>
          <w:rFonts w:ascii="Times New Roman" w:cs="Times New Roman" w:eastAsia="Times New Roman" w:hAnsi="Times New Roman"/>
          <w:sz w:val="22"/>
          <w:szCs w:val="22"/>
          <w:color w:val="auto"/>
        </w:rPr>
        <w:t>Lamar Advertising Company has adopted a Statement of Disclosure Policy and Practices implementing this communications policy.</w:t>
      </w:r>
    </w:p>
    <w:p>
      <w:pPr>
        <w:sectPr>
          <w:pgSz w:w="11900" w:h="16838" w:orient="portrait"/>
          <w:cols w:equalWidth="0" w:num="1">
            <w:col w:w="11240"/>
          </w:cols>
          <w:pgMar w:left="320" w:top="118"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21(a)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 OF LAMAR ADVERTISING</w:t>
            </w:r>
          </w:p>
        </w:tc>
        <w:tc>
          <w:tcPr>
            <w:tcW w:w="0" w:type="dxa"/>
            <w:vAlign w:val="bottom"/>
          </w:tcPr>
          <w:p>
            <w:pPr>
              <w:spacing w:after="0"/>
              <w:rPr>
                <w:sz w:val="1"/>
                <w:szCs w:val="1"/>
                <w:color w:val="auto"/>
              </w:rPr>
            </w:pPr>
          </w:p>
        </w:tc>
      </w:tr>
      <w:tr>
        <w:trPr>
          <w:trHeight w:val="354"/>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158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0" w:type="dxa"/>
            <w:vAlign w:val="bottom"/>
          </w:tcPr>
          <w:p>
            <w:pPr>
              <w:spacing w:after="0"/>
              <w:rPr>
                <w:sz w:val="1"/>
                <w:szCs w:val="1"/>
                <w:color w:val="auto"/>
              </w:rPr>
            </w:pPr>
          </w:p>
        </w:tc>
      </w:tr>
      <w:tr>
        <w:trPr>
          <w:trHeight w:val="23"/>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Lamar Media Corp.</w:t>
            </w:r>
          </w:p>
        </w:tc>
        <w:tc>
          <w:tcPr>
            <w:tcW w:w="1580" w:type="dxa"/>
            <w:vAlign w:val="bottom"/>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Alabama Logos, LLC</w:t>
            </w:r>
          </w:p>
        </w:tc>
        <w:tc>
          <w:tcPr>
            <w:tcW w:w="1580" w:type="dxa"/>
            <w:vAlign w:val="bottom"/>
          </w:tcPr>
          <w:p>
            <w:pPr>
              <w:spacing w:after="0"/>
              <w:rPr>
                <w:sz w:val="21"/>
                <w:szCs w:val="21"/>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Alabama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Arizona Logos,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Arizona</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Ashby Street Outdoor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Ashby Street Outdoor CC,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Ashby Street Outdoor Holdings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Canadian TODS Limited</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Nova Scotia, Canada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Colorado Logos,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Delaware Logos,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Douglas Outdoor Advertising of GA.,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Fairway CCO Indiana,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Fairway Media Group,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Fairway Outdoor Advertising,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Fairway Outdoor Funding,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Fairway Outdoor Funding Holdings,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Florida Logos,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FMO Real Estate,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Georgia Logos,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Georgia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Interstate Logos,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Interstate Logos TRS,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Kansas Logos,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Kentucky Logos,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Kentucky</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Advantage GP Company,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Advantage Holding Company,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Advantage LP Company,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Advantage Outdoor Company, L.P.</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General Partner,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Limited Partnership</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of Colorado Springs,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of Louisiana,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of Michigan,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of Penn,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of Puerto Rico, Inc.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Puerto Rico</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of South Dakota,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South Dakota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of Youngstown,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Advertising Southwest,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Air,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Airport Advertising Company</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Airport Advertising S/W Joint Venture</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Canada Holding Limited</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Canadian Outdoor Company</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Central Outdoor,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 Electrical, LLC</w:t>
            </w:r>
          </w:p>
        </w:tc>
        <w:tc>
          <w:tcPr>
            <w:tcW w:w="1580" w:type="dxa"/>
            <w:vAlign w:val="bottom"/>
          </w:tcPr>
          <w:p>
            <w:pPr>
              <w:spacing w:after="0"/>
              <w:rPr>
                <w:sz w:val="19"/>
                <w:szCs w:val="19"/>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Lamar-Fairway Blocker 1, LLC</w:t>
            </w:r>
          </w:p>
        </w:tc>
        <w:tc>
          <w:tcPr>
            <w:tcW w:w="1580" w:type="dxa"/>
            <w:vAlign w:val="bottom"/>
          </w:tcPr>
          <w:p>
            <w:pPr>
              <w:spacing w:after="0"/>
              <w:rPr>
                <w:sz w:val="20"/>
                <w:szCs w:val="20"/>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20"/>
          </w:cols>
          <w:pgMar w:left="340" w:top="954" w:right="339" w:bottom="1440" w:gutter="0" w:footer="0" w:header="0"/>
        </w:sectPr>
      </w:pPr>
    </w:p>
    <w:bookmarkStart w:id="210" w:name="page211"/>
    <w:bookmarkEnd w:id="2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2,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9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Florida,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Investments,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Obie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North,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South,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Ohio Outdoor Holding,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QRS Receivables,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Service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Tennessee,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Tennessee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Texas Limited Partnership</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Advertising Canada Ltd.</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Holdings,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Receivables,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 Interstate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Media/Lamar,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 Real Estate,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Maine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MCC Outdoor,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Mississippi</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Missouri</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Montana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Mexico</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OBCM,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Oklahoma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Olympus Media/Indiana,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Marketing Systems,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Pennsylvania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Promotions West,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QMC Transit, Inc.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Puerto Rico</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High Murals-Colossal Media,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Lamar Company,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Farms,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II,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Holdings,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Rhode Island,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20"/>
          </w:cols>
          <w:pgMar w:left="320" w:top="1012" w:right="35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9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26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Virginia</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 Logos, LLC</w:t>
            </w:r>
          </w:p>
        </w:tc>
        <w:tc>
          <w:tcPr>
            <w:tcW w:w="69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220"/>
          </w:cols>
          <w:pgMar w:left="320" w:top="1006" w:right="35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22(a)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 of Lamar Media Corp.</w:t>
      </w:r>
    </w:p>
    <w:p>
      <w:pPr>
        <w:spacing w:after="0" w:line="18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Lamar Media Corp. is the issuer of the (i) 3 3/4% Senior Notes due 2028, (ii) 4% Senior Notes due 2030, (iii) 4 7/8% Senior Notes due 2029 and (iv) 3 5/8% Senior Notes due 2031 (collectively, the “Notes”). The following subsidiaries are guarantors of these Notes as of the last day of the period covered by</w:t>
      </w:r>
    </w:p>
    <w:p>
      <w:pPr>
        <w:spacing w:after="0"/>
        <w:rPr>
          <w:sz w:val="20"/>
          <w:szCs w:val="20"/>
          <w:color w:val="auto"/>
        </w:rPr>
      </w:pPr>
      <w:r>
        <w:rPr>
          <w:rFonts w:ascii="Times New Roman" w:cs="Times New Roman" w:eastAsia="Times New Roman" w:hAnsi="Times New Roman"/>
          <w:sz w:val="18"/>
          <w:szCs w:val="18"/>
          <w:color w:val="auto"/>
        </w:rPr>
        <w:t>this report.</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54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58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Alabama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Alabama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CC,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Ashby Street Outdoor Holdings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Outdoor Advertising of GA.,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CCO Indiana,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Media Group,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Advertising,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Fairway Outdoor Funding Holdings,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Florida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FMO Real Estate,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Interstate Logos TRS,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Kansas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 Logos,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Kentucky</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GP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Holding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LP Company,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Advantage Outdoor Company, L.P.</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General Partner,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Limited Partnership</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Colorado Springs,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Colorado</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Louisiana,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Michigan,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Penn,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South Dakota,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South Dakota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of Youngstown,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Advertising Southwest,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Airport Advertising Company</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Nevada</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Central Outdoor,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Electrical,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1,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Lamar-Fairway Blocker 2,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Florida,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Florida</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Investments, LLC</w:t>
            </w:r>
          </w:p>
        </w:tc>
        <w:tc>
          <w:tcPr>
            <w:tcW w:w="6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954" w:right="33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Exact Name of Entity as Specified in its Charter</w:t>
            </w:r>
          </w:p>
        </w:tc>
        <w:tc>
          <w:tcPr>
            <w:tcW w:w="678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r>
      <w:tr>
        <w:trPr>
          <w:trHeight w:val="23"/>
        </w:trPr>
        <w:tc>
          <w:tcPr>
            <w:tcW w:w="4340" w:type="dxa"/>
            <w:vAlign w:val="bottom"/>
            <w:tcBorders>
              <w:bottom w:val="single" w:sz="8" w:color="auto"/>
            </w:tcBorders>
          </w:tcPr>
          <w:p>
            <w:pPr>
              <w:spacing w:after="0"/>
              <w:rPr>
                <w:sz w:val="2"/>
                <w:szCs w:val="2"/>
                <w:color w:val="auto"/>
              </w:rPr>
            </w:pPr>
          </w:p>
        </w:tc>
        <w:tc>
          <w:tcPr>
            <w:tcW w:w="6780" w:type="dxa"/>
            <w:vAlign w:val="bottom"/>
            <w:tcBorders>
              <w:bottom w:val="single" w:sz="8" w:color="auto"/>
            </w:tcBorders>
          </w:tcPr>
          <w:p>
            <w:pPr>
              <w:spacing w:after="0"/>
              <w:rPr>
                <w:sz w:val="2"/>
                <w:szCs w:val="2"/>
                <w:color w:val="auto"/>
              </w:rPr>
            </w:pP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Obie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North,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OCI South,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Ohio Outdoor Holding,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Service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Tennessee,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Tennessee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Texas Limited Partnership</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Transit,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Lamar TRS Holdings,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Louisiana Interstate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Media/Lamar,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Magic Media Real Estate,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Maine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MCC Outdoor,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Georgia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Mississippi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Mississippi</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Missouri</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Montana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Hampshire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Hampshire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Jersey</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Mexico</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OBCM,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Oklahoma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Olympus Media/Indiana,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Marketing Systems,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Pennsylvania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 Promotions West,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 High Murals-Colossal Media,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Carolina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Tennessee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Lamar Company,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Farms,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II,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 Properties,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Louisiana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Holdings,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Outdoor Rhode Island,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Virginia</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 Logos, LLC</w:t>
            </w:r>
          </w:p>
        </w:tc>
        <w:tc>
          <w:tcPr>
            <w:tcW w:w="67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Wisconsin</w:t>
            </w:r>
          </w:p>
        </w:tc>
      </w:tr>
    </w:tbl>
    <w:p>
      <w:pPr>
        <w:sectPr>
          <w:pgSz w:w="11900" w:h="16838" w:orient="portrait"/>
          <w:cols w:equalWidth="0" w:num="1">
            <w:col w:w="11120"/>
          </w:cols>
          <w:pgMar w:left="420" w:top="1006" w:right="35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23(a)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5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333-89034, 333-37858, 333-116008, 333-160945, 333-190603, 333-232687, 333-232686, and 333-270945) on Form S-8 and (No. 333-280976) on Form S-3 of Lamar Advertising Company and (Nos. 333-248598 and 333-257927) on Form S-4 of Lamar Media Corp. of our reports dated February 20, 2025, with respect to the consolidated financial statements of Lamar Advertising Company and Lamar Media Corp. and the effectiveness of internal control over financial reporting.</w:t>
      </w: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19202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2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KPMG LLP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Baton Rouge, Louisiana</w:t>
      </w:r>
    </w:p>
    <w:p>
      <w:pPr>
        <w:spacing w:after="0"/>
        <w:rPr>
          <w:sz w:val="20"/>
          <w:szCs w:val="20"/>
          <w:color w:val="auto"/>
        </w:rPr>
      </w:pPr>
      <w:r>
        <w:rPr>
          <w:rFonts w:ascii="Times New Roman" w:cs="Times New Roman" w:eastAsia="Times New Roman" w:hAnsi="Times New Roman"/>
          <w:sz w:val="18"/>
          <w:szCs w:val="18"/>
          <w:color w:val="auto"/>
        </w:rPr>
        <w:t>February 20, 2025</w:t>
      </w:r>
    </w:p>
    <w:p>
      <w:pPr>
        <w:sectPr>
          <w:pgSz w:w="11900" w:h="16838" w:orient="portrait"/>
          <w:cols w:equalWidth="0" w:num="1">
            <w:col w:w="11240"/>
          </w:cols>
          <w:pgMar w:left="320" w:top="954"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Reilly, certify that:</w:t>
      </w:r>
    </w:p>
    <w:p>
      <w:pPr>
        <w:spacing w:after="0" w:line="225" w:lineRule="exact"/>
        <w:rPr>
          <w:sz w:val="20"/>
          <w:szCs w:val="20"/>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annual report on Form 10-K of Lamar Advertising Company and Lamar Media Corp.;</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75" w:lineRule="exact"/>
        <w:rPr>
          <w:rFonts w:ascii="Times New Roman" w:cs="Times New Roman" w:eastAsia="Times New Roman" w:hAnsi="Times New Roman"/>
          <w:sz w:val="18"/>
          <w:szCs w:val="18"/>
          <w:color w:val="auto"/>
        </w:rPr>
      </w:pPr>
    </w:p>
    <w:p>
      <w:pPr>
        <w:ind w:left="1140" w:right="80" w:hanging="646"/>
        <w:spacing w:after="0" w:line="266" w:lineRule="auto"/>
        <w:tabs>
          <w:tab w:leader="none" w:pos="113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646"/>
        <w:spacing w:after="0" w:line="266" w:lineRule="auto"/>
        <w:tabs>
          <w:tab w:leader="none" w:pos="113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646"/>
        <w:spacing w:after="0" w:line="312" w:lineRule="auto"/>
        <w:tabs>
          <w:tab w:leader="none" w:pos="113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60" w:hanging="646"/>
        <w:spacing w:after="0" w:line="266" w:lineRule="auto"/>
        <w:tabs>
          <w:tab w:leader="none" w:pos="113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646"/>
        <w:spacing w:after="0" w:line="312" w:lineRule="auto"/>
        <w:tabs>
          <w:tab w:leader="none" w:pos="1137"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2025</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3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Sean E. Reilly</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 Lamar Advertising Company</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 Lamar Media Corp.</w:t>
      </w:r>
    </w:p>
    <w:p>
      <w:pPr>
        <w:sectPr>
          <w:pgSz w:w="11900" w:h="16838" w:orient="portrait"/>
          <w:cols w:equalWidth="0" w:num="1">
            <w:col w:w="11240"/>
          </w:cols>
          <w:pgMar w:left="320" w:top="1103"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L. Johnson, certify that:</w:t>
      </w:r>
    </w:p>
    <w:p>
      <w:pPr>
        <w:spacing w:after="0" w:line="225"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combined annual report on Form 10-K of Lamar Advertising Company and Lamar Media Corp.;</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75" w:lineRule="exact"/>
        <w:rPr>
          <w:rFonts w:ascii="Times New Roman" w:cs="Times New Roman" w:eastAsia="Times New Roman" w:hAnsi="Times New Roman"/>
          <w:sz w:val="18"/>
          <w:szCs w:val="18"/>
          <w:color w:val="auto"/>
        </w:rPr>
      </w:pPr>
    </w:p>
    <w:p>
      <w:pPr>
        <w:ind w:left="1140" w:right="80" w:hanging="646"/>
        <w:spacing w:after="0" w:line="266" w:lineRule="auto"/>
        <w:tabs>
          <w:tab w:leader="none" w:pos="113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646"/>
        <w:spacing w:after="0" w:line="266" w:lineRule="auto"/>
        <w:tabs>
          <w:tab w:leader="none" w:pos="113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646"/>
        <w:spacing w:after="0" w:line="312" w:lineRule="auto"/>
        <w:tabs>
          <w:tab w:leader="none" w:pos="113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60" w:hanging="646"/>
        <w:spacing w:after="0" w:line="266" w:lineRule="auto"/>
        <w:tabs>
          <w:tab w:leader="none" w:pos="113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620" w:hanging="646"/>
        <w:spacing w:after="0" w:line="312" w:lineRule="auto"/>
        <w:tabs>
          <w:tab w:leader="none" w:pos="1137"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140" w:right="300" w:hanging="646"/>
        <w:spacing w:after="0" w:line="282" w:lineRule="auto"/>
        <w:tabs>
          <w:tab w:leader="none" w:pos="113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2025</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3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Jay L. Johnson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Lamar Media Corp.</w:t>
      </w:r>
    </w:p>
    <w:p>
      <w:pPr>
        <w:sectPr>
          <w:pgSz w:w="11900" w:h="16838" w:orient="portrait"/>
          <w:cols w:equalWidth="0" w:num="1">
            <w:col w:w="11240"/>
          </w:cols>
          <w:pgMar w:left="320" w:top="1103"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ADVERTISING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LAMAR MEDIA CORP.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2024 fully complies with the requirements of Section 13(a) or 15(d) of the Securities Exchange Act of 1934 and that information contained in that combined Form 10-K fairly presents, in all material respects, the financial condition and results of operations of Lamar Advertising and Lamar Media.</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 2025</w:t>
            </w:r>
          </w:p>
        </w:tc>
        <w:tc>
          <w:tcPr>
            <w:tcW w:w="19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Reilly</w:t>
            </w:r>
          </w:p>
        </w:tc>
      </w:tr>
      <w:tr>
        <w:trPr>
          <w:trHeight w:val="218"/>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Reilly</w:t>
            </w:r>
          </w:p>
        </w:tc>
      </w:tr>
      <w:tr>
        <w:trPr>
          <w:trHeight w:val="230"/>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Lamar Advertising Company</w:t>
            </w:r>
          </w:p>
        </w:tc>
      </w:tr>
      <w:tr>
        <w:trPr>
          <w:trHeight w:val="234"/>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Lamar Media Corp.</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20, 2025</w:t>
            </w:r>
          </w:p>
        </w:tc>
        <w:tc>
          <w:tcPr>
            <w:tcW w:w="19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L. Johnson</w:t>
            </w:r>
          </w:p>
        </w:tc>
      </w:tr>
      <w:tr>
        <w:trPr>
          <w:trHeight w:val="218"/>
        </w:trPr>
        <w:tc>
          <w:tcPr>
            <w:tcW w:w="3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L. Johnson</w:t>
            </w:r>
          </w:p>
        </w:tc>
      </w:tr>
      <w:tr>
        <w:trPr>
          <w:trHeight w:val="229"/>
        </w:trPr>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Advertising Company</w:t>
            </w:r>
          </w:p>
        </w:tc>
      </w:tr>
      <w:tr>
        <w:trPr>
          <w:trHeight w:val="234"/>
        </w:trPr>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lvl w:ilvl="1">
      <w:lvlJc w:val="left"/>
      <w:lvlText w:val="x"/>
      <w:numFmt w:val="bullet"/>
      <w:start w:val="1"/>
    </w:lvl>
  </w:abstractNum>
  <w:abstractNum w:abstractNumId="1">
    <w:nsid w:val="7C3DBD3D"/>
    <w:multiLevelType w:val="hybridMultilevel"/>
    <w:lvl w:ilvl="0">
      <w:lvlJc w:val="left"/>
      <w:lvlText w:val="(%1)"/>
      <w:numFmt w:val="lowerRoman"/>
      <w:start w:val="9"/>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decimal"/>
      <w:start w:val="3"/>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lowerRoman"/>
      <w:start w:val="3"/>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lowerRoman"/>
      <w:start w:val="3"/>
    </w:lvl>
  </w:abstractNum>
  <w:abstractNum w:abstractNumId="25">
    <w:nsid w:val="2A487CB0"/>
    <w:multiLevelType w:val="hybridMultilevel"/>
    <w:lvl w:ilvl="0">
      <w:lvlJc w:val="left"/>
      <w:lvlText w:val="(%1)"/>
      <w:numFmt w:val="lowerRoman"/>
      <w:start w:val="3"/>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lowerRoman"/>
      <w:start w:val="3"/>
    </w:lvl>
  </w:abstractNum>
  <w:abstractNum w:abstractNumId="28">
    <w:nsid w:val="2CD89A32"/>
    <w:multiLevelType w:val="hybridMultilevel"/>
    <w:lvl w:ilvl="0">
      <w:lvlJc w:val="left"/>
      <w:lvlText w:val="(%1)"/>
      <w:numFmt w:val="lowerLetter"/>
      <w:start w:val="1"/>
    </w:lvl>
  </w:abstractNum>
  <w:abstractNum w:abstractNumId="29">
    <w:nsid w:val="57E4CCAF"/>
    <w:multiLevelType w:val="hybridMultilevel"/>
    <w:lvl w:ilvl="0">
      <w:lvlJc w:val="left"/>
      <w:lvlText w:val="(%1)"/>
      <w:numFmt w:val="lowerLetter"/>
      <w:start w:val="2"/>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4"/>
    </w:lvl>
  </w:abstractNum>
  <w:abstractNum w:abstractNumId="33">
    <w:nsid w:val="6DE91B18"/>
    <w:multiLevelType w:val="hybridMultilevel"/>
    <w:lvl w:ilvl="0">
      <w:lvlJc w:val="left"/>
      <w:lvlText w:val="(%1)"/>
      <w:numFmt w:val="decimal"/>
      <w:start w:val="7"/>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4"/>
    </w:lvl>
  </w:abstractNum>
  <w:abstractNum w:abstractNumId="37">
    <w:nsid w:val="684A481A"/>
    <w:multiLevelType w:val="hybridMultilevel"/>
    <w:lvl w:ilvl="0">
      <w:lvlJc w:val="left"/>
      <w:lvlText w:val="(%1)"/>
      <w:numFmt w:val="upperLetter"/>
      <w:start w:val="1"/>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1."/>
      <w:numFmt w:val="decimal"/>
      <w:start w:val="3"/>
    </w:lvl>
  </w:abstractNum>
  <w:abstractNum w:abstractNumId="40">
    <w:nsid w:val="3DC240FB"/>
    <w:multiLevelType w:val="hybridMultilevel"/>
    <w:lvl w:ilvl="0">
      <w:lvlJc w:val="left"/>
      <w:lvlText w:val="%1"/>
      <w:numFmt w:val="decimal"/>
      <w:start w:val="19"/>
    </w:lvl>
  </w:abstractNum>
  <w:abstractNum w:abstractNumId="41">
    <w:nsid w:val="1BA026FA"/>
    <w:multiLevelType w:val="hybridMultilevel"/>
    <w:lvl w:ilvl="0">
      <w:lvlJc w:val="left"/>
      <w:lvlText w:val="%1"/>
      <w:numFmt w:val="decimal"/>
      <w:start w:val="101"/>
    </w:lvl>
  </w:abstractNum>
  <w:abstractNum w:abstractNumId="42">
    <w:nsid w:val="79A1DEAA"/>
    <w:multiLevelType w:val="hybridMultilevel"/>
    <w:lvl w:ilvl="0">
      <w:lvlJc w:val="left"/>
      <w:lvlText w:val="%1"/>
      <w:numFmt w:val="decimal"/>
      <w:start w:val="104"/>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5"/>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5"/>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5"/>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5"/>
    </w:lvl>
  </w:abstractNum>
  <w:abstractNum w:abstractNumId="52">
    <w:nsid w:val="39386575"/>
    <w:multiLevelType w:val="hybridMultilevel"/>
    <w:lvl w:ilvl="0">
      <w:lvlJc w:val="left"/>
      <w:lvlText w:val="(%1)"/>
      <w:numFmt w:val="lowerRoman"/>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204" Type="http://schemas.openxmlformats.org/officeDocument/2006/relationships/image" Target="media/image149.png"/><Relationship Id="rId208"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26" Type="http://schemas.openxmlformats.org/officeDocument/2006/relationships/image" Target="media/image153.png"/><Relationship Id="rId227" Type="http://schemas.openxmlformats.org/officeDocument/2006/relationships/image" Target="media/image154.png"/><Relationship Id="rId239" Type="http://schemas.openxmlformats.org/officeDocument/2006/relationships/image" Target="media/image155.png"/><Relationship Id="rId240" Type="http://schemas.openxmlformats.org/officeDocument/2006/relationships/image" Target="media/image156.png"/><Relationship Id="rId249" Type="http://schemas.openxmlformats.org/officeDocument/2006/relationships/image" Target="media/image157.png"/><Relationship Id="rId250" Type="http://schemas.openxmlformats.org/officeDocument/2006/relationships/image" Target="media/image158.png"/><Relationship Id="rId259" Type="http://schemas.openxmlformats.org/officeDocument/2006/relationships/image" Target="media/image159.png"/><Relationship Id="rId260" Type="http://schemas.openxmlformats.org/officeDocument/2006/relationships/image" Target="media/image160.png"/><Relationship Id="rId269" Type="http://schemas.openxmlformats.org/officeDocument/2006/relationships/image" Target="media/image161.png"/><Relationship Id="rId270" Type="http://schemas.openxmlformats.org/officeDocument/2006/relationships/image" Target="media/image162.png"/><Relationship Id="rId278" Type="http://schemas.openxmlformats.org/officeDocument/2006/relationships/image" Target="media/image163.png"/><Relationship Id="rId279" Type="http://schemas.openxmlformats.org/officeDocument/2006/relationships/image" Target="media/image164.png"/><Relationship Id="rId287" Type="http://schemas.openxmlformats.org/officeDocument/2006/relationships/image" Target="media/image165.png"/><Relationship Id="rId288" Type="http://schemas.openxmlformats.org/officeDocument/2006/relationships/image" Target="media/image166.png"/><Relationship Id="rId296" Type="http://schemas.openxmlformats.org/officeDocument/2006/relationships/image" Target="media/image167.png"/><Relationship Id="rId298" Type="http://schemas.openxmlformats.org/officeDocument/2006/relationships/image" Target="media/image168.png"/><Relationship Id="rId299" Type="http://schemas.openxmlformats.org/officeDocument/2006/relationships/image" Target="media/image169.png"/><Relationship Id="rId300" Type="http://schemas.openxmlformats.org/officeDocument/2006/relationships/image" Target="media/image170.png"/><Relationship Id="rId301" Type="http://schemas.openxmlformats.org/officeDocument/2006/relationships/image" Target="media/image171.png"/><Relationship Id="rId302" Type="http://schemas.openxmlformats.org/officeDocument/2006/relationships/image" Target="media/image172.png"/><Relationship Id="rId303" Type="http://schemas.openxmlformats.org/officeDocument/2006/relationships/image" Target="media/image173.png"/><Relationship Id="rId304" Type="http://schemas.openxmlformats.org/officeDocument/2006/relationships/image" Target="media/image174.png"/><Relationship Id="rId305" Type="http://schemas.openxmlformats.org/officeDocument/2006/relationships/image" Target="media/image175.png"/><Relationship Id="rId306" Type="http://schemas.openxmlformats.org/officeDocument/2006/relationships/image" Target="media/image176.png"/><Relationship Id="rId307" Type="http://schemas.openxmlformats.org/officeDocument/2006/relationships/image" Target="media/image177.png"/><Relationship Id="rId308" Type="http://schemas.openxmlformats.org/officeDocument/2006/relationships/image" Target="media/image178.png"/><Relationship Id="rId309" Type="http://schemas.openxmlformats.org/officeDocument/2006/relationships/image" Target="media/image179.png"/><Relationship Id="rId310" Type="http://schemas.openxmlformats.org/officeDocument/2006/relationships/image" Target="media/image180.png"/><Relationship Id="rId311" Type="http://schemas.openxmlformats.org/officeDocument/2006/relationships/image" Target="media/image181.png"/><Relationship Id="rId312" Type="http://schemas.openxmlformats.org/officeDocument/2006/relationships/image" Target="media/image182.png"/><Relationship Id="rId313" Type="http://schemas.openxmlformats.org/officeDocument/2006/relationships/image" Target="media/image183.png"/><Relationship Id="rId314" Type="http://schemas.openxmlformats.org/officeDocument/2006/relationships/image" Target="media/image184.png"/><Relationship Id="rId315" Type="http://schemas.openxmlformats.org/officeDocument/2006/relationships/image" Target="media/image185.png"/><Relationship Id="rId316" Type="http://schemas.openxmlformats.org/officeDocument/2006/relationships/image" Target="media/image186.png"/><Relationship Id="rId317" Type="http://schemas.openxmlformats.org/officeDocument/2006/relationships/image" Target="media/image187.png"/><Relationship Id="rId318" Type="http://schemas.openxmlformats.org/officeDocument/2006/relationships/image" Target="media/image188.png"/><Relationship Id="rId319" Type="http://schemas.openxmlformats.org/officeDocument/2006/relationships/image" Target="media/image189.png"/><Relationship Id="rId320" Type="http://schemas.openxmlformats.org/officeDocument/2006/relationships/image" Target="media/image190.png"/><Relationship Id="rId321" Type="http://schemas.openxmlformats.org/officeDocument/2006/relationships/image" Target="media/image191.png"/><Relationship Id="rId322" Type="http://schemas.openxmlformats.org/officeDocument/2006/relationships/image" Target="media/image192.png"/><Relationship Id="rId323" Type="http://schemas.openxmlformats.org/officeDocument/2006/relationships/image" Target="media/image193.png"/><Relationship Id="rId324" Type="http://schemas.openxmlformats.org/officeDocument/2006/relationships/image" Target="media/image194.png"/><Relationship Id="rId325" Type="http://schemas.openxmlformats.org/officeDocument/2006/relationships/image" Target="media/image195.png"/><Relationship Id="rId326" Type="http://schemas.openxmlformats.org/officeDocument/2006/relationships/image" Target="media/image196.png"/><Relationship Id="rId327" Type="http://schemas.openxmlformats.org/officeDocument/2006/relationships/image" Target="media/image197.png"/><Relationship Id="rId328" Type="http://schemas.openxmlformats.org/officeDocument/2006/relationships/image" Target="media/image198.png"/><Relationship Id="rId329" Type="http://schemas.openxmlformats.org/officeDocument/2006/relationships/image" Target="media/image199.png"/><Relationship Id="rId330" Type="http://schemas.openxmlformats.org/officeDocument/2006/relationships/image" Target="media/image200.png"/><Relationship Id="rId331" Type="http://schemas.openxmlformats.org/officeDocument/2006/relationships/image" Target="media/image201.png"/><Relationship Id="rId332" Type="http://schemas.openxmlformats.org/officeDocument/2006/relationships/image" Target="media/image202.png"/><Relationship Id="rId333" Type="http://schemas.openxmlformats.org/officeDocument/2006/relationships/image" Target="media/image203.png"/><Relationship Id="rId334" Type="http://schemas.openxmlformats.org/officeDocument/2006/relationships/image" Target="media/image204.png"/><Relationship Id="rId335" Type="http://schemas.openxmlformats.org/officeDocument/2006/relationships/image" Target="media/image205.png"/><Relationship Id="rId336" Type="http://schemas.openxmlformats.org/officeDocument/2006/relationships/image" Target="media/image206.png"/><Relationship Id="rId337" Type="http://schemas.openxmlformats.org/officeDocument/2006/relationships/image" Target="media/image207.png"/><Relationship Id="rId338" Type="http://schemas.openxmlformats.org/officeDocument/2006/relationships/image" Target="media/image208.png"/><Relationship Id="rId339" Type="http://schemas.openxmlformats.org/officeDocument/2006/relationships/image" Target="media/image209.png"/><Relationship Id="rId340" Type="http://schemas.openxmlformats.org/officeDocument/2006/relationships/image" Target="media/image210.png"/><Relationship Id="rId341" Type="http://schemas.openxmlformats.org/officeDocument/2006/relationships/image" Target="media/image211.png"/><Relationship Id="rId342" Type="http://schemas.openxmlformats.org/officeDocument/2006/relationships/image" Target="media/image212.png"/><Relationship Id="rId343" Type="http://schemas.openxmlformats.org/officeDocument/2006/relationships/image" Target="media/image213.png"/><Relationship Id="rId344" Type="http://schemas.openxmlformats.org/officeDocument/2006/relationships/image" Target="media/image214.png"/><Relationship Id="rId345" Type="http://schemas.openxmlformats.org/officeDocument/2006/relationships/image" Target="media/image215.png"/><Relationship Id="rId346" Type="http://schemas.openxmlformats.org/officeDocument/2006/relationships/image" Target="media/image216.png"/><Relationship Id="rId347" Type="http://schemas.openxmlformats.org/officeDocument/2006/relationships/image" Target="media/image217.png"/><Relationship Id="rId348" Type="http://schemas.openxmlformats.org/officeDocument/2006/relationships/image" Target="media/image218.png"/><Relationship Id="rId349" Type="http://schemas.openxmlformats.org/officeDocument/2006/relationships/image" Target="media/image219.png"/><Relationship Id="rId350" Type="http://schemas.openxmlformats.org/officeDocument/2006/relationships/image" Target="media/image220.png"/><Relationship Id="rId351" Type="http://schemas.openxmlformats.org/officeDocument/2006/relationships/image" Target="media/image221.png"/><Relationship Id="rId352" Type="http://schemas.openxmlformats.org/officeDocument/2006/relationships/image" Target="media/image222.png"/><Relationship Id="rId353" Type="http://schemas.openxmlformats.org/officeDocument/2006/relationships/image" Target="media/image223.png"/><Relationship Id="rId354" Type="http://schemas.openxmlformats.org/officeDocument/2006/relationships/image" Target="media/image224.png"/><Relationship Id="rId355" Type="http://schemas.openxmlformats.org/officeDocument/2006/relationships/image" Target="media/image225.png"/><Relationship Id="rId356" Type="http://schemas.openxmlformats.org/officeDocument/2006/relationships/image" Target="media/image226.png"/><Relationship Id="rId357" Type="http://schemas.openxmlformats.org/officeDocument/2006/relationships/image" Target="media/image227.png"/><Relationship Id="rId358" Type="http://schemas.openxmlformats.org/officeDocument/2006/relationships/image" Target="media/image228.png"/><Relationship Id="rId359" Type="http://schemas.openxmlformats.org/officeDocument/2006/relationships/image" Target="media/image229.png"/><Relationship Id="rId360" Type="http://schemas.openxmlformats.org/officeDocument/2006/relationships/image" Target="media/image230.png"/><Relationship Id="rId361" Type="http://schemas.openxmlformats.org/officeDocument/2006/relationships/image" Target="media/image231.png"/><Relationship Id="rId362" Type="http://schemas.openxmlformats.org/officeDocument/2006/relationships/image" Target="media/image232.png"/><Relationship Id="rId363" Type="http://schemas.openxmlformats.org/officeDocument/2006/relationships/image" Target="media/image233.png"/><Relationship Id="rId364" Type="http://schemas.openxmlformats.org/officeDocument/2006/relationships/image" Target="media/image234.png"/><Relationship Id="rId365" Type="http://schemas.openxmlformats.org/officeDocument/2006/relationships/image" Target="media/image235.png"/><Relationship Id="rId366" Type="http://schemas.openxmlformats.org/officeDocument/2006/relationships/image" Target="media/image236.png"/><Relationship Id="rId367" Type="http://schemas.openxmlformats.org/officeDocument/2006/relationships/image" Target="media/image237.png"/><Relationship Id="rId368" Type="http://schemas.openxmlformats.org/officeDocument/2006/relationships/image" Target="media/image238.png"/><Relationship Id="rId369" Type="http://schemas.openxmlformats.org/officeDocument/2006/relationships/image" Target="media/image239.png"/><Relationship Id="rId370" Type="http://schemas.openxmlformats.org/officeDocument/2006/relationships/image" Target="media/image240.png"/><Relationship Id="rId371" Type="http://schemas.openxmlformats.org/officeDocument/2006/relationships/image" Target="media/image241.png"/><Relationship Id="rId372" Type="http://schemas.openxmlformats.org/officeDocument/2006/relationships/image" Target="media/image242.png"/><Relationship Id="rId373" Type="http://schemas.openxmlformats.org/officeDocument/2006/relationships/image" Target="media/image243.png"/><Relationship Id="rId374" Type="http://schemas.openxmlformats.org/officeDocument/2006/relationships/image" Target="media/image244.png"/><Relationship Id="rId375" Type="http://schemas.openxmlformats.org/officeDocument/2006/relationships/image" Target="media/image245.png"/><Relationship Id="rId376" Type="http://schemas.openxmlformats.org/officeDocument/2006/relationships/image" Target="media/image246.png"/><Relationship Id="rId377" Type="http://schemas.openxmlformats.org/officeDocument/2006/relationships/image" Target="media/image247.png"/><Relationship Id="rId378" Type="http://schemas.openxmlformats.org/officeDocument/2006/relationships/image" Target="media/image248.png"/><Relationship Id="rId379" Type="http://schemas.openxmlformats.org/officeDocument/2006/relationships/image" Target="media/image249.png"/><Relationship Id="rId380" Type="http://schemas.openxmlformats.org/officeDocument/2006/relationships/image" Target="media/image250.png"/><Relationship Id="rId381" Type="http://schemas.openxmlformats.org/officeDocument/2006/relationships/image" Target="media/image251.png"/><Relationship Id="rId382" Type="http://schemas.openxmlformats.org/officeDocument/2006/relationships/image" Target="media/image252.png"/><Relationship Id="rId383" Type="http://schemas.openxmlformats.org/officeDocument/2006/relationships/image" Target="media/image253.png"/><Relationship Id="rId384" Type="http://schemas.openxmlformats.org/officeDocument/2006/relationships/image" Target="media/image254.png"/><Relationship Id="rId385" Type="http://schemas.openxmlformats.org/officeDocument/2006/relationships/image" Target="media/image255.png"/><Relationship Id="rId386" Type="http://schemas.openxmlformats.org/officeDocument/2006/relationships/image" Target="media/image256.png"/><Relationship Id="rId387" Type="http://schemas.openxmlformats.org/officeDocument/2006/relationships/image" Target="media/image257.png"/><Relationship Id="rId388" Type="http://schemas.openxmlformats.org/officeDocument/2006/relationships/image" Target="media/image258.png"/><Relationship Id="rId389" Type="http://schemas.openxmlformats.org/officeDocument/2006/relationships/image" Target="media/image259.png"/><Relationship Id="rId390" Type="http://schemas.openxmlformats.org/officeDocument/2006/relationships/image" Target="media/image260.png"/><Relationship Id="rId391" Type="http://schemas.openxmlformats.org/officeDocument/2006/relationships/image" Target="media/image261.png"/><Relationship Id="rId392" Type="http://schemas.openxmlformats.org/officeDocument/2006/relationships/image" Target="media/image262.png"/><Relationship Id="rId393" Type="http://schemas.openxmlformats.org/officeDocument/2006/relationships/image" Target="media/image263.png"/><Relationship Id="rId394" Type="http://schemas.openxmlformats.org/officeDocument/2006/relationships/image" Target="media/image264.png"/><Relationship Id="rId395" Type="http://schemas.openxmlformats.org/officeDocument/2006/relationships/image" Target="media/image265.png"/><Relationship Id="rId396" Type="http://schemas.openxmlformats.org/officeDocument/2006/relationships/image" Target="media/image266.png"/><Relationship Id="rId397" Type="http://schemas.openxmlformats.org/officeDocument/2006/relationships/image" Target="media/image267.png"/><Relationship Id="rId398" Type="http://schemas.openxmlformats.org/officeDocument/2006/relationships/image" Target="media/image268.png"/><Relationship Id="rId399" Type="http://schemas.openxmlformats.org/officeDocument/2006/relationships/image" Target="media/image269.png"/><Relationship Id="rId400" Type="http://schemas.openxmlformats.org/officeDocument/2006/relationships/image" Target="media/image270.png"/><Relationship Id="rId401" Type="http://schemas.openxmlformats.org/officeDocument/2006/relationships/image" Target="media/image271.png"/><Relationship Id="rId402" Type="http://schemas.openxmlformats.org/officeDocument/2006/relationships/image" Target="media/image272.png"/><Relationship Id="rId403" Type="http://schemas.openxmlformats.org/officeDocument/2006/relationships/image" Target="media/image273.png"/><Relationship Id="rId404" Type="http://schemas.openxmlformats.org/officeDocument/2006/relationships/image" Target="media/image274.png"/><Relationship Id="rId405" Type="http://schemas.openxmlformats.org/officeDocument/2006/relationships/image" Target="media/image275.png"/><Relationship Id="rId406" Type="http://schemas.openxmlformats.org/officeDocument/2006/relationships/image" Target="media/image276.png"/><Relationship Id="rId407" Type="http://schemas.openxmlformats.org/officeDocument/2006/relationships/image" Target="media/image277.png"/><Relationship Id="rId408" Type="http://schemas.openxmlformats.org/officeDocument/2006/relationships/image" Target="media/image278.png"/><Relationship Id="rId409" Type="http://schemas.openxmlformats.org/officeDocument/2006/relationships/image" Target="media/image279.png"/><Relationship Id="rId410" Type="http://schemas.openxmlformats.org/officeDocument/2006/relationships/image" Target="media/image280.png"/><Relationship Id="rId411" Type="http://schemas.openxmlformats.org/officeDocument/2006/relationships/image" Target="media/image281.png"/><Relationship Id="rId412" Type="http://schemas.openxmlformats.org/officeDocument/2006/relationships/image" Target="media/image282.png"/><Relationship Id="rId413" Type="http://schemas.openxmlformats.org/officeDocument/2006/relationships/image" Target="media/image283.png"/><Relationship Id="rId414" Type="http://schemas.openxmlformats.org/officeDocument/2006/relationships/image" Target="media/image284.png"/><Relationship Id="rId415" Type="http://schemas.openxmlformats.org/officeDocument/2006/relationships/image" Target="media/image285.png"/><Relationship Id="rId416" Type="http://schemas.openxmlformats.org/officeDocument/2006/relationships/image" Target="media/image286.png"/><Relationship Id="rId417" Type="http://schemas.openxmlformats.org/officeDocument/2006/relationships/image" Target="media/image287.png"/><Relationship Id="rId418" Type="http://schemas.openxmlformats.org/officeDocument/2006/relationships/image" Target="media/image288.png"/><Relationship Id="rId419" Type="http://schemas.openxmlformats.org/officeDocument/2006/relationships/image" Target="media/image289.png"/><Relationship Id="rId420" Type="http://schemas.openxmlformats.org/officeDocument/2006/relationships/image" Target="media/image290.png"/><Relationship Id="rId421" Type="http://schemas.openxmlformats.org/officeDocument/2006/relationships/image" Target="media/image291.png"/><Relationship Id="rId422" Type="http://schemas.openxmlformats.org/officeDocument/2006/relationships/image" Target="media/image292.png"/><Relationship Id="rId423" Type="http://schemas.openxmlformats.org/officeDocument/2006/relationships/image" Target="media/image293.png"/><Relationship Id="rId424" Type="http://schemas.openxmlformats.org/officeDocument/2006/relationships/image" Target="media/image294.png"/><Relationship Id="rId425" Type="http://schemas.openxmlformats.org/officeDocument/2006/relationships/image" Target="media/image295.png"/><Relationship Id="rId426" Type="http://schemas.openxmlformats.org/officeDocument/2006/relationships/image" Target="media/image296.png"/><Relationship Id="rId427" Type="http://schemas.openxmlformats.org/officeDocument/2006/relationships/image" Target="media/image297.png"/><Relationship Id="rId428" Type="http://schemas.openxmlformats.org/officeDocument/2006/relationships/image" Target="media/image298.png"/><Relationship Id="rId429" Type="http://schemas.openxmlformats.org/officeDocument/2006/relationships/image" Target="media/image299.png"/><Relationship Id="rId430" Type="http://schemas.openxmlformats.org/officeDocument/2006/relationships/image" Target="media/image300.png"/><Relationship Id="rId431" Type="http://schemas.openxmlformats.org/officeDocument/2006/relationships/image" Target="media/image301.png"/><Relationship Id="rId145" Type="http://schemas.openxmlformats.org/officeDocument/2006/relationships/hyperlink" Target="https://www.sec.gov/Archives/edgar/data/1090425/000119312514329086/d783274dex21.htm" TargetMode="External"/><Relationship Id="rId146" Type="http://schemas.openxmlformats.org/officeDocument/2006/relationships/hyperlink" Target="https://www.sec.gov/Archives/edgar/data/1090425/000119312514417756/d823054dex31.htm" TargetMode="External"/><Relationship Id="rId147" Type="http://schemas.openxmlformats.org/officeDocument/2006/relationships/hyperlink" Target="https://www.sec.gov/Archives/edgar/data/1090425/000119312514417756/d823054dex32.htm" TargetMode="External"/><Relationship Id="rId148" Type="http://schemas.openxmlformats.org/officeDocument/2006/relationships/hyperlink" Target="https://www.sec.gov/Archives/edgar/data/1090425/000119312514417756/d823054dex33.htm" TargetMode="External"/><Relationship Id="rId149" Type="http://schemas.openxmlformats.org/officeDocument/2006/relationships/hyperlink" Target="https://www.sec.gov/Archives/edgar/data/899045/000095013407011105/d46520exv3w2.htm" TargetMode="External"/><Relationship Id="rId150" Type="http://schemas.openxmlformats.org/officeDocument/2006/relationships/hyperlink" Target="https://www.sec.gov/Archives/edgar/data/899045/000095013499009877/0000950134-99-009877.txt" TargetMode="External"/><Relationship Id="rId151" Type="http://schemas.openxmlformats.org/officeDocument/2006/relationships/hyperlink" Target="https://www.sec.gov/Archives/edgar/data/1090425/000119312514417756/d823054dex42.htm" TargetMode="External"/><Relationship Id="rId152" Type="http://schemas.openxmlformats.org/officeDocument/2006/relationships/hyperlink" Target="https://www.sec.gov/Archives/edgar/data/1090425/000119312514417756/d823054dex43.htm" TargetMode="External"/><Relationship Id="rId153" Type="http://schemas.openxmlformats.org/officeDocument/2006/relationships/hyperlink" Target="https://www.sec.gov/Archives/edgar/data/899045/000156459020005593/lamr-ex4a3_479.htm" TargetMode="External"/><Relationship Id="rId154" Type="http://schemas.openxmlformats.org/officeDocument/2006/relationships/hyperlink" Target="https://www.sec.gov/Archives/edgar/data/899045/000119312512443858/d431256dex41.htm" TargetMode="External"/><Relationship Id="rId158" Type="http://schemas.openxmlformats.org/officeDocument/2006/relationships/hyperlink" Target="https://www.sec.gov/Archives/edgar/data/899045/000119312513084458/d446463dex4h4.htm" TargetMode="External"/><Relationship Id="rId159" Type="http://schemas.openxmlformats.org/officeDocument/2006/relationships/hyperlink" Target="https://www.sec.gov/Archives/edgar/data/899045/000119312513084458/d446463dex4h5.htm" TargetMode="External"/><Relationship Id="rId160" Type="http://schemas.openxmlformats.org/officeDocument/2006/relationships/hyperlink" Target="https://www.sec.gov/Archives/edgar/data/899045/000119312513084458/d446463dex4h6.htm" TargetMode="External"/><Relationship Id="rId161" Type="http://schemas.openxmlformats.org/officeDocument/2006/relationships/hyperlink" Target="https://www.sec.gov/Archives/edgar/data/899045/000119312513327135/d565771dex44.htm" TargetMode="External"/><Relationship Id="rId162" Type="http://schemas.openxmlformats.org/officeDocument/2006/relationships/hyperlink" Target="https://www.sec.gov/Archives/edgar/data/899045/000119312514187495/d707798dex45.htm" TargetMode="External"/><Relationship Id="rId163" Type="http://schemas.openxmlformats.org/officeDocument/2006/relationships/hyperlink" Target="https://www.sec.gov/Archives/edgar/data/899045/000119312515368451/d47340dex42.htm" TargetMode="External"/><Relationship Id="rId164" Type="http://schemas.openxmlformats.org/officeDocument/2006/relationships/hyperlink" Target="https://www.sec.gov/Archives/edgar/data/899045/000156459018003444/lamr-ex4c10_199.htm" TargetMode="External"/><Relationship Id="rId165" Type="http://schemas.openxmlformats.org/officeDocument/2006/relationships/hyperlink" Target="https://www.sec.gov/Archives/edgar/data/899045/000156459018003444/lamr-ex4c11_198.htm" TargetMode="External"/><Relationship Id="rId166" Type="http://schemas.openxmlformats.org/officeDocument/2006/relationships/hyperlink" Target="https://www.sec.gov/Archives/edgar/data/899045/000156459019015115/lamr-ex42_90.htm" TargetMode="External"/><Relationship Id="rId169" Type="http://schemas.openxmlformats.org/officeDocument/2006/relationships/hyperlink" Target="https://www.sec.gov/Archives/edgar/data/899045/000156459019015115/lamr-ex43_89.htm" TargetMode="External"/><Relationship Id="rId170" Type="http://schemas.openxmlformats.org/officeDocument/2006/relationships/hyperlink" Target="https://www.sec.gov/Archives/edgar/data/899045/000156459019040322/lamr-ex41_139.htm" TargetMode="External"/><Relationship Id="rId171" Type="http://schemas.openxmlformats.org/officeDocument/2006/relationships/hyperlink" Target="https://www.sec.gov/Archives/edgar/data/899045/000119312514011018/d659877dex41.htm" TargetMode="External"/><Relationship Id="rId172" Type="http://schemas.openxmlformats.org/officeDocument/2006/relationships/hyperlink" Target="https://www.sec.gov/Archives/edgar/data/899045/000119312515368451/d47340dex41.htm" TargetMode="External"/><Relationship Id="rId173" Type="http://schemas.openxmlformats.org/officeDocument/2006/relationships/hyperlink" Target="https://www.sec.gov/Archives/edgar/data/899045/000156459018003444/lamr-ex4d5_197.htm" TargetMode="External"/><Relationship Id="rId174" Type="http://schemas.openxmlformats.org/officeDocument/2006/relationships/hyperlink" Target="https://www.sec.gov/Archives/edgar/data/899045/000156459018003444/lamr-ex4d6_196.htm" TargetMode="External"/><Relationship Id="rId175" Type="http://schemas.openxmlformats.org/officeDocument/2006/relationships/hyperlink" Target="https://www.sec.gov/Archives/edgar/data/899045/000156459019015115/lamr-ex44_88.htm" TargetMode="External"/><Relationship Id="rId176" Type="http://schemas.openxmlformats.org/officeDocument/2006/relationships/hyperlink" Target="https://www.sec.gov/Archives/edgar/data/899045/000156459019015115/lamr-ex45_87.htm" TargetMode="External"/><Relationship Id="rId179" Type="http://schemas.openxmlformats.org/officeDocument/2006/relationships/hyperlink" Target="https://www.sec.gov/Archives/edgar/data/899045/000156459019040322/lamr-ex42_138.htm" TargetMode="External"/><Relationship Id="rId180" Type="http://schemas.openxmlformats.org/officeDocument/2006/relationships/hyperlink" Target="https://www.sec.gov/Archives/edgar/data/899045/000119312516446075/d127039dex41.htm" TargetMode="External"/><Relationship Id="rId181" Type="http://schemas.openxmlformats.org/officeDocument/2006/relationships/hyperlink" Target="https://www.sec.gov/Archives/edgar/data/899045/000156459018003444/lamr-ex4e4_195.htm" TargetMode="External"/><Relationship Id="rId182" Type="http://schemas.openxmlformats.org/officeDocument/2006/relationships/hyperlink" Target="https://www.sec.gov/Archives/edgar/data/899045/000156459018003444/lamr-ex4e5_194.htm" TargetMode="External"/><Relationship Id="rId183" Type="http://schemas.openxmlformats.org/officeDocument/2006/relationships/hyperlink" Target="https://www.sec.gov/Archives/edgar/data/899045/000156459019015115/lamr-ex46_86.htm" TargetMode="External"/><Relationship Id="rId184" Type="http://schemas.openxmlformats.org/officeDocument/2006/relationships/hyperlink" Target="https://www.sec.gov/Archives/edgar/data/899045/000156459019015115/lamr-ex47_85.htm" TargetMode="External"/><Relationship Id="rId185" Type="http://schemas.openxmlformats.org/officeDocument/2006/relationships/hyperlink" Target="https://www.sec.gov/Archives/edgar/data/899045/000119312519029539/d695015dex41.htm" TargetMode="External"/><Relationship Id="rId186" Type="http://schemas.openxmlformats.org/officeDocument/2006/relationships/hyperlink" Target="https://www.sec.gov/Archives/edgar/data/899045/000156459019040322/lamr-ex43_136.htm" TargetMode="External"/><Relationship Id="rId189" Type="http://schemas.openxmlformats.org/officeDocument/2006/relationships/hyperlink" Target="https://www.sec.gov/Archives/edgar/data/899045/000119312520033197/d889727dex41.htm" TargetMode="External"/><Relationship Id="rId190" Type="http://schemas.openxmlformats.org/officeDocument/2006/relationships/hyperlink" Target="https://www.sec.gov/Archives/edgar/data/899045/000162828022012480/lamr-20220331x10qxexx42.htm" TargetMode="External"/><Relationship Id="rId191" Type="http://schemas.openxmlformats.org/officeDocument/2006/relationships/hyperlink" Target="https://www.sec.gov/Archives/edgar/data/899045/000162828022020393/lamr-20220630x10qxexx42.htm" TargetMode="External"/><Relationship Id="rId192" Type="http://schemas.openxmlformats.org/officeDocument/2006/relationships/hyperlink" Target="https://www.sec.gov/Archives/edgar/data/899045/000162828024035955/lamr-20240630x10qxexx42.htm" TargetMode="External"/><Relationship Id="rId193" Type="http://schemas.openxmlformats.org/officeDocument/2006/relationships/hyperlink" Target="https://www.sec.gov/Archives/edgar/data/899045/000162828024046555/exhibit42.htm" TargetMode="External"/><Relationship Id="rId194" Type="http://schemas.openxmlformats.org/officeDocument/2006/relationships/hyperlink" Target="https://www.sec.gov/Archives/edgar/data/899045/000119312520033197/d889727dex42.htm" TargetMode="External"/><Relationship Id="rId197" Type="http://schemas.openxmlformats.org/officeDocument/2006/relationships/hyperlink" Target="https://www.sec.gov/Archives/edgar/data/899045/000162828022012480/lamr-20220331x10qxexx43.htm" TargetMode="External"/><Relationship Id="rId198" Type="http://schemas.openxmlformats.org/officeDocument/2006/relationships/hyperlink" Target="https://www.sec.gov/Archives/edgar/data/899045/000162828022020393/lamr-20220630x10qxexx43.htm" TargetMode="External"/><Relationship Id="rId199" Type="http://schemas.openxmlformats.org/officeDocument/2006/relationships/hyperlink" Target="https://www.sec.gov/Archives/edgar/data/899045/000162828024035955/lamr-20240630x10qxexx43.htm" TargetMode="External"/><Relationship Id="rId200" Type="http://schemas.openxmlformats.org/officeDocument/2006/relationships/hyperlink" Target="https://www.sec.gov/Archives/edgar/data/899045/000162828024046555/exhibit43.htm" TargetMode="External"/><Relationship Id="rId201" Type="http://schemas.openxmlformats.org/officeDocument/2006/relationships/hyperlink" Target="https://www.sec.gov/Archives/edgar/data/899045/000119312520146127/d930554dex41.htm" TargetMode="External"/><Relationship Id="rId202" Type="http://schemas.openxmlformats.org/officeDocument/2006/relationships/hyperlink" Target="https://www.sec.gov/Archives/edgar/data/899045/000162828022012480/lamr-20220331x10qxexx44.htm" TargetMode="External"/><Relationship Id="rId203" Type="http://schemas.openxmlformats.org/officeDocument/2006/relationships/hyperlink" Target="https://www.sec.gov/Archives/edgar/data/899045/000162828022020393/lamr-20220660x10qxexx44.htm" TargetMode="External"/><Relationship Id="rId205" Type="http://schemas.openxmlformats.org/officeDocument/2006/relationships/hyperlink" Target="https://www.sec.gov/Archives/edgar/data/899045/000162828024035955/lamr-20240630x10qxexx44.htm" TargetMode="External"/><Relationship Id="rId206" Type="http://schemas.openxmlformats.org/officeDocument/2006/relationships/hyperlink" Target="https://www.sec.gov/Archives/edgar/data/899045/000162828024046555/exhibit44.htm" TargetMode="External"/><Relationship Id="rId207" Type="http://schemas.openxmlformats.org/officeDocument/2006/relationships/hyperlink" Target="https://www.sec.gov/Archives/edgar/data/0001090425/000119312521020764/d111035dex41.htm" TargetMode="External"/><Relationship Id="rId209" Type="http://schemas.openxmlformats.org/officeDocument/2006/relationships/hyperlink" Target="https://www.sec.gov/Archives/edgar/data/899045/000162828022012480/lamr-20220331x10qxexx41.htm" TargetMode="External"/><Relationship Id="rId210" Type="http://schemas.openxmlformats.org/officeDocument/2006/relationships/hyperlink" Target="https://www.sec.gov/Archives/edgar/data/899045/000162828022020393/lamr-20220630x10qxexx41.htm" TargetMode="External"/><Relationship Id="rId211" Type="http://schemas.openxmlformats.org/officeDocument/2006/relationships/hyperlink" Target="https://www.sec.gov/Archives/edgar/data/899045/000162828024035955/lamr-20240630x10qxexx41.htm" TargetMode="External"/><Relationship Id="rId212" Type="http://schemas.openxmlformats.org/officeDocument/2006/relationships/hyperlink" Target="https://www.sec.gov/Archives/edgar/data/899045/000162828024046555/exhibit41.htm" TargetMode="External"/><Relationship Id="rId215" Type="http://schemas.openxmlformats.org/officeDocument/2006/relationships/hyperlink" Target="https://www.sec.gov/Archives/edgar/data/0001090425/000119312521193497/d361202dex41.htm" TargetMode="External"/><Relationship Id="rId216" Type="http://schemas.openxmlformats.org/officeDocument/2006/relationships/hyperlink" Target="https://www.sec.gov/Archives/edgar/data/899045/000156459020005593/lamr-ex10a1_478.htm" TargetMode="External"/><Relationship Id="rId217" Type="http://schemas.openxmlformats.org/officeDocument/2006/relationships/hyperlink" Target="https://www.sec.gov/Archives/edgar/data/899045/000156459020005593/lamr-ex10a2_477.htm" TargetMode="External"/><Relationship Id="rId218" Type="http://schemas.openxmlformats.org/officeDocument/2006/relationships/hyperlink" Target="https://www.sec.gov/Archives/edgar/data/899045/000095013406005174/d33719exv10w16.txt" TargetMode="External"/><Relationship Id="rId219" Type="http://schemas.openxmlformats.org/officeDocument/2006/relationships/hyperlink" Target="https://www.sec.gov/Archives/edgar/data/1090425/000095013407012610/d47205exv10w1.htm" TargetMode="External"/><Relationship Id="rId220" Type="http://schemas.openxmlformats.org/officeDocument/2006/relationships/hyperlink" Target="https://www.sec.gov/Archives/edgar/data/899045/000156459017021772/lamr-ex101_170.htm" TargetMode="External"/><Relationship Id="rId221" Type="http://schemas.openxmlformats.org/officeDocument/2006/relationships/hyperlink" Target="https://www.sec.gov/Archives/edgar/data/1090425/000119312519166112/d760299dex102.htm" TargetMode="External"/><Relationship Id="rId222" Type="http://schemas.openxmlformats.org/officeDocument/2006/relationships/hyperlink" Target="https://www.sec.gov/Archives/edgar/data/1090425/000095013407019058/d49522exv10w1.htm" TargetMode="External"/><Relationship Id="rId223" Type="http://schemas.openxmlformats.org/officeDocument/2006/relationships/hyperlink" Target="https://www.sec.gov/Archives/edgar/data/899045/000095013505006967/b58122laexv10w2.txt" TargetMode="External"/><Relationship Id="rId224" Type="http://schemas.openxmlformats.org/officeDocument/2006/relationships/hyperlink" Target="https://www.sec.gov/Archives/edgar/data/899045/000119312514072774/d651857dex10d3.htm" TargetMode="External"/><Relationship Id="rId225" Type="http://schemas.openxmlformats.org/officeDocument/2006/relationships/hyperlink" Target="https://www.sec.gov/Archives/edgar/data/1090425/000119312516521502/d168422d8k.htm" TargetMode="External"/><Relationship Id="rId228" Type="http://schemas.openxmlformats.org/officeDocument/2006/relationships/hyperlink" Target="https://www.sec.gov/Archives/edgar/data/1090425/000119312516608341/d183173d8k.htm" TargetMode="External"/><Relationship Id="rId229" Type="http://schemas.openxmlformats.org/officeDocument/2006/relationships/hyperlink" Target="https://www.sec.gov/Archives/edgar/data/899045/000119312518355826/d678645dex101.htm" TargetMode="External"/><Relationship Id="rId230" Type="http://schemas.openxmlformats.org/officeDocument/2006/relationships/hyperlink" Target="https://www.sec.gov/Archives/edgar/data/899045/000119312518355826/d678645dex102.htm" TargetMode="External"/><Relationship Id="rId231" Type="http://schemas.openxmlformats.org/officeDocument/2006/relationships/hyperlink" Target="https://www.sec.gov/Archives/edgar/data/899045/000119312518355826/d678645dex103.htm" TargetMode="External"/><Relationship Id="rId232" Type="http://schemas.openxmlformats.org/officeDocument/2006/relationships/hyperlink" Target="https://www.sec.gov/Archives/edgar/data/899045/000119312518355826/d678645dex104.htm" TargetMode="External"/><Relationship Id="rId233" Type="http://schemas.openxmlformats.org/officeDocument/2006/relationships/hyperlink" Target="https://www.sec.gov/Archives/edgar/data/899045/000119312520033197/d889727dex104.htm" TargetMode="External"/><Relationship Id="rId234" Type="http://schemas.openxmlformats.org/officeDocument/2006/relationships/hyperlink" Target="https://www.sec.gov/Archives/edgar/data/899045/000119312520033197/d889727dex105.htm" TargetMode="External"/><Relationship Id="rId235" Type="http://schemas.openxmlformats.org/officeDocument/2006/relationships/hyperlink" Target="https://www.sec.gov/Archives/edgar/data/899045/000119312520033197/d889727dex106.htm" TargetMode="External"/><Relationship Id="rId236" Type="http://schemas.openxmlformats.org/officeDocument/2006/relationships/hyperlink" Target="https://www.sec.gov/Archives/edgar/data/899045/000156459020037399/lamr-ex102_170.htm" TargetMode="External"/><Relationship Id="rId237" Type="http://schemas.openxmlformats.org/officeDocument/2006/relationships/hyperlink" Target="https://www.sec.gov/Archives/edgar/data/899045/000156459020037399/lamr-ex103_152.htm" TargetMode="External"/><Relationship Id="rId238" Type="http://schemas.openxmlformats.org/officeDocument/2006/relationships/hyperlink" Target="https://www.sec.gov/Archives/edgar/data/899045/000119312520187830/d864629dex101.htm" TargetMode="External"/><Relationship Id="rId241" Type="http://schemas.openxmlformats.org/officeDocument/2006/relationships/hyperlink" Target="https://www.sec.gov/Archives/edgar/data/899045/000119312520276938/d25262dex101.htm" TargetMode="External"/><Relationship Id="rId242" Type="http://schemas.openxmlformats.org/officeDocument/2006/relationships/hyperlink" Target="https://www.sec.gov/Archives/edgar/data/0001090425/000119312521176922/d175058dex101.htm" TargetMode="External"/><Relationship Id="rId243" Type="http://schemas.openxmlformats.org/officeDocument/2006/relationships/hyperlink" Target="https://www.sec.gov/Archives/edgar/data/899045/000119312522186266/d376417dex101.htm" TargetMode="External"/><Relationship Id="rId244" Type="http://schemas.openxmlformats.org/officeDocument/2006/relationships/hyperlink" Target="https://www.sec.gov/Archives/edgar/data/899045/000119312524240401/d895876dex101.htm" TargetMode="External"/><Relationship Id="rId245" Type="http://schemas.openxmlformats.org/officeDocument/2006/relationships/hyperlink" Target="https://www.sec.gov/Archives/edgar/data/899045/000162828024046555/exhibit101.htm" TargetMode="External"/><Relationship Id="rId246" Type="http://schemas.openxmlformats.org/officeDocument/2006/relationships/hyperlink" Target="https://www.sec.gov/Archives/edgar/data/899045/000095012310042765/d72662exv10w1.htm" TargetMode="External"/><Relationship Id="rId247" Type="http://schemas.openxmlformats.org/officeDocument/2006/relationships/hyperlink" Target="https://www.sec.gov/Archives/edgar/data/899045/000095012311018470/d78824exv10wpw2.htm" TargetMode="External"/><Relationship Id="rId248" Type="http://schemas.openxmlformats.org/officeDocument/2006/relationships/hyperlink" Target="https://www.sec.gov/Archives/edgar/data/899045/000095012311018470/d78824exv10wpw3.htm" TargetMode="External"/><Relationship Id="rId251" Type="http://schemas.openxmlformats.org/officeDocument/2006/relationships/hyperlink" Target="https://www.sec.gov/Archives/edgar/data/899045/000119312512057440/d299753dex102.htm" TargetMode="External"/><Relationship Id="rId252" Type="http://schemas.openxmlformats.org/officeDocument/2006/relationships/hyperlink" Target="https://www.sec.gov/Archives/edgar/data/899045/000119312514072774/d651857dex10f11.htm" TargetMode="External"/><Relationship Id="rId253" Type="http://schemas.openxmlformats.org/officeDocument/2006/relationships/hyperlink" Target="https://www.sec.gov/Archives/edgar/data/899045/000119312514040877/d672556dex101.htm" TargetMode="External"/><Relationship Id="rId254" Type="http://schemas.openxmlformats.org/officeDocument/2006/relationships/hyperlink" Target="https://www.sec.gov/Archives/edgar/data/899045/000119312514152081/d715756dex101.htm" TargetMode="External"/><Relationship Id="rId255" Type="http://schemas.openxmlformats.org/officeDocument/2006/relationships/hyperlink" Target="https://www.sec.gov/Archives/edgar/data/899045/000119312516428976/d121868dex101.htm" TargetMode="External"/><Relationship Id="rId256" Type="http://schemas.openxmlformats.org/officeDocument/2006/relationships/hyperlink" Target="https://www.sec.gov/Archives/edgar/data/899045/000119312516496958/d138430dex101.htm" TargetMode="External"/><Relationship Id="rId257" Type="http://schemas.openxmlformats.org/officeDocument/2006/relationships/hyperlink" Target="https://www.sec.gov/Archives/edgar/data/899045/000119312517176596/d400789dex101.htm" TargetMode="External"/><Relationship Id="rId258" Type="http://schemas.openxmlformats.org/officeDocument/2006/relationships/hyperlink" Target="https://www.sec.gov/Archives/edgar/data/899045/000119312518089644/d545969dex101.htm" TargetMode="External"/><Relationship Id="rId261" Type="http://schemas.openxmlformats.org/officeDocument/2006/relationships/hyperlink" Target="https://www.sec.gov/Archives/edgar/data/899045/000119312518347754/d672539dex101.htm" TargetMode="External"/><Relationship Id="rId262" Type="http://schemas.openxmlformats.org/officeDocument/2006/relationships/hyperlink" Target="https://www.sec.gov/Archives/edgar/data/899045/000119312519014003/d690385dex101.htm" TargetMode="External"/><Relationship Id="rId263" Type="http://schemas.openxmlformats.org/officeDocument/2006/relationships/hyperlink" Target="https://www.sec.gov/Archives/edgar/data/899045/000119312512081940/d263372dex10p4.htm" TargetMode="External"/><Relationship Id="rId264" Type="http://schemas.openxmlformats.org/officeDocument/2006/relationships/hyperlink" Target="https://www.sec.gov/Archives/edgar/data/899045/000119312512081940/d263372dex10p5.htm" TargetMode="External"/><Relationship Id="rId265" Type="http://schemas.openxmlformats.org/officeDocument/2006/relationships/hyperlink" Target="https://www.sec.gov/Archives/edgar/data/899045/000119312512081940/d263372dex10p6.htm" TargetMode="External"/><Relationship Id="rId266" Type="http://schemas.openxmlformats.org/officeDocument/2006/relationships/hyperlink" Target="https://www.sec.gov/Archives/edgar/data/899045/000119312513084458/d446463dex10f9.htm" TargetMode="External"/><Relationship Id="rId267" Type="http://schemas.openxmlformats.org/officeDocument/2006/relationships/hyperlink" Target="https://www.sec.gov/Archives/edgar/data/899045/000119312513084458/d446463dex10f10.htm" TargetMode="External"/><Relationship Id="rId268" Type="http://schemas.openxmlformats.org/officeDocument/2006/relationships/hyperlink" Target="https://www.sec.gov/Archives/edgar/data/899045/000119312514072774/d651857dex10f12.htm" TargetMode="External"/><Relationship Id="rId271" Type="http://schemas.openxmlformats.org/officeDocument/2006/relationships/hyperlink" Target="https://www.sec.gov/Archives/edgar/data/899045/000119312514072774/d651857dex10f13.htm" TargetMode="External"/><Relationship Id="rId272" Type="http://schemas.openxmlformats.org/officeDocument/2006/relationships/hyperlink" Target="https://www.sec.gov/Archives/edgar/data/899045/000119312514072774/d651857dex10f14.htm" TargetMode="External"/><Relationship Id="rId273" Type="http://schemas.openxmlformats.org/officeDocument/2006/relationships/hyperlink" Target="https://www.sec.gov/Archives/edgar/data/899045/000119312514072774/d651857dex10f15.htm" TargetMode="External"/><Relationship Id="rId274" Type="http://schemas.openxmlformats.org/officeDocument/2006/relationships/hyperlink" Target="https://www.sec.gov/Archives/edgar/data/899045/000156459017002293/lamr-ex10f20_934.htm" TargetMode="External"/><Relationship Id="rId275" Type="http://schemas.openxmlformats.org/officeDocument/2006/relationships/hyperlink" Target="https://www.sec.gov/Archives/edgar/data/899045/000156459018010171/lamr-ex101_92.htm" TargetMode="External"/><Relationship Id="rId276" Type="http://schemas.openxmlformats.org/officeDocument/2006/relationships/hyperlink" Target="https://www.sec.gov/Archives/edgar/data/899045/000156459019015115/lamr-ex103_84.htm" TargetMode="External"/><Relationship Id="rId277" Type="http://schemas.openxmlformats.org/officeDocument/2006/relationships/hyperlink" Target="https://www.sec.gov/Archives/edgar/data/899045/000156459019015115/lamr-ex104_83.htm" TargetMode="External"/><Relationship Id="rId280" Type="http://schemas.openxmlformats.org/officeDocument/2006/relationships/hyperlink" Target="https://www.sec.gov/Archives/edgar/data/899045/000156459019040322/lamr-ex101_137.htm" TargetMode="External"/><Relationship Id="rId281" Type="http://schemas.openxmlformats.org/officeDocument/2006/relationships/hyperlink" Target="https://www.sec.gov/Archives/edgar/data/899045/000119312520033197/d889727dex103.htm" TargetMode="External"/><Relationship Id="rId282" Type="http://schemas.openxmlformats.org/officeDocument/2006/relationships/hyperlink" Target="https://www.sec.gov/Archives/edgar/data/899045/000162828022012480/lamr-20220331x10qxexx101.htm" TargetMode="External"/><Relationship Id="rId283" Type="http://schemas.openxmlformats.org/officeDocument/2006/relationships/hyperlink" Target="https://www.sec.gov/Archives/edgar/data/899045/000162828022020393/lamr-20220630x10qxexx101.htm" TargetMode="External"/><Relationship Id="rId284" Type="http://schemas.openxmlformats.org/officeDocument/2006/relationships/hyperlink" Target="https://www.sec.gov/Archives/edgar/data/899045/000119312522210548/d380331dex101.htm" TargetMode="External"/><Relationship Id="rId285" Type="http://schemas.openxmlformats.org/officeDocument/2006/relationships/hyperlink" Target="https://www.sec.gov/Archives/edgar/data/1090425/000119312523132452/d925964dex101.htm" TargetMode="External"/><Relationship Id="rId286" Type="http://schemas.openxmlformats.org/officeDocument/2006/relationships/hyperlink" Target="https://www.sec.gov/Archives/edgar/data/1090425/000119312523201706/d520407dex101.htm" TargetMode="External"/><Relationship Id="rId289" Type="http://schemas.openxmlformats.org/officeDocument/2006/relationships/hyperlink" Target="https://www.sec.gov/Archives/edgar/data/899045/000162828024035955/lamr-20240630x10qxexx101.htm" TargetMode="External"/><Relationship Id="rId290" Type="http://schemas.openxmlformats.org/officeDocument/2006/relationships/hyperlink" Target="https://www.sec.gov/Archives/edgar/data/899045/000119312522189555/d349853dex101.htm" TargetMode="External"/><Relationship Id="rId291" Type="http://schemas.openxmlformats.org/officeDocument/2006/relationships/hyperlink" Target="https://www.sec.gov/Archives/edgar/data/899045/000119312522189555/d349853dex102.htm" TargetMode="External"/><Relationship Id="rId292" Type="http://schemas.openxmlformats.org/officeDocument/2006/relationships/hyperlink" Target="https://www.sec.gov/Archives/edgar/data/1090425/000119312523058120/d415090dex101.htm" TargetMode="External"/><Relationship Id="rId293" Type="http://schemas.openxmlformats.org/officeDocument/2006/relationships/hyperlink" Target="https://www.sec.gov/Archives/edgar/data/899045/000162828024019876/lamr-20240331x10qxexx101.htm" TargetMode="External"/><Relationship Id="rId294" Type="http://schemas.openxmlformats.org/officeDocument/2006/relationships/hyperlink" Target="https://www.sec.gov/Archives/edgar/data/1090425/000119312514417756/d823054dex101.htm" TargetMode="External"/><Relationship Id="rId295" Type="http://schemas.openxmlformats.org/officeDocument/2006/relationships/hyperlink" Target="https://www.sec.gov/Archives/edgar/data/1090425/000162828023004975/lamr-20221231x10kxex14a.htm" TargetMode="External"/><Relationship Id="rId297" Type="http://schemas.openxmlformats.org/officeDocument/2006/relationships/hyperlink" Target="https://www.sec.gov/Archives/edgar/data/899045/000162828024006537/lamr-20231231x10k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2025-02-20T13:56:57Z</dcterms:created>
  <dcterms:modified xsi:type="dcterms:W3CDTF">2025-02-20T13:56:57Z</dcterms:modified>
</cp:coreProperties>
</file>