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14"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2021</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Arial" w:cs="Arial" w:eastAsia="Arial" w:hAnsi="Arial"/>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8"/>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Arial" w:cs="Arial" w:eastAsia="Arial" w:hAnsi="Arial"/>
                <w:sz w:val="13"/>
                <w:szCs w:val="13"/>
                <w:b w:val="1"/>
                <w:bCs w:val="1"/>
                <w:color w:val="auto"/>
                <w:w w:val="98"/>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2"/>
        </w:trPr>
        <w:tc>
          <w:tcPr>
            <w:tcW w:w="240" w:type="dxa"/>
            <w:vAlign w:val="bottom"/>
          </w:tcPr>
          <w:p>
            <w:pPr>
              <w:spacing w:after="0"/>
              <w:rPr>
                <w:sz w:val="23"/>
                <w:szCs w:val="23"/>
                <w:color w:val="auto"/>
              </w:rPr>
            </w:pPr>
          </w:p>
        </w:tc>
        <w:tc>
          <w:tcPr>
            <w:tcW w:w="5480" w:type="dxa"/>
            <w:vAlign w:val="bottom"/>
          </w:tcPr>
          <w:p>
            <w:pPr>
              <w:ind w:left="3820"/>
              <w:spacing w:after="0"/>
              <w:rPr>
                <w:sz w:val="20"/>
                <w:szCs w:val="20"/>
                <w:color w:val="auto"/>
              </w:rPr>
            </w:pPr>
            <w:r>
              <w:rPr>
                <w:rFonts w:ascii="Arial" w:cs="Arial" w:eastAsia="Arial" w:hAnsi="Arial"/>
                <w:sz w:val="13"/>
                <w:szCs w:val="13"/>
                <w:b w:val="1"/>
                <w:bCs w:val="1"/>
                <w:color w:val="auto"/>
                <w:w w:val="89"/>
              </w:rPr>
              <w:t>For the transition period from</w:t>
            </w:r>
          </w:p>
        </w:tc>
        <w:tc>
          <w:tcPr>
            <w:tcW w:w="620" w:type="dxa"/>
            <w:vAlign w:val="bottom"/>
            <w:tcBorders>
              <w:bottom w:val="single" w:sz="8" w:color="auto"/>
            </w:tcBorders>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auto"/>
                <w:w w:val="70"/>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-7620</wp:posOffset>
            </wp:positionV>
            <wp:extent cx="40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Commission File Number 1-36756</w:t>
      </w:r>
    </w:p>
    <w:p>
      <w:pPr>
        <w:spacing w:after="0" w:line="1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Advertising Company</w:t>
      </w:r>
    </w:p>
    <w:p>
      <w:pPr>
        <w:spacing w:after="0" w:line="32"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Commission File Number 1-12407</w:t>
      </w:r>
    </w:p>
    <w:p>
      <w:pPr>
        <w:spacing w:after="0" w:line="16"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Media Corp.</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registrants as specified in their charters)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47-0961620</w:t>
            </w:r>
          </w:p>
        </w:tc>
      </w:tr>
      <w:tr>
        <w:trPr>
          <w:trHeight w:val="175"/>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72-1205791</w:t>
            </w:r>
          </w:p>
        </w:tc>
      </w:tr>
      <w:tr>
        <w:trPr>
          <w:trHeight w:val="175"/>
        </w:trPr>
        <w:tc>
          <w:tcPr>
            <w:tcW w:w="7300" w:type="dxa"/>
            <w:vAlign w:val="bottom"/>
            <w:gridSpan w:val="4"/>
          </w:tcPr>
          <w:p>
            <w:pPr>
              <w:jc w:val="center"/>
              <w:ind w:right="2000"/>
              <w:spacing w:after="0"/>
              <w:rPr>
                <w:sz w:val="20"/>
                <w:szCs w:val="20"/>
                <w:color w:val="auto"/>
              </w:rPr>
            </w:pPr>
            <w:r>
              <w:rPr>
                <w:rFonts w:ascii="Arial" w:cs="Arial" w:eastAsia="Arial" w:hAnsi="Arial"/>
                <w:sz w:val="13"/>
                <w:szCs w:val="13"/>
                <w:b w:val="1"/>
                <w:bCs w:val="1"/>
                <w:i w:val="1"/>
                <w:iCs w:val="1"/>
                <w:color w:val="auto"/>
                <w:w w:val="85"/>
              </w:rPr>
              <w:t>(State or other jurisdiction of incorporation or organization)</w:t>
            </w: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351"/>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8"/>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2"/>
              </w:rPr>
              <w:t>70808</w:t>
            </w:r>
          </w:p>
        </w:tc>
      </w:tr>
      <w:tr>
        <w:trPr>
          <w:trHeight w:val="175"/>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90"/>
              </w:rPr>
              <w:t>(Zip Code)</w:t>
            </w:r>
          </w:p>
        </w:tc>
      </w:tr>
      <w:tr>
        <w:trPr>
          <w:trHeight w:val="291"/>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Registrants’ telephone number, including area code: (225) 926-1000</w:t>
            </w:r>
          </w:p>
        </w:tc>
        <w:tc>
          <w:tcPr>
            <w:tcW w:w="3740" w:type="dxa"/>
            <w:vAlign w:val="bottom"/>
          </w:tcPr>
          <w:p>
            <w:pPr>
              <w:spacing w:after="0"/>
              <w:rPr>
                <w:sz w:val="24"/>
                <w:szCs w:val="24"/>
                <w:color w:val="auto"/>
              </w:rPr>
            </w:pPr>
          </w:p>
        </w:tc>
      </w:tr>
      <w:tr>
        <w:trPr>
          <w:trHeight w:val="175"/>
        </w:trPr>
        <w:tc>
          <w:tcPr>
            <w:tcW w:w="3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1"/>
                <w:szCs w:val="11"/>
                <w:color w:val="auto"/>
              </w:rPr>
              <w:t>Securities registered pursuant to Section 12(b) of the Act:</w:t>
            </w:r>
          </w:p>
        </w:tc>
        <w:tc>
          <w:tcPr>
            <w:tcW w:w="3740" w:type="dxa"/>
            <w:vAlign w:val="bottom"/>
          </w:tcPr>
          <w:p>
            <w:pPr>
              <w:spacing w:after="0"/>
              <w:rPr>
                <w:sz w:val="15"/>
                <w:szCs w:val="15"/>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8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91"/>
              </w:rPr>
              <w:t>The NASDAQ Stock Market, LLC</w:t>
            </w:r>
          </w:p>
        </w:tc>
      </w:tr>
    </w:tbl>
    <w:p>
      <w:pPr>
        <w:spacing w:after="0" w:line="12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3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6"/>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3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5" w:right="3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28" w:lineRule="exact"/>
        <w:rPr>
          <w:sz w:val="24"/>
          <w:szCs w:val="24"/>
          <w:color w:val="auto"/>
        </w:rPr>
      </w:pPr>
    </w:p>
    <w:p>
      <w:pPr>
        <w:sectPr>
          <w:pgSz w:w="11900" w:h="16838" w:orient="portrait"/>
          <w:cols w:equalWidth="0" w:num="4">
            <w:col w:w="6540" w:space="120"/>
            <w:col w:w="200" w:space="60"/>
            <w:col w:w="100" w:space="120"/>
            <w:col w:w="4100"/>
          </w:cols>
          <w:pgMar w:left="320" w:top="1165"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56" w:lineRule="exact"/>
        <w:rPr>
          <w:sz w:val="24"/>
          <w:szCs w:val="24"/>
          <w:color w:val="auto"/>
        </w:rPr>
      </w:pPr>
    </w:p>
    <w:p>
      <w:pPr>
        <w:sectPr>
          <w:pgSz w:w="11900" w:h="16838" w:orient="portrait"/>
          <w:cols w:equalWidth="0" w:num="5">
            <w:col w:w="6060" w:space="120"/>
            <w:col w:w="200" w:space="60"/>
            <w:col w:w="100" w:space="120"/>
            <w:col w:w="160" w:space="60"/>
            <w:col w:w="4360"/>
          </w:cols>
          <w:pgMar w:left="320" w:top="1165" w:right="339" w:bottom="1440" w:gutter="0" w:footer="0" w:header="0"/>
          <w:type w:val="continuous"/>
        </w:sectPr>
      </w:pPr>
    </w:p>
    <w:p>
      <w:pPr>
        <w:spacing w:after="0"/>
        <w:rPr>
          <w:sz w:val="20"/>
          <w:szCs w:val="20"/>
          <w:color w:val="auto"/>
        </w:rPr>
      </w:pPr>
      <w:r>
        <w:rPr>
          <w:rFonts w:ascii="Arial" w:cs="Arial" w:eastAsia="Arial" w:hAnsi="Arial"/>
          <w:sz w:val="10"/>
          <w:szCs w:val="10"/>
          <w:color w:val="auto"/>
        </w:rPr>
        <w:t>The number of shares of Lamar Advertising Company’s Class A common stock outstanding as of October 29, 2021: 86,819,395</w:t>
      </w:r>
    </w:p>
    <w:p>
      <w:pPr>
        <w:sectPr>
          <w:pgSz w:w="11900" w:h="16838" w:orient="portrait"/>
          <w:cols w:equalWidth="0" w:num="1">
            <w:col w:w="11240"/>
          </w:cols>
          <w:pgMar w:left="320" w:top="1165" w:right="339" w:bottom="1440" w:gutter="0" w:footer="0" w:header="0"/>
          <w:type w:val="continuous"/>
        </w:sectPr>
      </w:pPr>
    </w:p>
    <w:p>
      <w:pPr>
        <w:spacing w:after="0" w:line="8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Lamar Advertising Company’s Class B common stock outstanding as of October 29, 2021: 14,420,085</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Media Corp. common stock outstanding as of October 29, 2021: 100</w:t>
      </w:r>
    </w:p>
    <w:p>
      <w:pPr>
        <w:spacing w:after="0" w:line="49" w:lineRule="exact"/>
        <w:rPr>
          <w:sz w:val="24"/>
          <w:szCs w:val="24"/>
          <w:color w:val="auto"/>
        </w:rPr>
      </w:pPr>
    </w:p>
    <w:p>
      <w:pPr>
        <w:spacing w:after="0" w:line="308" w:lineRule="auto"/>
        <w:rPr>
          <w:sz w:val="20"/>
          <w:szCs w:val="20"/>
          <w:color w:val="auto"/>
        </w:rPr>
      </w:pPr>
      <w:r>
        <w:rPr>
          <w:rFonts w:ascii="Arial" w:cs="Arial" w:eastAsia="Arial" w:hAnsi="Arial"/>
          <w:sz w:val="12"/>
          <w:szCs w:val="12"/>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magnitude of the impact of the COVID-19 pandemic on our operations and on general economic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further description of these and other risks and uncertainties, the Company encourages you to read carefully Item 1A to the combined Annual Report on Form 10-K for the year ended December 31, 2020 of the Company and Lamar Media (the “2020 Combined Form 10-K”), filed on February 26, 2021,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10420" w:type="dxa"/>
            <w:vAlign w:val="bottom"/>
            <w:gridSpan w:val="20"/>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PART I — FINANCIAL INFORMATION</w:t>
              </w:r>
            </w:hyperlink>
          </w:p>
        </w:tc>
        <w:tc>
          <w:tcPr>
            <w:tcW w:w="780" w:type="dxa"/>
            <w:vAlign w:val="bottom"/>
          </w:tcPr>
          <w:p>
            <w:pPr>
              <w:jc w:val="center"/>
              <w:spacing w:after="0" w:line="156"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1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360" w:type="dxa"/>
            <w:vAlign w:val="bottom"/>
            <w:gridSpan w:val="10"/>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452"/>
        </w:trPr>
        <w:tc>
          <w:tcPr>
            <w:tcW w:w="28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940" w:type="dxa"/>
            <w:vAlign w:val="bottom"/>
            <w:gridSpan w:val="19"/>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September 30, 2021 and December 31, 2020</w:t>
              </w:r>
            </w:hyperlink>
          </w:p>
        </w:tc>
        <w:tc>
          <w:tcPr>
            <w:tcW w:w="780" w:type="dxa"/>
            <w:vAlign w:val="bottom"/>
          </w:tcPr>
          <w:p>
            <w:pPr>
              <w:jc w:val="center"/>
              <w:spacing w:after="0" w:line="190"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Income and Comprehensive Income for the three and nine months ended September 30, 2021 and</w:t>
              </w:r>
            </w:hyperlink>
          </w:p>
        </w:tc>
        <w:tc>
          <w:tcPr>
            <w:tcW w:w="780" w:type="dxa"/>
            <w:vAlign w:val="bottom"/>
            <w:vMerge w:val="restart"/>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60" w:type="dxa"/>
            <w:vAlign w:val="bottom"/>
            <w:tcBorders>
              <w:top w:val="single" w:sz="8" w:color="0000FF"/>
            </w:tcBorders>
            <w:gridSpan w:val="2"/>
          </w:tcPr>
          <w:p>
            <w:pPr>
              <w:jc w:val="right"/>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2020</w:t>
              </w:r>
            </w:hyperlink>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20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for the three and nine months ended September 30, 2021 and 2020</w:t>
              </w:r>
            </w:hyperlink>
          </w:p>
        </w:tc>
        <w:tc>
          <w:tcPr>
            <w:tcW w:w="740" w:type="dxa"/>
            <w:vAlign w:val="bottom"/>
            <w:gridSpan w:val="2"/>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7</w:t>
              </w:r>
            </w:hyperlink>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for the nine months ended September 30, 2021 and 2020</w:t>
              </w:r>
            </w:hyperlink>
          </w:p>
        </w:tc>
        <w:tc>
          <w:tcPr>
            <w:tcW w:w="78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9</w:t>
              </w:r>
            </w:hyperlink>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2140" w:type="dxa"/>
            <w:vAlign w:val="bottom"/>
            <w:gridSpan w:val="4"/>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1"/>
              </w:rPr>
            </w:pPr>
            <w:hyperlink w:anchor="page9">
              <w:r>
                <w:rPr>
                  <w:rFonts w:ascii="Arial" w:cs="Arial" w:eastAsia="Arial" w:hAnsi="Arial"/>
                  <w:sz w:val="18"/>
                  <w:szCs w:val="18"/>
                  <w:color w:val="auto"/>
                  <w:w w:val="91"/>
                </w:rPr>
                <w:t>10</w:t>
              </w:r>
            </w:hyperlink>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420" w:type="dxa"/>
            <w:vAlign w:val="bottom"/>
            <w:gridSpan w:val="20"/>
          </w:tcPr>
          <w:p>
            <w:pPr>
              <w:spacing w:after="0"/>
              <w:rPr>
                <w:sz w:val="20"/>
                <w:szCs w:val="20"/>
                <w:color w:val="auto"/>
              </w:rPr>
            </w:pPr>
            <w:r>
              <w:rPr>
                <w:rFonts w:ascii="Arial" w:cs="Arial" w:eastAsia="Arial" w:hAnsi="Arial"/>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940" w:type="dxa"/>
            <w:vAlign w:val="bottom"/>
            <w:gridSpan w:val="19"/>
          </w:tcPr>
          <w:p>
            <w:pPr>
              <w:spacing w:after="0" w:line="190" w:lineRule="exact"/>
              <w:rPr>
                <w:rFonts w:ascii="Arial" w:cs="Arial" w:eastAsia="Arial" w:hAnsi="Arial"/>
                <w:sz w:val="18"/>
                <w:szCs w:val="18"/>
                <w:color w:val="0000FF"/>
              </w:rPr>
            </w:pPr>
            <w:hyperlink w:anchor="page21">
              <w:r>
                <w:rPr>
                  <w:rFonts w:ascii="Arial" w:cs="Arial" w:eastAsia="Arial" w:hAnsi="Arial"/>
                  <w:sz w:val="18"/>
                  <w:szCs w:val="18"/>
                  <w:color w:val="0000FF"/>
                </w:rPr>
                <w:t>Condensed Consolidated Balance Sheets as of September 30, 2021 and December 31, 2020</w:t>
              </w:r>
            </w:hyperlink>
          </w:p>
        </w:tc>
        <w:tc>
          <w:tcPr>
            <w:tcW w:w="780" w:type="dxa"/>
            <w:vAlign w:val="bottom"/>
          </w:tcPr>
          <w:p>
            <w:pPr>
              <w:jc w:val="center"/>
              <w:spacing w:after="0" w:line="190" w:lineRule="exact"/>
              <w:rPr>
                <w:rFonts w:ascii="Arial" w:cs="Arial" w:eastAsia="Arial" w:hAnsi="Arial"/>
                <w:sz w:val="18"/>
                <w:szCs w:val="18"/>
                <w:color w:val="auto"/>
                <w:w w:val="89"/>
              </w:rPr>
            </w:pPr>
            <w:hyperlink w:anchor="page21">
              <w:r>
                <w:rPr>
                  <w:rFonts w:ascii="Arial" w:cs="Arial" w:eastAsia="Arial" w:hAnsi="Arial"/>
                  <w:sz w:val="18"/>
                  <w:szCs w:val="18"/>
                  <w:color w:val="auto"/>
                  <w:w w:val="89"/>
                </w:rPr>
                <w:t>22</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Condensed Consolidated Statements of Income and Comprehensive Income for the three and nine months ended September 30, 2021 and</w:t>
              </w:r>
            </w:hyperlink>
          </w:p>
        </w:tc>
        <w:tc>
          <w:tcPr>
            <w:tcW w:w="780" w:type="dxa"/>
            <w:vAlign w:val="bottom"/>
            <w:vMerge w:val="restart"/>
          </w:tcPr>
          <w:p>
            <w:pPr>
              <w:jc w:val="center"/>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23</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4"/>
              </w:rPr>
            </w:pPr>
            <w:hyperlink w:anchor="page22">
              <w:r>
                <w:rPr>
                  <w:rFonts w:ascii="Arial" w:cs="Arial" w:eastAsia="Arial" w:hAnsi="Arial"/>
                  <w:sz w:val="18"/>
                  <w:szCs w:val="18"/>
                  <w:color w:val="0000FF"/>
                  <w:w w:val="74"/>
                </w:rPr>
                <w:t>2020</w:t>
              </w:r>
            </w:hyperlink>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FF"/>
                <w:w w:val="96"/>
              </w:rPr>
            </w:pPr>
            <w:hyperlink w:anchor="page23">
              <w:r>
                <w:rPr>
                  <w:rFonts w:ascii="Arial" w:cs="Arial" w:eastAsia="Arial" w:hAnsi="Arial"/>
                  <w:sz w:val="18"/>
                  <w:szCs w:val="18"/>
                  <w:color w:val="0000FF"/>
                  <w:w w:val="96"/>
                </w:rPr>
                <w:t>Condensed Consolidated Statements of Stockholder's Equity for the three and nine months ended September 30, 2021 and 2020</w:t>
              </w:r>
            </w:hyperlink>
          </w:p>
        </w:tc>
        <w:tc>
          <w:tcPr>
            <w:tcW w:w="780" w:type="dxa"/>
            <w:vAlign w:val="bottom"/>
          </w:tcPr>
          <w:p>
            <w:pPr>
              <w:jc w:val="center"/>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24</w:t>
              </w:r>
            </w:hyperlink>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160" w:type="dxa"/>
            <w:vAlign w:val="bottom"/>
            <w:tcBorders>
              <w:top w:val="single" w:sz="8" w:color="0000FF"/>
            </w:tcBorders>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Condensed Consolidated Statements of Cash Flows for the nine months ended September 30, 2021 and 2020</w:t>
              </w:r>
            </w:hyperlink>
          </w:p>
        </w:tc>
        <w:tc>
          <w:tcPr>
            <w:tcW w:w="780" w:type="dxa"/>
            <w:vAlign w:val="bottom"/>
            <w:gridSpan w:val="3"/>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89"/>
              </w:rPr>
            </w:pPr>
            <w:hyperlink w:anchor="page24">
              <w:r>
                <w:rPr>
                  <w:rFonts w:ascii="Arial" w:cs="Arial" w:eastAsia="Arial" w:hAnsi="Arial"/>
                  <w:sz w:val="18"/>
                  <w:szCs w:val="18"/>
                  <w:color w:val="auto"/>
                  <w:w w:val="89"/>
                </w:rPr>
                <w:t>25</w:t>
              </w:r>
            </w:hyperlink>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Notes to Condensed Consolidated Financial Statements</w:t>
              </w:r>
            </w:hyperlink>
          </w:p>
        </w:tc>
        <w:tc>
          <w:tcPr>
            <w:tcW w:w="2140" w:type="dxa"/>
            <w:vAlign w:val="bottom"/>
            <w:gridSpan w:val="4"/>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1"/>
              </w:rPr>
            </w:pPr>
            <w:hyperlink w:anchor="page25">
              <w:r>
                <w:rPr>
                  <w:rFonts w:ascii="Arial" w:cs="Arial" w:eastAsia="Arial" w:hAnsi="Arial"/>
                  <w:sz w:val="18"/>
                  <w:szCs w:val="18"/>
                  <w:color w:val="auto"/>
                  <w:w w:val="91"/>
                </w:rPr>
                <w:t>26</w:t>
              </w:r>
            </w:hyperlink>
            <w:r>
              <w:rPr>
                <w:rFonts w:ascii="Arial" w:cs="Arial" w:eastAsia="Arial" w:hAnsi="Arial"/>
                <w:sz w:val="18"/>
                <w:szCs w:val="18"/>
                <w:color w:val="auto"/>
                <w:w w:val="91"/>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 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color w:val="auto"/>
                <w:w w:val="91"/>
              </w:rPr>
            </w:pPr>
            <w:hyperlink w:anchor="page34">
              <w:r>
                <w:rPr>
                  <w:rFonts w:ascii="Arial" w:cs="Arial" w:eastAsia="Arial" w:hAnsi="Arial"/>
                  <w:sz w:val="18"/>
                  <w:szCs w:val="18"/>
                  <w:color w:val="auto"/>
                  <w:w w:val="91"/>
                </w:rPr>
                <w:t>35</w:t>
              </w:r>
            </w:hyperlink>
            <w:r>
              <w:rPr>
                <w:rFonts w:ascii="Arial" w:cs="Arial" w:eastAsia="Arial" w:hAnsi="Arial"/>
                <w:sz w:val="18"/>
                <w:szCs w:val="18"/>
                <w:color w:val="auto"/>
                <w:w w:val="91"/>
              </w:rPr>
              <w:t>-52</w:t>
            </w:r>
          </w:p>
        </w:tc>
        <w:tc>
          <w:tcPr>
            <w:tcW w:w="0" w:type="dxa"/>
            <w:vAlign w:val="bottom"/>
          </w:tcPr>
          <w:p>
            <w:pPr>
              <w:spacing w:after="0"/>
              <w:rPr>
                <w:sz w:val="1"/>
                <w:szCs w:val="1"/>
                <w:color w:val="auto"/>
              </w:rPr>
            </w:pPr>
          </w:p>
        </w:tc>
      </w:tr>
      <w:tr>
        <w:trPr>
          <w:trHeight w:val="317"/>
        </w:trPr>
        <w:tc>
          <w:tcPr>
            <w:tcW w:w="50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ITEM 3. 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4. Controls and Procedures</w:t>
              </w:r>
            </w:hyperlink>
          </w:p>
        </w:tc>
        <w:tc>
          <w:tcPr>
            <w:tcW w:w="7980" w:type="dxa"/>
            <w:vAlign w:val="bottom"/>
            <w:gridSpan w:val="13"/>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53">
              <w:r>
                <w:rPr>
                  <w:rFonts w:ascii="Arial" w:cs="Arial" w:eastAsia="Arial" w:hAnsi="Arial"/>
                  <w:sz w:val="18"/>
                  <w:szCs w:val="18"/>
                  <w:color w:val="0000FF"/>
                  <w:w w:val="96"/>
                </w:rPr>
                <w:t>PART II — OTHER INFORMATION</w:t>
              </w:r>
            </w:hyperlink>
          </w:p>
        </w:tc>
        <w:tc>
          <w:tcPr>
            <w:tcW w:w="7660" w:type="dxa"/>
            <w:vAlign w:val="bottom"/>
            <w:gridSpan w:val="12"/>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54</w:t>
              </w:r>
            </w:hyperlink>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1A. Risk Factors</w:t>
              </w:r>
            </w:hyperlink>
          </w:p>
        </w:tc>
        <w:tc>
          <w:tcPr>
            <w:tcW w:w="780" w:type="dxa"/>
            <w:vAlign w:val="bottom"/>
          </w:tcPr>
          <w:p>
            <w:pPr>
              <w:jc w:val="center"/>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54</w:t>
              </w:r>
            </w:hyperlink>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2. Unregistered Sales of Equity Securities and Use of Proceeds</w:t>
              </w:r>
            </w:hyperlink>
          </w:p>
        </w:tc>
        <w:tc>
          <w:tcPr>
            <w:tcW w:w="5400" w:type="dxa"/>
            <w:vAlign w:val="bottom"/>
            <w:gridSpan w:val="8"/>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54</w:t>
              </w:r>
            </w:hyperlink>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5. Other Information</w:t>
              </w:r>
            </w:hyperlink>
          </w:p>
        </w:tc>
        <w:tc>
          <w:tcPr>
            <w:tcW w:w="780" w:type="dxa"/>
            <w:vAlign w:val="bottom"/>
          </w:tcPr>
          <w:p>
            <w:pPr>
              <w:jc w:val="center"/>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54</w:t>
              </w:r>
            </w:hyperlink>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6"/>
              </w:rPr>
            </w:pPr>
            <w:hyperlink w:anchor="page54">
              <w:r>
                <w:rPr>
                  <w:rFonts w:ascii="Arial" w:cs="Arial" w:eastAsia="Arial" w:hAnsi="Arial"/>
                  <w:sz w:val="18"/>
                  <w:szCs w:val="18"/>
                  <w:color w:val="0000FF"/>
                  <w:w w:val="96"/>
                </w:rPr>
                <w:t>ITEM 6. Exhibits</w:t>
              </w:r>
            </w:hyperlink>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8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0"/>
        </w:trPr>
        <w:tc>
          <w:tcPr>
            <w:tcW w:w="8000" w:type="dxa"/>
            <w:vAlign w:val="bottom"/>
            <w:shd w:val="clear" w:color="auto" w:fill="CCEEFF"/>
          </w:tcPr>
          <w:p>
            <w:pPr>
              <w:ind w:left="374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121,569</w:t>
            </w:r>
          </w:p>
        </w:tc>
      </w:tr>
      <w:tr>
        <w:trPr>
          <w:trHeight w:val="186"/>
        </w:trPr>
        <w:tc>
          <w:tcPr>
            <w:tcW w:w="8000" w:type="dxa"/>
            <w:vAlign w:val="bottom"/>
          </w:tcPr>
          <w:p>
            <w:pPr>
              <w:ind w:left="260"/>
              <w:spacing w:after="0"/>
              <w:rPr>
                <w:sz w:val="20"/>
                <w:szCs w:val="20"/>
                <w:color w:val="auto"/>
              </w:rPr>
            </w:pPr>
            <w:r>
              <w:rPr>
                <w:rFonts w:ascii="Arial" w:cs="Arial" w:eastAsia="Arial" w:hAnsi="Arial"/>
                <w:sz w:val="14"/>
                <w:szCs w:val="14"/>
                <w:color w:val="auto"/>
              </w:rPr>
              <w:t>Receivables, net of allowance for doubtful accounts of $12,458 and $14,946 in 2021 and 2020, respectively</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262,661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240,854</w:t>
            </w: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18,147</w:t>
            </w: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370,432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380,570</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3,720,040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3,615,505</w:t>
            </w:r>
          </w:p>
        </w:tc>
      </w:tr>
      <w:tr>
        <w:trPr>
          <w:trHeight w:val="186"/>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(2,428,803)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(2,333,656)</w:t>
            </w:r>
          </w:p>
        </w:tc>
      </w:tr>
      <w:tr>
        <w:trPr>
          <w:trHeight w:val="183"/>
        </w:trPr>
        <w:tc>
          <w:tcPr>
            <w:tcW w:w="8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property, plant and equipment</w:t>
            </w: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1,291,237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1,281,849</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both"/>
        <w:ind w:left="20"/>
        <w:spacing w:after="0" w:line="279" w:lineRule="auto"/>
        <w:rPr>
          <w:sz w:val="20"/>
          <w:szCs w:val="20"/>
          <w:color w:val="auto"/>
        </w:rPr>
      </w:pPr>
      <w:r>
        <w:rPr>
          <w:rFonts w:ascii="Arial" w:cs="Arial" w:eastAsia="Arial" w:hAnsi="Arial"/>
          <w:sz w:val="14"/>
          <w:szCs w:val="14"/>
          <w:color w:val="auto"/>
        </w:rPr>
        <w:t>Operating lease right of use assets Financing lease right of use assets Goodwill</w:t>
      </w:r>
    </w:p>
    <w:p>
      <w:pPr>
        <w:ind w:left="20"/>
        <w:spacing w:after="0"/>
        <w:rPr>
          <w:sz w:val="20"/>
          <w:szCs w:val="20"/>
          <w:color w:val="auto"/>
        </w:rPr>
      </w:pPr>
      <w:r>
        <w:rPr>
          <w:rFonts w:ascii="Arial" w:cs="Arial" w:eastAsia="Arial" w:hAnsi="Arial"/>
          <w:sz w:val="14"/>
          <w:szCs w:val="14"/>
          <w:color w:val="auto"/>
        </w:rPr>
        <w:t>Intangible assets,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1,208,425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1,222,013</w:t>
            </w:r>
          </w:p>
        </w:tc>
      </w:tr>
      <w:tr>
        <w:trPr>
          <w:trHeight w:val="184"/>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17,604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19,670</w:t>
            </w:r>
          </w:p>
        </w:tc>
      </w:tr>
      <w:tr>
        <w:trPr>
          <w:trHeight w:val="189"/>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1,926,919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1,912,328</w:t>
            </w:r>
          </w:p>
        </w:tc>
      </w:tr>
      <w:tr>
        <w:trPr>
          <w:trHeight w:val="189"/>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909,508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914,446</w:t>
            </w:r>
          </w:p>
        </w:tc>
      </w:tr>
      <w:tr>
        <w:trPr>
          <w:trHeight w:val="195"/>
        </w:trPr>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94,562</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60,565</w:t>
            </w:r>
          </w:p>
        </w:tc>
      </w:tr>
      <w:tr>
        <w:trPr>
          <w:trHeight w:val="182"/>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5,818,687</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5,791,441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-603885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-363855</wp:posOffset>
            </wp:positionV>
            <wp:extent cx="71323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-123825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-86995</wp:posOffset>
            </wp:positionV>
            <wp:extent cx="205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980" w:space="460"/>
            <w:col w:w="8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Trade accounts payable</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12,655</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12,017</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long-term debt, net of deferred financing costs of $641 and $445 in 2021 and 2020, respectively</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174,725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174,659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195,439</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financing lease liabilities</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114,194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105,288</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128,991</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111,363</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606,555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547,872</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deferred financing costs of $37,446 and $39,672 in 2021 and 2020, respectively</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2,662,656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2,764,082</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977,941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993,776</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lease liabilities</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6,016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4,854</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retirement obligation</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267,024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222,876</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39,090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36,605</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4,576,891</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4,588,673</w:t>
            </w:r>
          </w:p>
        </w:tc>
        <w:tc>
          <w:tcPr>
            <w:tcW w:w="0" w:type="dxa"/>
            <w:vAlign w:val="bottom"/>
          </w:tcPr>
          <w:p>
            <w:pPr>
              <w:spacing w:after="0"/>
              <w:rPr>
                <w:sz w:val="1"/>
                <w:szCs w:val="1"/>
                <w:color w:val="auto"/>
              </w:rPr>
            </w:pPr>
          </w:p>
        </w:tc>
      </w:tr>
      <w:tr>
        <w:trPr>
          <w:trHeight w:val="166"/>
        </w:trPr>
        <w:tc>
          <w:tcPr>
            <w:tcW w:w="80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9"/>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outstanding at 2021 and 2020</w:t>
            </w:r>
          </w:p>
        </w:tc>
        <w:tc>
          <w:tcPr>
            <w:tcW w:w="5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260"/>
              <w:spacing w:after="0" w:line="135" w:lineRule="exact"/>
              <w:rPr>
                <w:sz w:val="20"/>
                <w:szCs w:val="20"/>
                <w:color w:val="auto"/>
              </w:rPr>
            </w:pPr>
            <w:r>
              <w:rPr>
                <w:rFonts w:ascii="Arial" w:cs="Arial" w:eastAsia="Arial" w:hAnsi="Arial"/>
                <w:sz w:val="14"/>
                <w:szCs w:val="14"/>
                <w:color w:val="auto"/>
                <w:w w:val="91"/>
              </w:rPr>
              <w:t>Class A common stock, par value $0.001, 362,500,000 shares authorized; 87,505,031 and 87,111,327 shares issued at 2021 and 2020,</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8000" w:type="dxa"/>
            <w:vAlign w:val="bottom"/>
          </w:tcPr>
          <w:p>
            <w:pPr>
              <w:ind w:left="520"/>
              <w:spacing w:after="0"/>
              <w:rPr>
                <w:sz w:val="20"/>
                <w:szCs w:val="20"/>
                <w:color w:val="auto"/>
              </w:rPr>
            </w:pPr>
            <w:r>
              <w:rPr>
                <w:rFonts w:ascii="Arial" w:cs="Arial" w:eastAsia="Arial" w:hAnsi="Arial"/>
                <w:sz w:val="14"/>
                <w:szCs w:val="14"/>
                <w:color w:val="auto"/>
              </w:rPr>
              <w:t>respectively; 86,819,395 and 86,491,646 outstanding at 2021 and 2020,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2"/>
              </w:rPr>
              <w:t>Class B common stock, par value $0.001, 37,500,000 shares authorized, 14,420,085 shares issued and outstanding at 2021 and 2020</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1,997,162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1,963,850</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comprehensive income</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(705,745)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(717,331)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shares held in treasury, 685,636 and 619,681 shares at 2021 and 2020, respectively</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(50,573)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(44,786)</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Stockholders’ equity</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1,241,796</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1,202,768</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5,818,687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5,791,441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52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62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386,110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1,292,827</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1,140,331</w:t>
            </w: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w w:val="93"/>
              </w:rPr>
              <w:t>Direct advertising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418,973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419,862</w:t>
            </w:r>
          </w:p>
        </w:tc>
        <w:tc>
          <w:tcPr>
            <w:tcW w:w="0" w:type="dxa"/>
            <w:vAlign w:val="bottom"/>
          </w:tcPr>
          <w:p>
            <w:pPr>
              <w:spacing w:after="0"/>
              <w:rPr>
                <w:sz w:val="1"/>
                <w:szCs w:val="1"/>
                <w:color w:val="auto"/>
              </w:rPr>
            </w:pPr>
          </w:p>
        </w:tc>
      </w:tr>
      <w:tr>
        <w:trPr>
          <w:trHeight w:val="175"/>
        </w:trPr>
        <w:tc>
          <w:tcPr>
            <w:tcW w:w="562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9"/>
              </w:rPr>
              <w:t>General and administrative expenses (exclusive of depreciation and</w:t>
            </w:r>
          </w:p>
        </w:tc>
        <w:tc>
          <w:tcPr>
            <w:tcW w:w="24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85,946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66,749</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234,429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216,361</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Corporate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52,507</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205,671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187,548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343,558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280,257</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921,582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871,455</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371,245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268,876</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107,058</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in earnings of investee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24,786</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100,547</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dividends declared and paid on preferred stock</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applicable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220"/>
              <w:spacing w:after="0" w:line="203"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1"/>
              </w:rPr>
              <w:t>Weighted average common shares used in computing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101,195,158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100,812,570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101,097,124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100,722,859</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101,401,754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100,924,981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101,298,444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100,860,870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106,838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62,758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264,776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134,680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740" w:type="dxa"/>
            <w:vAlign w:val="bottom"/>
          </w:tcPr>
          <w:p>
            <w:pPr>
              <w:jc w:val="center"/>
              <w:ind w:left="176"/>
              <w:spacing w:after="0"/>
              <w:rPr>
                <w:sz w:val="20"/>
                <w:szCs w:val="20"/>
                <w:color w:val="auto"/>
              </w:rPr>
            </w:pPr>
            <w:r>
              <w:rPr>
                <w:rFonts w:ascii="Arial" w:cs="Arial" w:eastAsia="Arial" w:hAnsi="Arial"/>
                <w:sz w:val="11"/>
                <w:szCs w:val="11"/>
                <w:b w:val="1"/>
                <w:bCs w:val="1"/>
                <w:color w:val="auto"/>
                <w:w w:val="88"/>
              </w:rPr>
              <w:t>Series AA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Treasury</w:t>
            </w:r>
          </w:p>
        </w:tc>
        <w:tc>
          <w:tcPr>
            <w:tcW w:w="220" w:type="dxa"/>
            <w:vAlign w:val="bottom"/>
          </w:tcPr>
          <w:p>
            <w:pPr>
              <w:spacing w:after="0"/>
              <w:rPr>
                <w:sz w:val="10"/>
                <w:szCs w:val="1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Add’l</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6"/>
              <w:spacing w:after="0" w:line="108" w:lineRule="exact"/>
              <w:rPr>
                <w:sz w:val="20"/>
                <w:szCs w:val="20"/>
                <w:color w:val="auto"/>
              </w:rPr>
            </w:pPr>
            <w:r>
              <w:rPr>
                <w:rFonts w:ascii="Arial" w:cs="Arial" w:eastAsia="Arial" w:hAnsi="Arial"/>
                <w:sz w:val="11"/>
                <w:szCs w:val="11"/>
                <w:b w:val="1"/>
                <w:bCs w:val="1"/>
                <w:color w:val="auto"/>
                <w:w w:val="95"/>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6"/>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6"/>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88"/>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0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40" w:type="dxa"/>
            <w:vAlign w:val="bottom"/>
          </w:tcPr>
          <w:p>
            <w:pPr>
              <w:jc w:val="center"/>
              <w:ind w:left="176"/>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1,963,850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1,202,768</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149,000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82,101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5,224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31,824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Purchase of 65,290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(5,717)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(5,717)</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38,329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($0.75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(75,818)</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(50,503)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1,985,682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1,138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(754,911)</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1,181,507</w:t>
            </w: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4,685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38,265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2,575</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30,302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119,609</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Dividends/distributions to common</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180"/>
              <w:spacing w:after="0" w:line="135" w:lineRule="exact"/>
              <w:rPr>
                <w:sz w:val="20"/>
                <w:szCs w:val="20"/>
                <w:color w:val="auto"/>
              </w:rPr>
            </w:pPr>
            <w:r>
              <w:rPr>
                <w:rFonts w:ascii="Arial" w:cs="Arial" w:eastAsia="Arial" w:hAnsi="Arial"/>
                <w:sz w:val="14"/>
                <w:szCs w:val="14"/>
                <w:color w:val="auto"/>
              </w:rPr>
              <w:t>shareholders ($0.75 per common</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(75,874)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(75,874)</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($15.95 per preferred share)</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(50,503)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1,991,836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(711,267)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1,231,605</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Issuance of 5,300 shares of common</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Exercise of 26,880 shares of stock</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Issuance of shares 25,347 of common</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2,262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Purchase of 665 shares of treasury stock</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106,838</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Dividends/distributions to common</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180"/>
              <w:spacing w:after="0" w:line="135" w:lineRule="exact"/>
              <w:rPr>
                <w:sz w:val="20"/>
                <w:szCs w:val="20"/>
                <w:color w:val="auto"/>
              </w:rPr>
            </w:pPr>
            <w:r>
              <w:rPr>
                <w:rFonts w:ascii="Arial" w:cs="Arial" w:eastAsia="Arial" w:hAnsi="Arial"/>
                <w:sz w:val="14"/>
                <w:szCs w:val="14"/>
                <w:color w:val="auto"/>
              </w:rPr>
              <w:t>shareholders ($1.00 per common</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(101,225)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(101,225)</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($15.95 per preferred share)</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7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(50,573)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1,997,162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(705,745)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1,241,796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740" w:type="dxa"/>
            <w:vAlign w:val="bottom"/>
          </w:tcPr>
          <w:p>
            <w:pPr>
              <w:jc w:val="center"/>
              <w:ind w:left="176"/>
              <w:spacing w:after="0"/>
              <w:rPr>
                <w:sz w:val="20"/>
                <w:szCs w:val="20"/>
                <w:color w:val="auto"/>
              </w:rPr>
            </w:pPr>
            <w:r>
              <w:rPr>
                <w:rFonts w:ascii="Arial" w:cs="Arial" w:eastAsia="Arial" w:hAnsi="Arial"/>
                <w:sz w:val="11"/>
                <w:szCs w:val="11"/>
                <w:b w:val="1"/>
                <w:bCs w:val="1"/>
                <w:color w:val="auto"/>
                <w:w w:val="88"/>
              </w:rPr>
              <w:t>Series AA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Treasury</w:t>
            </w:r>
          </w:p>
        </w:tc>
        <w:tc>
          <w:tcPr>
            <w:tcW w:w="220" w:type="dxa"/>
            <w:vAlign w:val="bottom"/>
          </w:tcPr>
          <w:p>
            <w:pPr>
              <w:spacing w:after="0"/>
              <w:rPr>
                <w:sz w:val="10"/>
                <w:szCs w:val="1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Add’l</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6"/>
              <w:spacing w:after="0" w:line="108" w:lineRule="exact"/>
              <w:rPr>
                <w:sz w:val="20"/>
                <w:szCs w:val="20"/>
                <w:color w:val="auto"/>
              </w:rPr>
            </w:pPr>
            <w:r>
              <w:rPr>
                <w:rFonts w:ascii="Arial" w:cs="Arial" w:eastAsia="Arial" w:hAnsi="Arial"/>
                <w:sz w:val="11"/>
                <w:szCs w:val="11"/>
                <w:b w:val="1"/>
                <w:bCs w:val="1"/>
                <w:color w:val="auto"/>
                <w:w w:val="95"/>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88"/>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0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40" w:type="dxa"/>
            <w:vAlign w:val="bottom"/>
          </w:tcPr>
          <w:p>
            <w:pPr>
              <w:jc w:val="center"/>
              <w:ind w:left="176"/>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7"/>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7"/>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1,922,222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1,180,306</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279,116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24,956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14,609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58,734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w w:val="98"/>
              </w:rPr>
              <w:t>Purchase of 110,520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40,493</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($1.00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(100,687)</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(44,362)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1,951,651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(768,693)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1,137,784</w:t>
            </w: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11,008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13,642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31,114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Purchase of 1,196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31,429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31,429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($0.50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(50,396)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(50,396)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1,955,612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1,123,371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60" w:type="dxa"/>
            <w:vAlign w:val="bottom"/>
            <w:tcBorders>
              <w:top w:val="single" w:sz="8" w:color="CCEEFF"/>
            </w:tcBorders>
            <w:vMerge w:val="continue"/>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Exercise of 6,455 shares of stock options</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Issuance of shares 31,705 of common</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62,758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62,758</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($0.50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(50,416)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(50,416)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1,958,713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1,139,053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3"/>
          <w:szCs w:val="13"/>
          <w:b w:val="1"/>
          <w:bCs w:val="1"/>
          <w:color w:val="auto"/>
        </w:rPr>
        <w:t>Nine Months Ended</w:t>
      </w:r>
    </w:p>
    <w:p>
      <w:pPr>
        <w:jc w:val="center"/>
        <w:ind w:left="8420"/>
        <w:spacing w:after="0"/>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84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1"/>
        </w:trPr>
        <w:tc>
          <w:tcPr>
            <w:tcW w:w="84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264,776</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134,680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205,671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187,548</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11,046</w:t>
            </w: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4,467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(4,823)</w:t>
            </w: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Loss on extinguishment of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21,604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25,235</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Deferred tax expense (benefit)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9,442</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(24,475)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19,253</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(Decrease) increase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(11,597)</w:t>
            </w:r>
          </w:p>
        </w:tc>
        <w:tc>
          <w:tcPr>
            <w:tcW w:w="0" w:type="dxa"/>
            <w:vAlign w:val="bottom"/>
          </w:tcPr>
          <w:p>
            <w:pPr>
              <w:spacing w:after="0"/>
              <w:rPr>
                <w:sz w:val="1"/>
                <w:szCs w:val="1"/>
                <w:color w:val="auto"/>
              </w:rPr>
            </w:pP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(22,560)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(15,475)</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1180"/>
              <w:spacing w:after="0"/>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488,234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361,457</w:t>
            </w: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Acquisitions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(107,593)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(28,747)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 expenditures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(71,513)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(44,633)</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 for investments in equity securities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(30,000)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5,699</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Decrease in notes receivable</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Net cash used in investing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(203,238)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(67,681)</w:t>
            </w:r>
          </w:p>
        </w:tc>
        <w:tc>
          <w:tcPr>
            <w:tcW w:w="0" w:type="dxa"/>
            <w:vAlign w:val="bottom"/>
          </w:tcPr>
          <w:p>
            <w:pPr>
              <w:spacing w:after="0"/>
              <w:rPr>
                <w:sz w:val="1"/>
                <w:szCs w:val="1"/>
                <w:color w:val="auto"/>
              </w:rPr>
            </w:pPr>
          </w:p>
        </w:tc>
      </w:tr>
      <w:tr>
        <w:trPr>
          <w:trHeight w:val="148"/>
        </w:trPr>
        <w:tc>
          <w:tcPr>
            <w:tcW w:w="8440" w:type="dxa"/>
            <w:vAlign w:val="bottom"/>
          </w:tcPr>
          <w:p>
            <w:pPr>
              <w:spacing w:after="0" w:line="141" w:lineRule="exact"/>
              <w:rPr>
                <w:sz w:val="20"/>
                <w:szCs w:val="20"/>
                <w:color w:val="auto"/>
              </w:rPr>
            </w:pPr>
            <w:r>
              <w:rPr>
                <w:rFonts w:ascii="Arial" w:cs="Arial" w:eastAsia="Arial" w:hAnsi="Arial"/>
                <w:sz w:val="13"/>
                <w:szCs w:val="13"/>
                <w:color w:val="auto"/>
              </w:rPr>
              <w:t>Cash flows from financing activities: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used for purchase of treasury stock</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(10,124)</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proceeds from issuance of common stock</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7,740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long-term debt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Borrowings on long-term debt</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(805,000)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725,000</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Redemption of senior notes and senior subordinated notes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(668,688)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(1,058,596)</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note offering</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550,000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1,549,250</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120,000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122,500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(67,500)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(175,000)</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senior credit facility term loans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598,500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senior credit facility term loans</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(978,097)</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Debt issuance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(32,667)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Dividends/distributions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(253,190)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(201,772)</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(319,139)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(251,264)</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Effect of exchange rate changes in cash and cash equivalents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(decrease) increase in cash and cash equivalents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(34,000)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42,440</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Cash and cash equivalents at beginning of period</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121,569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26,188</w:t>
            </w:r>
          </w:p>
        </w:tc>
        <w:tc>
          <w:tcPr>
            <w:tcW w:w="0" w:type="dxa"/>
            <w:vAlign w:val="bottom"/>
          </w:tcPr>
          <w:p>
            <w:pPr>
              <w:spacing w:after="0"/>
              <w:rPr>
                <w:sz w:val="1"/>
                <w:szCs w:val="1"/>
                <w:color w:val="auto"/>
              </w:rPr>
            </w:pPr>
          </w:p>
        </w:tc>
      </w:tr>
      <w:tr>
        <w:trPr>
          <w:trHeight w:val="200"/>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87,569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68,628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paid for interest</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87,729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115,999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tcPr>
          <w:p>
            <w:pPr>
              <w:ind w:left="200"/>
              <w:spacing w:after="0"/>
              <w:rPr>
                <w:sz w:val="20"/>
                <w:szCs w:val="20"/>
                <w:color w:val="auto"/>
              </w:rPr>
            </w:pPr>
            <w:r>
              <w:rPr>
                <w:rFonts w:ascii="Arial" w:cs="Arial" w:eastAsia="Arial" w:hAnsi="Arial"/>
                <w:sz w:val="13"/>
                <w:szCs w:val="13"/>
                <w:color w:val="auto"/>
              </w:rPr>
              <w:t>Cash paid for foreign, state and federal income taxes</w:t>
            </w:r>
          </w:p>
        </w:tc>
        <w:tc>
          <w:tcPr>
            <w:tcW w:w="7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2020 Combined Form 10-K. Subsequent events, if any, are evaluated through the date on which the financial statements are issued.</w:t>
      </w:r>
    </w:p>
    <w:p>
      <w:pPr>
        <w:spacing w:after="0" w:line="30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 The majority of our revenues are derived from contracts for advertising space on billboard, logo and transit displays.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do not meet the criteria of a lease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are accounted for under ASC 606, </w:t>
      </w:r>
      <w:r>
        <w:rPr>
          <w:rFonts w:ascii="Arial" w:cs="Arial" w:eastAsia="Arial" w:hAnsi="Arial"/>
          <w:sz w:val="16"/>
          <w:szCs w:val="16"/>
          <w:i w:val="1"/>
          <w:iCs w:val="1"/>
          <w:color w:val="auto"/>
        </w:rPr>
        <w:t>Revenue</w:t>
      </w:r>
      <w:r>
        <w:rPr>
          <w:rFonts w:ascii="Arial" w:cs="Arial" w:eastAsia="Arial" w:hAnsi="Arial"/>
          <w:sz w:val="16"/>
          <w:szCs w:val="16"/>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 copy.</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 by source for the three and nine months ended September 30,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430,103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348,361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1,169,426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1,015,761</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62,235</w:t>
            </w: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27,071</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17,959</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64,581</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62,335</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1,292,827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1,140,331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September 30, 2021 and 2020, we had operating lease costs of $72,789 and $76,739, respectively, and variable lease costs of $22,514 and $13,494, respectively. During the nine months ended September 30, 2021 and 2020, we had operating lease costs of $218,139 and $235,473, respectively, and variable lease costs of $56,507 and $41,238, respectively. These operating lease costs are recorded in direct advertising expenses (exclusive of depreciation and amortization). For the three months ended September 30, 2021 and 2020, we recorded a loss of $349 and a gain of $76, respectively, in gain on disposition of assets related to the amendment and termination of lease agreements. For the nine months ended September 30, 2021 and 2020, we recorded a loss of $296 and $241, respectively, in gain on disposition of assets related to the amendment and termination of lease agreements. Cash payments of $243,690 and $234,400 were made reducing our operating lease liabilities for the nine months ended September 30, 2021 and 2020, respectively, and are included in cash flows provided by operating activities in the Condensed Consolidated Statements of Cash Flows.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$1,579 and $1,172 in direct advertising expenses (exclusive of depreciation and amortization) for these agreements during the three months ended September 30, 2021 and 2020, respectively. We recorded $4,471 and $3,679 in direct advertising expenses (exclusive of depreciation and amortization) for these agreements during the nine months ended September 30, 2021 and 2020,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leases have a weighted-average remaining lease term of 12.0 years. The weighted-average discount rate of our operating leases is 4.6%. Also, during the periods ended September 30, 2021 and 2020, we obtained $25,401 and $25,250, respectively, of leased assets in exchange for new operating lease liabilities, which includes liabilities obtained through acquisitions.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is a summary of the maturities of our operating lease liabilities as of September 30, 2021: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40,519</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208,326</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176,861</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157,270</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131,273</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817,054</w:t>
            </w:r>
          </w:p>
        </w:tc>
      </w:tr>
      <w:tr>
        <w:trPr>
          <w:trHeight w:val="22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1,531,303</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(378,703)</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1,152,600</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September 30, 2021, $713 of amortization expense and $145 of interest expense relating to our financing lease liabilities were recorded in depreciation and amortization and interest expense, respectively, in the Condensed Consolidated Statements of Income and Comprehensive Income. During the nine months ended September 30, 2021, $2,140 of amortization expense and $443 of interest expense relating to our financing lease liabilities were recorded in depreciation and amortization and interest expense, respectively, in the Condensed Consolidated Statements of Income and Comprehensive Income. Cash payments of $998 were made reducing our financing lease liabilities for the nine months ended September 30, 2021 and are included in cash flows used in financing activities in the Condensed Consolidated Statements of Cash Flows. We had no expenses relating to the financing lease liabilities for the nine months ended September 30, 2020. Our financing leases have a weighted-average remaining lease term of 6.2 years and a weighted-average discount rate of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completed several acquisitions of outdoor and transit advertising assets for a total purchase price of $107,593.</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these acquisitions was accounted for under the acquisition method of accounting, and, accordingly, the accompanying condensed consolidated financial statements include the results of operations of each acquired entity from the date of acquisition. The acquisition purchase price has been allocated to assets acquired and liabilities assumed based on preliminary fair market value estimates at the dates of acquisition.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allocation of the purchase price in the above transactions, which includes the preliminary values for a business combination completed on September 8, 2021 for an aggregate purchase price of $65,500.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Total</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14,584</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locations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66,321</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lists and contracts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Asset acquisition costs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r>
      <w:tr>
        <w:trPr>
          <w:trHeight w:val="248"/>
        </w:trPr>
        <w:tc>
          <w:tcPr>
            <w:tcW w:w="9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107,593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acquired intangible assets for the nine months ended September 30, 2021 were $91,584, of which $14,584 was assigned to goodwill. Goodwill is not amortized for financial statement purposes and $14,584 of goodwill related to 2021 acquisitions is expected to be deductible for tax purposes. The acquired intangible assets have a weighted average useful life of approximately 14 years. The intangible assets include customer lists and contracts of $10,100 (7 year weighted average useful life) and site locations of $66,321 (15 year weighted average useful life). The aggregate amortization expense related to the 2021 acquisitions for the nine months ended September 30, 2021 was $1,158.</w:t>
      </w:r>
    </w:p>
    <w:p>
      <w:pPr>
        <w:spacing w:after="0" w:line="29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45,000 shares of its Class A common stock during the nine months ended September 30, 2021. At September 30, 2021 a total of 2,297,290 shares were available for future grant.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Purchase Plan. </w:t>
      </w:r>
      <w:r>
        <w:rPr>
          <w:rFonts w:ascii="Arial" w:cs="Arial" w:eastAsia="Arial" w:hAnsi="Arial"/>
          <w:sz w:val="18"/>
          <w:szCs w:val="18"/>
          <w:color w:val="auto"/>
        </w:rPr>
        <w:t>Lamar Advertising’s 2009 Employee Stock Purchase Plan (the “2009 ESPP”), approved by our shareholders on May 28, 2009,</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by its terms on June 30, 2019. On May 30, 2019, our shareholders approved Lamar Advertising’s 2019 Employee Stock Purchase Plan (the “2019 ESPP”). The 2019 ESPP became effective upon the expiration of</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2009 ESPP. The number of shares of Class A common stock available under the 2019 ESPP was automatically increased by 86,490 shares on January 1, 2021 pursuant to the automatic increase provisions of the 2019 ESPP.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nine months ended September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Shares</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future purchases, January 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369,771</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Additional shares reserved under 2019 ESPP</w:t>
            </w:r>
          </w:p>
        </w:tc>
        <w:tc>
          <w:tcPr>
            <w:tcW w:w="1340" w:type="dxa"/>
            <w:vAlign w:val="bottom"/>
          </w:tcPr>
          <w:p>
            <w:pPr>
              <w:jc w:val="right"/>
              <w:spacing w:after="0"/>
              <w:rPr>
                <w:sz w:val="20"/>
                <w:szCs w:val="20"/>
                <w:color w:val="auto"/>
              </w:rPr>
            </w:pPr>
            <w:r>
              <w:rPr>
                <w:rFonts w:ascii="Arial" w:cs="Arial" w:eastAsia="Arial" w:hAnsi="Arial"/>
                <w:sz w:val="18"/>
                <w:szCs w:val="18"/>
                <w:color w:val="auto"/>
              </w:rPr>
              <w:t>86,490</w:t>
            </w:r>
          </w:p>
        </w:tc>
      </w:t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(87,473)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Available for future purchases, September 30,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368,788</w:t>
            </w:r>
          </w:p>
        </w:tc>
      </w:tr>
      <w:tr>
        <w:trPr>
          <w:trHeight w:val="21"/>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Performance-based stock compensation. </w:t>
      </w:r>
      <w:r>
        <w:rPr>
          <w:rFonts w:ascii="Arial" w:cs="Arial" w:eastAsia="Arial" w:hAnsi="Arial"/>
          <w:sz w:val="17"/>
          <w:szCs w:val="17"/>
          <w:color w:val="auto"/>
        </w:rPr>
        <w:t>Unrestricted shares of our Class A common stock may be awarded to key officers, employees and directors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Incentive Plan. The number of shares to be issued, if any, will be dependent on the level of achievement of performance measures for key officers and employees, as determined by the Company’s Compensation Committee based on our 2021 results. Any shares issued based on the achievement of performance goals will be issued in the first quarter of 2022. The shares subject to these awards can range from a minimum of 0% to a maximum of 100% of the target number of shares depending on the level at which the goals are attained. For the nine months ended September 30, 2021, the Company has recorded $18,379 as stock-based compensation expense related to performance-based awards.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Restricted stock compensation. </w:t>
      </w:r>
      <w:r>
        <w:rPr>
          <w:rFonts w:ascii="Arial" w:cs="Arial" w:eastAsia="Arial" w:hAnsi="Arial"/>
          <w:sz w:val="18"/>
          <w:szCs w:val="18"/>
          <w:color w:val="auto"/>
        </w:rPr>
        <w:t>Annually, each non-employee director automatically receives a restricted stock award of our Class A common stock upon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or re-election. The awards vest 50% on grant date and 50% on the last day of the directors' one year term. The Company recorded $544 in stock-based compensation expense related to these awards for the nine months ended September 30, 2021.</w:t>
      </w:r>
    </w:p>
    <w:p>
      <w:pPr>
        <w:spacing w:after="0" w:line="29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192,816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9,517</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w:t>
            </w:r>
          </w:p>
        </w:tc>
      </w:tr>
      <w:tr>
        <w:trPr>
          <w:trHeight w:val="223"/>
        </w:trPr>
        <w:tc>
          <w:tcPr>
            <w:tcW w:w="5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205,671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187,548</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the amount of depreciation and amortization expense excluded from direct advertising expense for the three and nine months ended September 30, 2021 as compared to September 30, 2020 is due to the revision in the cost estimate included in the calculation of asset retirement obligations during the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September 30, 2021 and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40"/>
        </w:trPr>
        <w:tc>
          <w:tcPr>
            <w:tcW w:w="4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1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line="20" w:lineRule="exact"/>
              <w:rPr>
                <w:sz w:val="1"/>
                <w:szCs w:val="1"/>
                <w:color w:val="auto"/>
              </w:rPr>
            </w:pPr>
          </w:p>
        </w:tc>
      </w:tr>
      <w:tr>
        <w:trPr>
          <w:trHeight w:val="135"/>
        </w:trPr>
        <w:tc>
          <w:tcPr>
            <w:tcW w:w="4200" w:type="dxa"/>
            <w:vAlign w:val="bottom"/>
          </w:tcPr>
          <w:p>
            <w:pPr>
              <w:spacing w:after="0"/>
              <w:rPr>
                <w:sz w:val="11"/>
                <w:szCs w:val="11"/>
                <w:color w:val="auto"/>
              </w:rPr>
            </w:pPr>
          </w:p>
        </w:tc>
        <w:tc>
          <w:tcPr>
            <w:tcW w:w="156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96"/>
              </w:rPr>
              <w:t>Life</w:t>
            </w: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5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2"/>
              </w:rPr>
              <w:t>(Years)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1"/>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7—10  $</w:t>
            </w:r>
          </w:p>
        </w:tc>
        <w:tc>
          <w:tcPr>
            <w:tcW w:w="1180" w:type="dxa"/>
            <w:vAlign w:val="bottom"/>
          </w:tcPr>
          <w:p>
            <w:pPr>
              <w:jc w:val="right"/>
              <w:spacing w:after="0"/>
              <w:rPr>
                <w:sz w:val="20"/>
                <w:szCs w:val="20"/>
                <w:color w:val="auto"/>
              </w:rPr>
            </w:pPr>
            <w:r>
              <w:rPr>
                <w:rFonts w:ascii="Arial" w:cs="Arial" w:eastAsia="Arial" w:hAnsi="Arial"/>
                <w:sz w:val="18"/>
                <w:szCs w:val="18"/>
                <w:color w:val="auto"/>
              </w:rPr>
              <w:t>655,843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580,671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645,739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563,135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3—15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66,596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2,479,103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2,412,745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1,593,805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3,251,699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2,342,191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3,174,658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2,260,212</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2,180,455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2,165,864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Additions to asset retirement obligations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Revision in estimates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267,024</w:t>
            </w: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Revision in estimates of $41,363 reflects changes in cost estimates to remove structures and resurface land for structures that reside on leased land in the Company's outdoor advertising portfolio.</w:t>
      </w:r>
    </w:p>
    <w:p>
      <w:pPr>
        <w:spacing w:after="0" w:line="27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September 30, 2021 and December 31, 2020, Lamar Media was permitted under the terms of its outstanding notes to make transfers to Lamar Advertising in the form of cash dividends, loans or advances in amounts up to $3,874,821 and $3,625,712,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Lamar Media’s senior credit facility allows it to make transfers to Lamar Advertising in any taxable year up to the amount of Lamar Advertising’s taxable income (without any deduction for dividends paid). In addition, as of September 30, 2021,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2021, the total debt ratio was less than 7.0 to 1 and Lamar Media’s secured debt ratio was less than 4.5 to 1, and the available cumulative credit was $2,625,301.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nine months ended September 30, 2021 or 2020.</w:t>
      </w:r>
    </w:p>
    <w:p>
      <w:pPr>
        <w:spacing w:after="0" w:line="292"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September 30,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174,359</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592,712</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tcPr>
          <w:p>
            <w:pPr>
              <w:ind w:left="20"/>
              <w:spacing w:after="0"/>
              <w:rPr>
                <w:sz w:val="20"/>
                <w:szCs w:val="20"/>
                <w:color w:val="auto"/>
              </w:rPr>
            </w:pPr>
            <w:r>
              <w:rPr>
                <w:rFonts w:ascii="Arial" w:cs="Arial" w:eastAsia="Arial" w:hAnsi="Arial"/>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542,264</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541,949</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394,841</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2,875,468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2,837,381</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(174,725)</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2,700,102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2,662,656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586,897</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122,055</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591,969</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541,369</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394,414</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6880" w:type="dxa"/>
            <w:vAlign w:val="bottom"/>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647,056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2,926,633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nine months ended September 30, 2020.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there were no borrowings outstanding under the revolving credit facility. Availability under the revolving credit facility is reduced by the amount of any letters of credit outstanding. Lamar Media had $14,345 in letters of credit outstanding as of September 30, 2021 resulting in $735,655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Lamar Media and the Special Purpose Subsidiaries entered into the Third Amendment (the “Third Amendment”) to the Receivables Financing Agreement. The Third Amendment increased the maximum three month average Delinquency Ratio, Dilution Ratio and Days’ Sales Outstanding to 11.00% (from 8.00%), 7.00% (from 4.00%) and 75 days (from 65 days), respectively, for each of the months of June, July and August 2020. The Third Amendment did not modify any other financial covenant. Additionally, the Third Amendment established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23, 2020, Lamar Media and the Special Purpose Subsidiaries entered into the Fourth Amendment (the “Fourth Amendment”) to the Receivables Financing Agreement. The Fourth Amendment increased the maximum three month average Delinquency Ratio generally to 13.00% (and up to 16.00% for up to two additional periods upon written notice from Lamar Media), and increased the maximum three month average Dilution Ratio to 5.00% for the remaining term of the Accounts Receivable Securitization Program. Additionally, the Fourth Amendment increased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24, 2021, Lamar Media and the Special Purpose Subsidiaries entered into the Fifth Amendment (the "Fifth Amendment") to the Receivables Financing Agreement. The Fifth Amendment extended the maturity date of the Accounts Receivable Securitization Program to July 21, 2024. Additionally, the Fifth Amendment decreased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there was $175,000 outstanding aggregate borrowings under the Accounts Receivable Securitization Program. Lamar Media had no additional availability for borrowing under the Accounts Receivable Securitization Program as of September 30, 2021. The commitment fees based on the amount of unused commitments under the Accounts Receivable Securitization Program were immaterial during the nine months ended September 30, 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July 21, 2024.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28, 2016, Lamar Media completed an institutional private placement of $400,000 aggregate principal amount of 5 3/4% Senior Notes due 2026 (the “Original 5 3/4% Notes”). The institutional private placement on January 28, 2016 resulted in net proceeds to Lamar Media of approximately $394,500.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of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nine months ended September 30, 2021, the Company recorded a loss on debt extinguishment of approximately $21,604 related to the note redemption, of which $18,700 was in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5/8%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September 20, 2021, the Board of Directors authorized the extension of the repurchase program through March 31, 2023. There were no repurchases under the program as of September 30, 2021.</w:t>
      </w:r>
    </w:p>
    <w:p>
      <w:pPr>
        <w:spacing w:after="0" w:line="29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September 30, 2021 and December 31, 2020,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Fair values for investments held at cost are not readily available, but are estimated to approximate fair value. The estimated fair value of the Company’s long-term debt (including current maturities) was $2,913,841 which exceeds the carrying amount of $2,875,468 as of September 30, 2021. The majority of the fair value is determined using observed prices of publicly traded debt (level 1 in the fair value hierarchy) and the remaining is valued based on quoted prices for similar debt (level 2 in the fair value hierarchy).</w:t>
      </w:r>
    </w:p>
    <w:p>
      <w:pPr>
        <w:spacing w:after="0" w:line="28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Condensed Consolidated Balance Sheet. For the three and nine months ended September 30, 2021, the Company recorded $1,141 in equity in earnings of investee on the Condensed Consolidated Statement of Income and Comprehensive Income.</w:t>
      </w:r>
    </w:p>
    <w:p>
      <w:pPr>
        <w:spacing w:after="0" w:line="29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pacing w:after="0" w:line="29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September 30, 2021 and 2020, the Company declared and paid cash distributions in an aggregate amount of $101,225 or $1.00 per share and $50,416 or $0.50 per share, respectively. During the nine months ended September 30, 2021 and 2020, the Company declared and paid cash distributions in an aggregate amount of $252,917 or $2.50 per share and $201,499 or $2.00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and nine months ended September 30, 2021 and 2020, the Company paid cash dividend distributions to holders of its Series AA Preferred Stock in an aggregate amount of $91 or $15.95 per share and $273 or $47.85 for each period,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external customers attributable to foreign countries totaled $17,568 and $16,295 for the nine months ended September 30, 2021 and 2020, respectively. Net carrying value of long-lived assets located in foreign countries totaled $9,957 and $8,727 as of September 30, 2021 and December 31, 2020, respectively. All other revenues from external customers and long-lived assets relate to domestic operations.</w:t>
      </w:r>
    </w:p>
    <w:p>
      <w:pPr>
        <w:spacing w:after="0" w:line="273"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Sales Agreement. </w:t>
      </w:r>
      <w:r>
        <w:rPr>
          <w:rFonts w:ascii="Arial" w:cs="Arial" w:eastAsia="Arial" w:hAnsi="Arial"/>
          <w:sz w:val="18"/>
          <w:szCs w:val="18"/>
          <w:color w:val="auto"/>
        </w:rPr>
        <w:t>On May 1, 2018, the Company entered into an equity distribution agreement (the “Sales Agreement”) with J.P. Morgan Securities LLC,</w:t>
      </w:r>
      <w:r>
        <w:rPr>
          <w:rFonts w:ascii="Arial" w:cs="Arial" w:eastAsia="Arial" w:hAnsi="Arial"/>
          <w:sz w:val="18"/>
          <w:szCs w:val="18"/>
          <w:i w:val="1"/>
          <w:iCs w:val="1"/>
          <w:color w:val="auto"/>
        </w:rPr>
        <w:t xml:space="preserve"> </w:t>
      </w:r>
      <w:r>
        <w:rPr>
          <w:rFonts w:ascii="Arial" w:cs="Arial" w:eastAsia="Arial" w:hAnsi="Arial"/>
          <w:sz w:val="18"/>
          <w:szCs w:val="18"/>
          <w:color w:val="auto"/>
        </w:rPr>
        <w:t>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no shares of our Class A common stock have been sold under the 2021 Sales Agreement and accordingly $400,000 remained available to be sold under the 2021 Sales Agreement as of September 30, 2021.</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Shelf Registration. </w:t>
      </w:r>
      <w:r>
        <w:rPr>
          <w:rFonts w:ascii="Arial" w:cs="Arial" w:eastAsia="Arial" w:hAnsi="Arial"/>
          <w:sz w:val="18"/>
          <w:szCs w:val="18"/>
          <w:color w:val="auto"/>
        </w:rPr>
        <w:t>On August 6, 2018, the Company filed an automatically effective shelf registration statement that registered the offer and sale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indeterminate amount of additional shares of our Class A common stock, which expired in August 2021. There were no shares issued under this shelf registration during the nine months ended September 30, 2021 and the year ended December 31, 2020. On June 21, 2021, the Company filed a new automatically effective shelf registration statement that allows Lamar Advertising to offer and sell an indeterminate amount of additional shares of its Class A common stock on similar terms as the prior registration statement. During the nine months ended September 30, 2021, the Company did not issue any shares under this shelf registration.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On September 20, 2021, the Board of Directors authorized the extension of the repurchase program through March 31, 2023. There were no repurchases under the program as of September 30,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4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121,069</w:t>
            </w:r>
          </w:p>
        </w:tc>
        <w:tc>
          <w:tcPr>
            <w:tcW w:w="0" w:type="dxa"/>
            <w:vAlign w:val="bottom"/>
          </w:tcPr>
          <w:p>
            <w:pPr>
              <w:spacing w:after="0"/>
              <w:rPr>
                <w:sz w:val="1"/>
                <w:szCs w:val="1"/>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Receivables, net of allowance for doubtful accounts of $12,458 and $14,946 in 2021 and 2020,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240,854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369,932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380,070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3,720,040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3,615,505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(2,428,803)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(2,333,656)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1,291,237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1,281,849</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 of use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1,208,425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1,222,013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right of use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1,916,767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1,902,177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913,978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54,950</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5,802,224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5,774,707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Trade 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12,655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Current maturities of long-term debt, net of deferred financing costs of $641 and $445 in 2021 and 2020, respectively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122,434</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Current operating lease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174,659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195,439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financing lease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106,686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98,478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111,363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599,047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541,062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costs of $37,446 and $39,672 in 2021 and 2020, respectively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2,662,656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2,764,082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977,941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993,776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222,876</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4,569,383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4,581,863</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Common stock, par value $0.01, 3,000 shares authorized, 100 shares issued and outstanding at 2021 and 2020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3,067,669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3,034,357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comprehensive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(1,835,677)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(1,842,447)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1,232,842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1,192,844</w:t>
            </w:r>
          </w:p>
        </w:tc>
        <w:tc>
          <w:tcPr>
            <w:tcW w:w="0" w:type="dxa"/>
            <w:vAlign w:val="bottom"/>
          </w:tcPr>
          <w:p>
            <w:pPr>
              <w:spacing w:after="0"/>
              <w:rPr>
                <w:sz w:val="1"/>
                <w:szCs w:val="1"/>
                <w:color w:val="auto"/>
              </w:rPr>
            </w:pPr>
          </w:p>
        </w:tc>
      </w:tr>
      <w:tr>
        <w:trPr>
          <w:trHeight w:val="206"/>
        </w:trPr>
        <w:tc>
          <w:tcPr>
            <w:tcW w:w="800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5,802,225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5,774,707</w:t>
            </w: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386,110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1,292,827</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1,140,331</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w w:val="93"/>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147,310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418,973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419,862</w:t>
            </w:r>
          </w:p>
        </w:tc>
        <w:tc>
          <w:tcPr>
            <w:tcW w:w="0" w:type="dxa"/>
            <w:vAlign w:val="bottom"/>
          </w:tcPr>
          <w:p>
            <w:pPr>
              <w:spacing w:after="0"/>
              <w:rPr>
                <w:sz w:val="1"/>
                <w:szCs w:val="1"/>
                <w:color w:val="auto"/>
              </w:rPr>
            </w:pPr>
          </w:p>
        </w:tc>
      </w:tr>
      <w:tr>
        <w:trPr>
          <w:trHeight w:val="176"/>
        </w:trPr>
        <w:tc>
          <w:tcPr>
            <w:tcW w:w="56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9"/>
              </w:rPr>
              <w:t>General and administrative expenses (exclusive of depreciation and</w:t>
            </w:r>
          </w:p>
        </w:tc>
        <w:tc>
          <w:tcPr>
            <w:tcW w:w="3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85,947</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66,749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234,115</w:t>
            </w: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216,361</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52,141</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84,300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205,671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187,548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343,422</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280,120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920,885</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871,089</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133,472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371,942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269,242</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107,058</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24,786</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100,547</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131,676</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137,566</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265,389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134,518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0" w:type="dxa"/>
            <w:vAlign w:val="bottom"/>
            <w:vMerge w:val="restart"/>
          </w:tcPr>
          <w:p>
            <w:pPr>
              <w:jc w:val="center"/>
              <w:ind w:left="236"/>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center"/>
              <w:ind w:left="236"/>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(1,842,447)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38,466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1,171,810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120,033</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(75,874)</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2021</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3,062,342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(1,841,357)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1,222,423</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vMerge w:val="restart"/>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FF0FC"/>
            </w:tcBorders>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106,974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(101,294)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(101,294)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3,067,669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(1,835,677)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160" w:type="dxa"/>
            <w:vAlign w:val="bottom"/>
          </w:tcPr>
          <w:p>
            <w:pPr>
              <w:spacing w:after="0"/>
              <w:rPr>
                <w:sz w:val="24"/>
                <w:szCs w:val="24"/>
                <w:color w:val="auto"/>
              </w:rPr>
            </w:pPr>
          </w:p>
        </w:tc>
        <w:tc>
          <w:tcPr>
            <w:tcW w:w="1000" w:type="dxa"/>
            <w:vAlign w:val="bottom"/>
            <w:vMerge w:val="restart"/>
          </w:tcPr>
          <w:p>
            <w:pPr>
              <w:jc w:val="center"/>
              <w:ind w:left="236"/>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center"/>
              <w:ind w:left="236"/>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40,617</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(50,453)</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2020</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3,026,120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(1,912,940)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1,113,007</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vMerge w:val="restart"/>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FF0FC"/>
            </w:tcBorders>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3,101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62,895</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September 30, 2020</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3,029,221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(1,900,461)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1,128,917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Nine Months Ended</w:t>
      </w:r>
    </w:p>
    <w:p>
      <w:pPr>
        <w:jc w:val="center"/>
        <w:ind w:left="84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157"/>
        </w:trPr>
        <w:tc>
          <w:tcPr>
            <w:tcW w:w="84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265,473</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135,046</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205,671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187,548</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11,046</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4,467</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 and investments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(4,823)</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Loss on extinguishment of debt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21,604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25,235</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Equity in earnings of investee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Deferred tax expense (benefit)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(1,870)</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Provision for doubtful accounts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9,442</w:t>
            </w:r>
          </w:p>
        </w:tc>
      </w:tr>
      <w:tr>
        <w:trPr>
          <w:trHeight w:val="168"/>
        </w:trPr>
        <w:tc>
          <w:tcPr>
            <w:tcW w:w="844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(Increase) decrease in: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Receivables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(24,475)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19,253</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Other assets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2,110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(Decrease) increase in: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Trade accounts payable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(186)</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expenses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(11,597)</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(22,560)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625</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(44,865)</w:t>
            </w:r>
          </w:p>
        </w:tc>
      </w:tr>
      <w:tr>
        <w:trPr>
          <w:trHeight w:val="162"/>
        </w:trPr>
        <w:tc>
          <w:tcPr>
            <w:tcW w:w="8440" w:type="dxa"/>
            <w:vAlign w:val="bottom"/>
            <w:tcBorders>
              <w:bottom w:val="single" w:sz="8" w:color="CCEEFF"/>
            </w:tcBorders>
          </w:tcPr>
          <w:p>
            <w:pPr>
              <w:ind w:left="98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470,698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332,433</w:t>
            </w: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investing activities: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Acquisitions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(107,593)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(28,747)</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 expenditures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(44,633)</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 for investments in equity securities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disposition of assets and investments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5,699</w:t>
            </w:r>
          </w:p>
        </w:tc>
      </w:tr>
      <w:tr>
        <w:trPr>
          <w:trHeight w:val="169"/>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Decrease in notes receivable</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8440" w:type="dxa"/>
            <w:vAlign w:val="bottom"/>
            <w:shd w:val="clear" w:color="auto" w:fill="CCEEFF"/>
          </w:tcPr>
          <w:p>
            <w:pPr>
              <w:ind w:left="980"/>
              <w:spacing w:after="0" w:line="147" w:lineRule="exact"/>
              <w:rPr>
                <w:sz w:val="20"/>
                <w:szCs w:val="20"/>
                <w:color w:val="auto"/>
              </w:rPr>
            </w:pPr>
            <w:r>
              <w:rPr>
                <w:rFonts w:ascii="Arial" w:cs="Arial" w:eastAsia="Arial" w:hAnsi="Arial"/>
                <w:sz w:val="13"/>
                <w:szCs w:val="13"/>
                <w:color w:val="auto"/>
              </w:rPr>
              <w:t>Net cash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(203,238)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(67,681)</w:t>
            </w:r>
          </w:p>
        </w:tc>
      </w:tr>
      <w:tr>
        <w:trPr>
          <w:trHeight w:val="148"/>
        </w:trPr>
        <w:tc>
          <w:tcPr>
            <w:tcW w:w="8440" w:type="dxa"/>
            <w:vAlign w:val="bottom"/>
          </w:tcPr>
          <w:p>
            <w:pPr>
              <w:spacing w:after="0" w:line="141" w:lineRule="exact"/>
              <w:rPr>
                <w:sz w:val="20"/>
                <w:szCs w:val="20"/>
                <w:color w:val="auto"/>
              </w:rPr>
            </w:pPr>
            <w:r>
              <w:rPr>
                <w:rFonts w:ascii="Arial" w:cs="Arial" w:eastAsia="Arial" w:hAnsi="Arial"/>
                <w:sz w:val="13"/>
                <w:szCs w:val="13"/>
                <w:color w:val="auto"/>
              </w:rPr>
              <w:t>Cash flows from financing activities: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long-term debt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Borrowings on long-term debt</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8,750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financing leases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revolving credit facility</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(805,000)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revolving credit facility</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Redemption of senior notes and senior subordinated notes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(668,688)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(1,058,596)</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note offering</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1,549,250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122,500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accounts receivable securitization program</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senior credit facility term loans</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598,500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senior credit facility term loans</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(978,097)</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Debt issuance costs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(8,662)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(32,667)</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Contributions from parent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33,312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36,492</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 to parent</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(258,703)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(211,624)</w:t>
            </w:r>
          </w:p>
        </w:tc>
      </w:tr>
      <w:tr>
        <w:trPr>
          <w:trHeight w:val="163"/>
        </w:trPr>
        <w:tc>
          <w:tcPr>
            <w:tcW w:w="8440" w:type="dxa"/>
            <w:vAlign w:val="bottom"/>
            <w:tcBorders>
              <w:bottom w:val="single" w:sz="8" w:color="CCEEFF"/>
            </w:tcBorders>
          </w:tcPr>
          <w:p>
            <w:pPr>
              <w:ind w:left="980"/>
              <w:spacing w:after="0" w:line="141" w:lineRule="exact"/>
              <w:rPr>
                <w:sz w:val="20"/>
                <w:szCs w:val="20"/>
                <w:color w:val="auto"/>
              </w:rPr>
            </w:pPr>
            <w:r>
              <w:rPr>
                <w:rFonts w:ascii="Arial" w:cs="Arial" w:eastAsia="Arial" w:hAnsi="Arial"/>
                <w:sz w:val="13"/>
                <w:szCs w:val="13"/>
                <w:color w:val="auto"/>
              </w:rPr>
              <w:t>Net cash used in financing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(301,603)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(222,240)</w:t>
            </w:r>
          </w:p>
        </w:tc>
      </w:tr>
      <w:tr>
        <w:trPr>
          <w:trHeight w:val="175"/>
        </w:trPr>
        <w:tc>
          <w:tcPr>
            <w:tcW w:w="8440" w:type="dxa"/>
            <w:vAlign w:val="bottom"/>
            <w:shd w:val="clear" w:color="auto" w:fill="CCEEFF"/>
          </w:tcPr>
          <w:p>
            <w:pPr>
              <w:ind w:left="200"/>
              <w:spacing w:after="0" w:line="147" w:lineRule="exact"/>
              <w:rPr>
                <w:sz w:val="20"/>
                <w:szCs w:val="20"/>
                <w:color w:val="auto"/>
              </w:rPr>
            </w:pPr>
            <w:r>
              <w:rPr>
                <w:rFonts w:ascii="Arial" w:cs="Arial" w:eastAsia="Arial" w:hAnsi="Arial"/>
                <w:sz w:val="13"/>
                <w:szCs w:val="13"/>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1"/>
        </w:trPr>
        <w:tc>
          <w:tcPr>
            <w:tcW w:w="8440" w:type="dxa"/>
            <w:vAlign w:val="bottom"/>
          </w:tcPr>
          <w:p>
            <w:pPr>
              <w:ind w:left="200"/>
              <w:spacing w:after="0" w:line="141" w:lineRule="exact"/>
              <w:rPr>
                <w:sz w:val="20"/>
                <w:szCs w:val="20"/>
                <w:color w:val="auto"/>
              </w:rPr>
            </w:pPr>
            <w:r>
              <w:rPr>
                <w:rFonts w:ascii="Arial" w:cs="Arial" w:eastAsia="Arial" w:hAnsi="Arial"/>
                <w:sz w:val="13"/>
                <w:szCs w:val="13"/>
                <w:color w:val="auto"/>
              </w:rPr>
              <w:t>Net (decrease) increase in cash and cash equivalents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42,440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121,069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25,688</w:t>
            </w:r>
          </w:p>
        </w:tc>
      </w:tr>
      <w:tr>
        <w:trPr>
          <w:trHeight w:val="163"/>
        </w:trPr>
        <w:tc>
          <w:tcPr>
            <w:tcW w:w="8440" w:type="dxa"/>
            <w:vAlign w:val="bottom"/>
          </w:tcPr>
          <w:p>
            <w:pPr>
              <w:ind w:left="200"/>
              <w:spacing w:after="0" w:line="141" w:lineRule="exact"/>
              <w:rPr>
                <w:sz w:val="20"/>
                <w:szCs w:val="20"/>
                <w:color w:val="auto"/>
              </w:rPr>
            </w:pPr>
            <w:r>
              <w:rPr>
                <w:rFonts w:ascii="Arial" w:cs="Arial" w:eastAsia="Arial" w:hAnsi="Arial"/>
                <w:sz w:val="13"/>
                <w:szCs w:val="13"/>
                <w:color w:val="auto"/>
              </w:rPr>
              <w:t>Cash and cash equivalents at end of period</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87,069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68,128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9"/>
        </w:trPr>
        <w:tc>
          <w:tcPr>
            <w:tcW w:w="84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Supplemental disclosures of cash flow information:</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9"/>
        </w:trPr>
        <w:tc>
          <w:tcPr>
            <w:tcW w:w="84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87,729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115,999</w:t>
            </w:r>
          </w:p>
        </w:tc>
      </w:tr>
      <w:tr>
        <w:trPr>
          <w:trHeight w:val="21"/>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8440" w:type="dxa"/>
            <w:vAlign w:val="bottom"/>
            <w:tcBorders>
              <w:bottom w:val="single" w:sz="8" w:color="CCEEFF"/>
            </w:tcBorders>
            <w:shd w:val="clear" w:color="auto" w:fill="CCEEFF"/>
          </w:tcPr>
          <w:p>
            <w:pPr>
              <w:ind w:left="200"/>
              <w:spacing w:after="0" w:line="140" w:lineRule="exact"/>
              <w:rPr>
                <w:sz w:val="20"/>
                <w:szCs w:val="20"/>
                <w:color w:val="auto"/>
              </w:rPr>
            </w:pPr>
            <w:r>
              <w:rPr>
                <w:rFonts w:ascii="Arial" w:cs="Arial" w:eastAsia="Arial" w:hAnsi="Arial"/>
                <w:sz w:val="13"/>
                <w:szCs w:val="13"/>
                <w:color w:val="auto"/>
              </w:rPr>
              <w:t>Cash paid for foreign, state and federal income taxes</w:t>
            </w: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31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2020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9, 11, 12, 13, 14 and 16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9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Lamar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Media 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84,528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1,277,082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1,179,793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2,808,322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4,042,153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310,925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186,517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(4,432,772)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4,126,681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5,597,549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(4,432,772)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216,543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22,086</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383,976</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192,985</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2,660,548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958,770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211,205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289,459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291,032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(461,957)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2,893,839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1,634,313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503,188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(461,957)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1,232,842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(3,970,815)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4,126,681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5,597,549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(4,432,772)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27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Balance Sheet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380,070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1,268,765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1,281,849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2,816,155</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3,912,122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258,433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74,620</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195,439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223,189</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359,411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148,068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541,062</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2,761,705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993,776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245,891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266,968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(264,584)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282,943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2,829,956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1,587,464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429,027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4,581,863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3,957,663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(3,963,799)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476,894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147,310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85,947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84,300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disposition of assets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333,776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343,422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25,927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133,591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(132,727)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108,686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131,648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(132,727)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106,974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106,386</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Consoliated</w:t>
            </w:r>
          </w:p>
        </w:tc>
        <w:tc>
          <w:tcPr>
            <w:tcW w:w="0" w:type="dxa"/>
            <w:vAlign w:val="bottom"/>
          </w:tcPr>
          <w:p>
            <w:pPr>
              <w:spacing w:after="0"/>
              <w:rPr>
                <w:sz w:val="1"/>
                <w:szCs w:val="1"/>
                <w:color w:val="auto"/>
              </w:rPr>
            </w:pPr>
          </w:p>
        </w:tc>
      </w:tr>
      <w:tr>
        <w:trPr>
          <w:trHeight w:val="212"/>
        </w:trPr>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136,309</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66,749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61,237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280,120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34,820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b w:val="1"/>
                <w:bCs w:val="1"/>
                <w:color w:val="auto"/>
              </w:rPr>
              <w:t>Statement of Comprehensive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1,292,827</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418,973</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234,115</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64,048</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205,671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897,134</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920,885</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369,684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371,942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(366,556)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80,084</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earnings of investee</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265,473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370,855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(366,556)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271,395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265,473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68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265,473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365,029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(366,556)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265,473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265,389</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1,140,331</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419,862</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216,361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52,141</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187,548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845,972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871,089</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269,242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(265,353)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106,441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137,566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134,518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Condensed Consolidating Statement of Cash Flows for the Nine Months Ended September 30, 2021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Lamar Media</w:t>
            </w: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8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Guarantor</w:t>
            </w: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Eliminations</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Corp.</w:t>
            </w: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tcBorders>
              <w:bottom w:val="single" w:sz="8" w:color="auto"/>
            </w:tcBorders>
            <w:gridSpan w:val="2"/>
            <w:vMerge w:val="continue"/>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(unaudited)</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840" w:type="dxa"/>
            <w:vAlign w:val="bottom"/>
          </w:tcPr>
          <w:p>
            <w:pPr>
              <w:ind w:left="440"/>
              <w:spacing w:after="0" w:line="176"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380,225 $</w:t>
            </w: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584,251 $</w:t>
            </w: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(26,729)$</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(467,049)$</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470,698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tcPr>
          <w:p>
            <w:pPr>
              <w:ind w:left="600"/>
              <w:spacing w:after="0"/>
              <w:rPr>
                <w:sz w:val="20"/>
                <w:szCs w:val="20"/>
                <w:color w:val="auto"/>
              </w:rPr>
            </w:pPr>
            <w:r>
              <w:rPr>
                <w:rFonts w:ascii="Arial" w:cs="Arial" w:eastAsia="Arial" w:hAnsi="Arial"/>
                <w:sz w:val="18"/>
                <w:szCs w:val="18"/>
                <w:color w:val="auto"/>
              </w:rPr>
              <w:t>activities</w:t>
            </w:r>
          </w:p>
        </w:tc>
        <w:tc>
          <w:tcPr>
            <w:tcW w:w="18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(107,593)</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(107,593)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Payment for investments in equity securities</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Proceeds from disposition of assets and investments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Decrease in notes receivable</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(107,593)</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w w:val="92"/>
              </w:rPr>
              <w:t>Decrease (increase) in intercompany notes receivable</w:t>
            </w:r>
          </w:p>
        </w:tc>
        <w:tc>
          <w:tcPr>
            <w:tcW w:w="1260" w:type="dxa"/>
            <w:vAlign w:val="bottom"/>
          </w:tcPr>
          <w:p>
            <w:pPr>
              <w:jc w:val="right"/>
              <w:spacing w:after="0"/>
              <w:rPr>
                <w:sz w:val="20"/>
                <w:szCs w:val="20"/>
                <w:color w:val="auto"/>
              </w:rPr>
            </w:pPr>
            <w:r>
              <w:rPr>
                <w:rFonts w:ascii="Arial" w:cs="Arial" w:eastAsia="Arial" w:hAnsi="Arial"/>
                <w:sz w:val="18"/>
                <w:szCs w:val="18"/>
                <w:color w:val="auto"/>
              </w:rPr>
              <w:t>53,515</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(53,515)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84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Net cash (used in) provided by investing</w:t>
            </w:r>
          </w:p>
        </w:tc>
        <w:tc>
          <w:tcPr>
            <w:tcW w:w="1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(199,492)</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(203,238)</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19"/>
                <w:szCs w:val="19"/>
                <w:color w:val="auto"/>
              </w:rPr>
            </w:pPr>
          </w:p>
        </w:tc>
        <w:tc>
          <w:tcPr>
            <w:tcW w:w="3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received from revolving credit facility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Payment on revolving credit facility</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payments on long-term debt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Principal payments on financing leases</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received from note offering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Redemption of senior notes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(668,688)</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(668,688)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8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Payment on accounts receivable securitization</w:t>
            </w: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1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840" w:type="dxa"/>
            <w:vAlign w:val="bottom"/>
          </w:tcPr>
          <w:p>
            <w:pPr>
              <w:ind w:left="4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8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securitization program</w:t>
            </w:r>
          </w:p>
        </w:tc>
        <w:tc>
          <w:tcPr>
            <w:tcW w:w="1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Intercompany loan (payments) proceeds</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(24,119)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(29,396)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Dividends (to) from parent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(258,703)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(467,049)</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467,049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(258,703)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(to) parent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840" w:type="dxa"/>
            <w:vAlign w:val="bottom"/>
          </w:tcPr>
          <w:p>
            <w:pPr>
              <w:ind w:left="540"/>
              <w:spacing w:after="0" w:line="156" w:lineRule="exact"/>
              <w:rPr>
                <w:sz w:val="20"/>
                <w:szCs w:val="20"/>
                <w:color w:val="auto"/>
              </w:rPr>
            </w:pPr>
            <w:r>
              <w:rPr>
                <w:rFonts w:ascii="Arial" w:cs="Arial" w:eastAsia="Arial" w:hAnsi="Arial"/>
                <w:sz w:val="18"/>
                <w:szCs w:val="18"/>
                <w:color w:val="auto"/>
              </w:rPr>
              <w:t>Net cash (used in) provided by financing</w:t>
            </w:r>
          </w:p>
        </w:tc>
        <w:tc>
          <w:tcPr>
            <w:tcW w:w="18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(352,303)</w:t>
            </w:r>
          </w:p>
        </w:tc>
        <w:tc>
          <w:tcPr>
            <w:tcW w:w="12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(384,855)</w:t>
            </w:r>
          </w:p>
        </w:tc>
        <w:tc>
          <w:tcPr>
            <w:tcW w:w="100" w:type="dxa"/>
            <w:vAlign w:val="bottom"/>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22,584</w:t>
            </w:r>
          </w:p>
        </w:tc>
        <w:tc>
          <w:tcPr>
            <w:tcW w:w="100" w:type="dxa"/>
            <w:vAlign w:val="bottom"/>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412,971</w:t>
            </w:r>
          </w:p>
        </w:tc>
        <w:tc>
          <w:tcPr>
            <w:tcW w:w="100" w:type="dxa"/>
            <w:vAlign w:val="bottom"/>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(301,603)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840" w:type="dxa"/>
            <w:vAlign w:val="bottom"/>
            <w:shd w:val="clear" w:color="auto" w:fill="CCEEFF"/>
          </w:tcPr>
          <w:p>
            <w:pPr>
              <w:ind w:left="100"/>
              <w:spacing w:after="0" w:line="156" w:lineRule="exact"/>
              <w:rPr>
                <w:sz w:val="20"/>
                <w:szCs w:val="20"/>
                <w:color w:val="auto"/>
              </w:rPr>
            </w:pPr>
            <w:r>
              <w:rPr>
                <w:rFonts w:ascii="Arial" w:cs="Arial" w:eastAsia="Arial" w:hAnsi="Arial"/>
                <w:sz w:val="18"/>
                <w:szCs w:val="18"/>
                <w:color w:val="auto"/>
                <w:w w:val="93"/>
              </w:rPr>
              <w:t>Effect of exchange rate changes in cash and cash</w:t>
            </w:r>
          </w:p>
        </w:tc>
        <w:tc>
          <w:tcPr>
            <w:tcW w:w="1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(26,156)</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110,588</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121,069</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84,432 $</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1,636 $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1,001 $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87,069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-5091430</wp:posOffset>
            </wp:positionV>
            <wp:extent cx="686625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625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-4688205</wp:posOffset>
            </wp:positionV>
            <wp:extent cx="686625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6625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-333375</wp:posOffset>
            </wp:positionV>
            <wp:extent cx="686625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662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Nine Months Ended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1"/>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Arial" w:cs="Arial" w:eastAsia="Arial" w:hAnsi="Arial"/>
                <w:sz w:val="18"/>
                <w:szCs w:val="18"/>
                <w:color w:val="auto"/>
                <w:w w:val="93"/>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310,395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436,270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(419,181)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2"/>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4"/>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Borrowings on long-term debt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note offering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Payment on accounts receivable securitization</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program</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 program</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w w:val="94"/>
              </w:rPr>
              <w:t>Redemption of senior notes and senior subordinated</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(1,058,596)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(1,058,596)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received from senior credit facility term</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Payments on senior credit facility term loans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(978,097)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Intercompany loan proceeds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(211,624)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4"/>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(176,742)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(377,269)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80"/>
              <w:spacing w:after="0" w:line="156" w:lineRule="exact"/>
              <w:rPr>
                <w:sz w:val="20"/>
                <w:szCs w:val="20"/>
                <w:color w:val="auto"/>
              </w:rPr>
            </w:pPr>
            <w:r>
              <w:rPr>
                <w:rFonts w:ascii="Arial" w:cs="Arial" w:eastAsia="Arial" w:hAnsi="Arial"/>
                <w:sz w:val="18"/>
                <w:szCs w:val="18"/>
                <w:color w:val="auto"/>
                <w:w w:val="97"/>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w w:val="97"/>
              </w:rPr>
              <w:t>Net increase (decrease)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47,099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34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2020 Combined Form 10-K filed on February 26 2021,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the Company for the three and nine months ended September 30, 2021 and 2020. This discussion should be read in conjunction with the consolidated financial statements of the Company and the related notes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negatively affected our business in 2020. During the nine months ended September 30, 2021, our business has generally improved as the economy has recovered. While some of our corporate, front office and sales workforce continues to work from home, a large majority have returned to their offices while adhering to the Centers for Disease Control and Prevention and state and local governmental guidelines and recommendations. The impacts of working from home have been minimal on productivity. Also, while working from home has minimally impacted our processes, there have been no material impacts to our internal control environment.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Arial" w:cs="Arial" w:eastAsia="Arial" w:hAnsi="Arial"/>
          <w:sz w:val="18"/>
          <w:szCs w:val="18"/>
          <w:i w:val="1"/>
          <w:iCs w:val="1"/>
          <w:color w:val="auto"/>
        </w:rPr>
        <w:t>Sources of Cash</w:t>
      </w:r>
      <w:r>
        <w:rPr>
          <w:rFonts w:ascii="Arial" w:cs="Arial" w:eastAsia="Arial" w:hAnsi="Arial"/>
          <w:sz w:val="18"/>
          <w:szCs w:val="18"/>
          <w:color w:val="auto"/>
        </w:rPr>
        <w:t xml:space="preserve">” for more information. During the nine months ended September 30, 2021, the Company completed acquisitions for a total cash purchase price of approximately $107.6 million. See </w:t>
      </w:r>
      <w:r>
        <w:rPr>
          <w:rFonts w:ascii="Arial" w:cs="Arial" w:eastAsia="Arial" w:hAnsi="Arial"/>
          <w:sz w:val="18"/>
          <w:szCs w:val="18"/>
          <w:i w:val="1"/>
          <w:iCs w:val="1"/>
          <w:color w:val="auto"/>
        </w:rPr>
        <w:t>Uses of Cash – Acquisitions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2021 and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1"/>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capital expenditures: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Billboard — traditional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13,077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8,701</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 digital</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15,140</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19,422</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Logos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equipment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1,181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6,123</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44,633</w:t>
            </w:r>
          </w:p>
        </w:tc>
      </w:tr>
      <w:tr>
        <w:trPr>
          <w:trHeight w:val="21"/>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and capitalized contract fulfillment costs, net.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define AFFO as FFO before (i) straight-line income and expense; (ii) capitalized contract fulfillment costs, net (iii) stock-based compensation expense;</w:t>
      </w:r>
    </w:p>
    <w:p>
      <w:pPr>
        <w:spacing w:after="0" w:line="4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non-cash portion of tax expense (benefit); (v) non-real estate related depreciation and amortization; (vi) amortization of deferred financing costs;</w:t>
      </w:r>
    </w:p>
    <w:p>
      <w:pPr>
        <w:spacing w:after="0" w:line="20" w:lineRule="exact"/>
        <w:rPr>
          <w:rFonts w:ascii="Arial" w:cs="Arial" w:eastAsia="Arial" w:hAnsi="Arial"/>
          <w:sz w:val="17"/>
          <w:szCs w:val="17"/>
          <w:color w:val="auto"/>
        </w:rPr>
      </w:pPr>
    </w:p>
    <w:p>
      <w:pPr>
        <w:ind w:firstLine="8"/>
        <w:spacing w:after="0" w:line="260" w:lineRule="auto"/>
        <w:tabs>
          <w:tab w:leader="none" w:pos="3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on extinguishment of debt; (viii) non-recurring infrequent or unusual losses (gains); (ix) less maintenance capital expenditures; and (x) an adjustment for unconsolidated affiliates and non-controlling interest.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$152.5 million or 13.4% to $1.29 billion for the nine months ended September 30, 2021 from $1.14 billion for the same period in 2020. This increase was primarily attributable to an increase in billboard net revenues of $153.7 million and an increase in transit net revenues of $2.2 million, offset by a decrease in logo net revenues of $3.4 million over the same period in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there was a $156.5 million increase in net revenues as compared to acquisition-adjusted net revenue for the nine months ended September 30, 2020, which represents an increase of 13.8%. See “Reconciliations” below. The $156.5 million increase in revenue is primarily due to an increase of $151.1 million in billboard net revenues as well as an increase in transit net revenues of $5.1 million over the same period in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$29.1 million, or 4.2%, to $717.8 million for the nine months ended September 30, 2021 from $688.7 million for the same period in 2020. The $29.1 million increase over the prior year is comprised of a $17.6 million increase in total direct, general and administrative and corporate expenses (excluding stock-based compensation) primarily related to the operations of our outdoor advertising assets, as well as an $11.5 million increase in stock-based compensation.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$18.1 million to $205.7 million for the nine months ended September 30, 2021 as compared to $187.5 million for the same period in 2020. The increase is primarily due to the revision in the cost estimate included in the calculation of asset retirement obligations during the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the Company recognized a gain on disposition of assets of $1.9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$102.4 million to $371.2 million for the nine months ended September 30, 2021 as compared to $268.9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 loss on debt extinguishment of $21.6 million during the nine months ended September 30, 2021, which is a $3.6 million decrease over the same period in 2020. The loss on debt extinguishment during the nine months ended September 30, 2021 relates to the early repayment of our 5 3/4% Senior Notes during the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$26.4 million for the nine months ended September 30, 2021 to $80.6 million as compared to $107.1 million for the nine months ended September 30, 2020. The decrease is primarily related to the Company’s debt transactions completed in 2020 and 2021, as well as a reduction in our senior credit facility interest rates.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in earnings of investee was $1.1 million for the nine months ended September 30, 2021 as a result of the investment in Vistar Media that occurred in July 2021. There was no equity in earnings of investee for the nine months ended September 30,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as well as the decrease in interest expense and the decrease in loss on extinguishment of debt, resulted in an $133.5 million increase in net income before income taxes. The effective tax rate for the nine months ended September 30, 2021 was 2.2%, which differs from the federal statutory rate primarily due to our qualification for taxation as a REIT and adjustments for foreign items.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nine months ended September 30, 2021 of $264.8 million, as compared to net income of $134.7 million for the same period in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nine months ended September 30, 2020 by adding to or subtracting from it the net revenue generated by the acquired or divested assets prior to our acquisition or divestiture of these assets for the same time frame that those assets were owned in the nine months ended September 30, 2021.</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nine months ended September 30, as well as a comparison of 2020 acquisition-adjusted net revenue to 2021 reported net revenue for the nine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5"/>
          </w:tcPr>
          <w:p>
            <w:pPr>
              <w:ind w:left="720"/>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1,292,827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1,140,331</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1,292,827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1,136,373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 of</w:t>
            </w:r>
          </w:p>
        </w:tc>
        <w:tc>
          <w:tcPr>
            <w:tcW w:w="3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Increase (Decrease)</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224"/>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264,776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80,084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106,441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596,634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nine months ended September 30, 2021 increased 28.7% to $596.6 million. The increase in adjusted EBITDA was primarily attributable to an increase in our gross margin (net revenue less direct advertising expense, exclusive of depreciation and amortization and capitalized contract fulfillment costs, net) of $155.3 million, offset by an increase in total general and administrative and corporate expenses of $18.5 million, excluding the impact of stock-based compensation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8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3"/>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ind w:right="114"/>
              <w:spacing w:after="0" w:line="107"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197,395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150,243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144,341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nine months ended September 30, 2021 increased from $309.6 million in 2020 to $459.8 million for the same period in 2021, an increase of 48.5%. AFFO for the nine months ended September 30, 2021 increased 42.1% to $487.1 million as compared to $342.7 million for the same period in 2020.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$90.8 million or 23.5% to $476.9 million for the three months ended September 30, 2021 from $386.1 million for the same period in 2020. This increase was primarily attributable to an increase in billboard and transit net revenues of $81.7 million and $9.1 million, respectively, over the same period in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there was a $90.0 million increase in net revenues as compared to acquisition-adjusted net revenue for the three months ended September 30, 2020, which represents an increase of 23.3%. See "Reconciliations" below. The $90.0 million increase in revenue is primarily due to a $80.5 million and $9.7 million increase in billboard and transit net revenues,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$39.0 million, or 17.7%, to $259.3 million for the three months ended September 30, 2021 from $220.3 million in the same period in 2020. The $39.0 million increase over the prior year is comprised of a $30.8 million increase in total direct, general and administrative and corporate expenses (excluding stock-based compensation) primarily related to the operations of our outdoor advertising assets and a $8.2 million increase in stock-based compensation.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$23.1 million to $84.3 million for the three months ended September 30, 2021 as compared to $61.2 million for the same period in 2020. The increase is primarily due to the revision in the cost estimate included in the calculation of asset retirement obligations during the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2021, the Company recognized a gain on disposition of assets of $0.03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$27.5 million to $133.3 million for the three months ended September 30, 2021 as compared to $105.9 million for the same period in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decreased $8.9 million for the three months ended September 30, 2021 to $26.1 million as compared to $35.1 million for the three months ended September 30, 2020. The decrease is primarily related to the Company's debt transactions completed in 2020 and 2021, as well as a reduction in our senior credit facility interest rates.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in earnings of investee was $1.1 million for the three months ended September 30, 2021 as a result of the investment in Vistar Media that occurred in July 2021. There was no equity in earnings of investee for the three months ended September 30,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and decrease in interest expense resulted in a $44.6 million increase in net income before income taxes. The effective tax rate for the three months ended September 30, 2021 was 1.6%,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September 30, 2021 of $106.8 million, as compared to net income of $62.8 million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three months ended September 30, 2020 by adding to or subtracting from it the net revenue generated by the acquired or divested assets prior to our acquisition or divestiture of these assets for the same time frame that those assets were owned in the three months ended September 30, 2021.</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three months ended September 30, as well as a comparison of 2020 acquisition-adjusted net revenue to 2021 reported net revenue for the three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386,881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 Increase</w:t>
            </w:r>
          </w:p>
        </w:tc>
      </w:tr>
      <w:tr>
        <w:trPr>
          <w:trHeight w:val="183"/>
        </w:trPr>
        <w:tc>
          <w:tcPr>
            <w:tcW w:w="58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September 30, 2021 increased 35.2% to $230.7 million. The increase in adjusted EBITDA was primarily attributable to an increase in our gross margin (net revenue less direct advertising expense, exclusive of depreciation and amortization and capitalized contract fulfillment costs, net) of $79.8 million, and was offset by an increase in total general and administrative and corporate expenses of $19.8 million, excluding the impact of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Amount of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23,149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56.4 %</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133,396</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44.3 %</w:t>
            </w: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September 30, 2021 increased from $119.9 million in 2020 to $187.6 million in 2021, an increase of 56.4%. AFFO for the three months ended September 30, 2021 increased 44.3% to $192.5 million as compared to $133.4 million for the same period in 2020. The increase in AFFO was primarily attributable to an increase in our gross margin (net revenue less direct advertising expense, exclusive of depreciation and amortization and capitalized fulfillment costs, net) offset by an increase in total general and administrative and corporate expenses (excluding the effect of stock-based compensation expense).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Total Liquidity. </w:t>
      </w:r>
      <w:r>
        <w:rPr>
          <w:rFonts w:ascii="Arial" w:cs="Arial" w:eastAsia="Arial" w:hAnsi="Arial"/>
          <w:sz w:val="18"/>
          <w:szCs w:val="18"/>
          <w:color w:val="auto"/>
        </w:rPr>
        <w:t>As of September 30, 2021 we had $823.2 million of total liquidity, which is comprised of $87.6 million in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$735.7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and December 31, 2020, the Company had a working capital deficit of $236.1 million and $167.3 million, respectively. The decrease in working capital of $68.8 million is primarily due to a decrease in cash and cash equivalents of $34.0 million as well as an increase of $52.3 million in current maturities of long-term debt due to the additional borrowings on the Accounts Receivable Securitization Program, offset by an increase in receivables, net of $21.8 million as of September 30,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Cash Generated by Operations</w:t>
      </w:r>
      <w:r>
        <w:rPr>
          <w:rFonts w:ascii="Arial" w:cs="Arial" w:eastAsia="Arial" w:hAnsi="Arial"/>
          <w:sz w:val="18"/>
          <w:szCs w:val="18"/>
          <w:color w:val="auto"/>
        </w:rPr>
        <w:t>. For the nine months ended September 30, 2021 and 2020, our cash provided by operating activities was $488.2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$361.5 million, respectively. The increase in cash provided by operating activities for the nine months ended September 30, 2021 over the same period in 2020 primarily relates to an increase in revenues of $152.5 million. We expect to generate cash flows from operations during 2021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24, 2021, Lamar Media and the Special Purpose Subsidiaries entered into the Fifth Amendment (the "Fifth Amendment") to the Accounts Receivable Securitization Program, as amended. The Fifth Amendment extends the maturity date of the Accounts Receivable Securitization Program to July 21, 2024. Additionally, the Fifth Amendment decreases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2021, there was $175.0 million in outstanding aggregate borrowings under the Accounts Receivable Securitization Program. Lamar Media had no additional availability under the Accounts Receivable Securitization Program as of September 30, 2021. The Accounts Receivable Securitization Program will mature on July 21, 2024. On October 20, 2021, Lamar repaid $60.0 million of its outstanding balance under its Accounts Receivable Securitization Program. Currently, the Company has $115.0 million outstanding under the Accounts Receivable Securitization Program.</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On May 1, 2018, the Company entered into an equity distribution agreement (the “Sales Agreement”) with J.P.</w:t>
      </w:r>
      <w:r>
        <w:rPr>
          <w:rFonts w:ascii="Arial" w:cs="Arial" w:eastAsia="Arial" w:hAnsi="Arial"/>
          <w:sz w:val="18"/>
          <w:szCs w:val="18"/>
          <w:i w:val="1"/>
          <w:iCs w:val="1"/>
          <w:color w:val="auto"/>
        </w:rPr>
        <w:t xml:space="preserve"> </w:t>
      </w:r>
      <w:r>
        <w:rPr>
          <w:rFonts w:ascii="Arial" w:cs="Arial" w:eastAsia="Arial" w:hAnsi="Arial"/>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September 30, 2021.</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Shelf Registration Statement</w:t>
      </w:r>
      <w:r>
        <w:rPr>
          <w:rFonts w:ascii="Arial" w:cs="Arial" w:eastAsia="Arial" w:hAnsi="Arial"/>
          <w:sz w:val="17"/>
          <w:szCs w:val="17"/>
          <w:b w:val="1"/>
          <w:bCs w:val="1"/>
          <w:color w:val="222222"/>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August 6, 2018, the Company filed an automatically effective shelf registration statement (No. 333-226614) that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the offer and sale of an indeterminate amount of additional shares of our Class A common stock which expired by its term in August 2021. On June 21, 2021, the Company filed a new automatically effective shelf registration statement (No. 333-257243) that allows Lamar Advertising to offer and sell an indeterminate amount of additional shares of its Class A common stock on similar terms as the prior registration statement. During the nine months ended September 30, 2021, the Company did not issue any shares under either shelf registration.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non-Subsidiary entities such as the Lamar Partnering Entities, except to the extent that income of such entities is received by Lamar Media in the form of dividends or distributions.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 Credit Facility”</w:t>
      </w:r>
      <w:r>
        <w:rPr>
          <w:rFonts w:ascii="Arial" w:cs="Arial" w:eastAsia="Arial" w:hAnsi="Arial"/>
          <w:sz w:val="17"/>
          <w:szCs w:val="17"/>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aggregate balance outstanding under the senior credit facility was $600.0 million, consisting of $600.0 million in Term B loans aggregate principal balance and no outstanding borrowings under our revolving credit facility. Lamar Media had approximately $735.7 million of unused capacity under the revolving credit facility.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Note Offerings. </w:t>
      </w:r>
      <w:r>
        <w:rPr>
          <w:rFonts w:ascii="Arial" w:cs="Arial" w:eastAsia="Arial" w:hAnsi="Arial"/>
          <w:sz w:val="18"/>
          <w:szCs w:val="18"/>
          <w:color w:val="auto"/>
        </w:rPr>
        <w:t>On January 22, 2021, Lamar Media completed, an institutional private placement of $550.0 million in aggregate principal amount of 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5/8% Senior Notes due 2031 (the “3 5/8% Senior Notes”). The institutional private placement on January 22, 2021 resulted in net proceeds to Lamar Media of approximately $542.5 million. Lamar Media used the proceeds of this offering, together with cash on hand and borrowings under the revolving credit facility and Accounts Receivable Securitization Program, to redeem all of its outstanding $650.0 million aggregate principal amount 5 3/4% Senior Notes due 2026. See </w:t>
      </w:r>
      <w:r>
        <w:rPr>
          <w:rFonts w:ascii="Arial" w:cs="Arial" w:eastAsia="Arial" w:hAnsi="Arial"/>
          <w:sz w:val="18"/>
          <w:szCs w:val="18"/>
          <w:i w:val="1"/>
          <w:iCs w:val="1"/>
          <w:color w:val="auto"/>
        </w:rPr>
        <w:t>Uses of Cash- Note Redemption</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Internally Generated Funds. </w:t>
      </w:r>
      <w:r>
        <w:rPr>
          <w:rFonts w:ascii="Arial" w:cs="Arial" w:eastAsia="Arial" w:hAnsi="Arial"/>
          <w:sz w:val="17"/>
          <w:szCs w:val="17"/>
          <w:color w:val="auto"/>
        </w:rPr>
        <w:t>The key factors affecting internally generated cash flow are general economic conditions, specific economic conditions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where the Company conducts its business and overall spending on advertising by advertisers. We expect to generate cash flows from operations during 2021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 to $2.0 billion of indebtedness under the senior credit facility;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September 30, 2021 we were, and currently, we are, in compliance with all such tests under the senior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85" w:lineRule="auto"/>
        <w:tabs>
          <w:tab w:leader="none" w:pos="2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senior credit facility, “net income” means for any period, the consolidated net income (or loss) of Lamar Advertising, us, and our restricted subsidiaries, determined on a consolidated basis in accordance with GAAP; provided that following is excluded from net income: the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$71.5 million for the nine months ended September 30,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2021 total capital expenditures to be approximately $120.0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During the nine months ended September 30, 2021, the Company completed acquisitions for an aggregate purchase price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$107.6 million, which were financed using available cash on hand and borrowings on the Accounts Receivable Securitization Program.</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On July 12, 2021, Lamar acquired a minority stake in Vistar Media ("Vistar"), a leading global provider of programmatic technology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out-of-home sector. Management believes that Lamar’s investment of $30.0 million will help Vistar strengthen its balance sheet, expand its research and development and extend its reach into new markets. Lamar received a seat on Vistar’s Board of Directors.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Note Redemption. </w:t>
      </w:r>
      <w:r>
        <w:rPr>
          <w:rFonts w:ascii="Arial" w:cs="Arial" w:eastAsia="Arial" w:hAnsi="Arial"/>
          <w:sz w:val="17"/>
          <w:szCs w:val="17"/>
          <w:color w:val="auto"/>
        </w:rPr>
        <w:t>On February 3, 2021, the Company redeemed in full all $650.0 million aggregate principal amount 5 3/4% Senior Notes due 2026. The 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3/4% Senior Notes redemption was completed using the proceeds received from the 3 5/8% Senior Notes offering completed on January 22, 2021, together with cash on hand and borrowings under the revolving credit facility and Accounts Receivable Securitization Program. The notes were redeemed at a redemption price equal to 102.875% of the aggregate principal amount of the outstanding notes, plus accrued and unpaid interest to (but not including) the redemption date. During the nine months ended September 30, 2021, the Company recorded a loss on debt extinguishment of approximately $21.6 million related to the note redemption. See </w:t>
      </w:r>
      <w:r>
        <w:rPr>
          <w:rFonts w:ascii="Arial" w:cs="Arial" w:eastAsia="Arial" w:hAnsi="Arial"/>
          <w:sz w:val="17"/>
          <w:szCs w:val="17"/>
          <w:i w:val="1"/>
          <w:iCs w:val="1"/>
          <w:color w:val="auto"/>
        </w:rPr>
        <w:t>Sources of Cash- Note Offerings</w:t>
      </w:r>
      <w:r>
        <w:rPr>
          <w:rFonts w:ascii="Arial" w:cs="Arial" w:eastAsia="Arial" w:hAnsi="Arial"/>
          <w:sz w:val="17"/>
          <w:szCs w:val="17"/>
          <w:color w:val="auto"/>
        </w:rPr>
        <w:t xml:space="preserve"> for more information.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25, 2021, the Company's Board of Directors declared a quarterly cash dividend of $0.75 per share, paid on March 31, 2021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record of its Class A common stock and Class B common stock on March 22, 2021. On May 20, 2021, the Company's Board of Directors declared a quarterly cash dividend of $0.75 per share, paid on June 30, 2021 to its stockholders of record of its Class A common stock and Class B common stock on June 21, 2021. On September 7, 2021, the Company's Board of Directors declared a quarterly cash dividend of $1.00 per share, paid on September 30, 2021 to its stockholders of record of its Class A common stock and Class B common stock on September 20, 2021. Subject to approval of the Company's Board of Directors, the Company expects to declare a quarterly dividend of $1.00 per share of common stock for the upcoming fourth quarter 2021 distributions to stockholders.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Special Purpose Acquisition Company. </w:t>
      </w:r>
      <w:r>
        <w:rPr>
          <w:rFonts w:ascii="Arial" w:cs="Arial" w:eastAsia="Arial" w:hAnsi="Arial"/>
          <w:sz w:val="18"/>
          <w:szCs w:val="18"/>
          <w:color w:val="auto"/>
        </w:rPr>
        <w:t>On April 6, 2021, Lamar Partnering Corporation (“LPC”), a newly formed special purpose acquisition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wholly-owned subsidiary of the Company, filed a Registration Statement on Form S-1, with the Securities and Exchange Commission. Subject to market conditions, LPC’s proposed public offering is expected to have a base offering size of $300.0 million, or up to $345.0 million if the underwriters’ over-allotment is exercised in full. The Company, through an indirect wholly-owned subsidiary, would own approximately 20% of LPC’s issued and outstanding ordinary shares upon the consummation of the proposed offering. The Company intends to commit to acquire up to $100.0 million of forward purchase units in a forward purchase agreement that would close concurrently with LPC’s consummation of an initial business combination. As of September 30, 2021, the Company incurred $1.0 million in deferred offering costs related to the proposed offering, which is included in other assets on our Condensed Consolidated Balance Sheet.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Stock and Debt Repurchasing Program. </w:t>
      </w:r>
      <w:r>
        <w:rPr>
          <w:rFonts w:ascii="Arial" w:cs="Arial" w:eastAsia="Arial" w:hAnsi="Arial"/>
          <w:sz w:val="18"/>
          <w:szCs w:val="18"/>
          <w:color w:val="auto"/>
        </w:rPr>
        <w:t>On March 16, 2020, the Company’s Board of Directors authorized the repurchase of up to $250.0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September 20, 2021, the Board of Directors authorized the extension of the repurchase program through March 31, 2023. There were no repurchases under the program as of September 30, 2021. The Company’s management may opt not to make any repurchases under the program, or may make aggregate purchases less than the total amount authorized.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off-balance sheet commitments consist of guaranteed minimum payments to local transit municipalities and airport authorities for agreements which entitle us to rent advertising space to customers, in airports and on buses, benches or shelters.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September 30, 2021, we had outstanding debt of approximately $2.84 billion. In the future, Lamar Media has principal reduction obligations and revolver commitment reductions under the senior credit facility. In addition, it has fixed commercial commitments. These commitments are detailed on a contractual basis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1 - 3 Years</w:t>
            </w:r>
          </w:p>
        </w:tc>
        <w:tc>
          <w:tcPr>
            <w:tcW w:w="22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Interest obligations on long-term debt</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5"/>
              </w:rPr>
              <w:t>Billboard site, transit and other operating and financing</w:t>
            </w: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1,656.2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040" w:type="dxa"/>
            <w:vAlign w:val="bottom"/>
            <w:gridSpan w:val="7"/>
          </w:tcPr>
          <w:p>
            <w:pPr>
              <w:spacing w:after="0"/>
              <w:rPr>
                <w:sz w:val="20"/>
                <w:szCs w:val="20"/>
                <w:color w:val="auto"/>
              </w:rPr>
            </w:pPr>
            <w:r>
              <w:rPr>
                <w:rFonts w:ascii="Arial" w:cs="Arial" w:eastAsia="Arial" w:hAnsi="Arial"/>
                <w:sz w:val="16"/>
                <w:szCs w:val="16"/>
                <w:color w:val="auto"/>
                <w:w w:val="99"/>
              </w:rPr>
              <w:t>(1)  Interest rates on our variable rate instruments are assuming rates at the September 2021 levels.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Amount of Expiration Per Period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Commercial Commitments</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Total Amount</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Less Than 1</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1 - 3 Years</w:t>
            </w:r>
          </w:p>
        </w:tc>
        <w:tc>
          <w:tcPr>
            <w:tcW w:w="22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Committed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line="231" w:lineRule="exact"/>
              <w:rPr>
                <w:sz w:val="20"/>
                <w:szCs w:val="20"/>
                <w:color w:val="auto"/>
              </w:rPr>
            </w:pPr>
            <w:r>
              <w:rPr>
                <w:rFonts w:ascii="Arial" w:cs="Arial" w:eastAsia="Arial" w:hAnsi="Arial"/>
                <w:sz w:val="18"/>
                <w:szCs w:val="18"/>
                <w:color w:val="auto"/>
              </w:rPr>
              <w:t>Revolving Bank Facility</w:t>
            </w:r>
            <w:r>
              <w:rPr>
                <w:rFonts w:ascii="Arial" w:cs="Arial" w:eastAsia="Arial" w:hAnsi="Arial"/>
                <w:sz w:val="23"/>
                <w:szCs w:val="23"/>
                <w:color w:val="auto"/>
                <w:vertAlign w:val="superscript"/>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200" w:type="dxa"/>
            <w:vAlign w:val="bottom"/>
          </w:tcPr>
          <w:p>
            <w:pPr>
              <w:ind w:left="20"/>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23"/>
                <w:szCs w:val="23"/>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Lamar Media had no outstanding borrowings under the revolving credit facility as of September 30, 2021.</w:t>
      </w:r>
    </w:p>
    <w:p>
      <w:pPr>
        <w:spacing w:after="0" w:line="19" w:lineRule="exact"/>
        <w:rPr>
          <w:rFonts w:ascii="Arial" w:cs="Arial" w:eastAsia="Arial" w:hAnsi="Arial"/>
          <w:sz w:val="16"/>
          <w:szCs w:val="16"/>
          <w:color w:val="auto"/>
        </w:rPr>
      </w:pPr>
    </w:p>
    <w:p>
      <w:pPr>
        <w:ind w:left="360" w:hanging="352"/>
        <w:spacing w:after="0"/>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standby letters of credit are issued under the revolving credit facility and reduce the availability of the facility by the same amount.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2020 Combined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Lamar Media for the three and nine months ended September 30, 2021 and 2020. This discussion should be read in conjunction with the consolidated financial statements of Lamar Media and the related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$152.5 million or 13.4% to $1.29 billion for the nine months ended September 30, 2021 from $1.14 billion for the same period in 2020. This increase was primarily attributable to an increase in billboard net revenues of $153.7 million and an increase in transit net revenues of $2.2 million, offset by a decrease in logo net revenues of $3.4 million over the same period in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there was a $156.5 million increase in net revenues as compared to acquisition-adjusted net revenue for the nine months ended September 30, 2020, which represents an increase of 13.8%. See “Reconciliations” below. The $156.5 million increase in revenue is primarily due to an increase of $151.1 million in billboard net revenues as well as an increase in transit net revenues of $5.1 million over the same period in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$28.8 million, or 4.2%, to $717.1 million for the nine months ended September 30, 2021 from $688.4 million in the same period in 2020. The $28.8 million increase over the prior year is comprised of a $17.3 million increase in total direct, general and administrative and corporate expenses (excluding stock-based compensation) primarily related to the operations of our outdoor advertising assets, as well as an $11.5 million increase in stock-based compensation.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$18.1 million to $205.7 million for the nine months ended September 30, 2021 as compared to $187.5 million for the same period in 2020. The increase is primarily due to the revision in the cost estimate included in the calculation of asset retirement obligations during the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Lamar Media recognized a gain on disposition of assets of $1.9 million, primarily resulting from transactions related to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$102.7 million to $371.9 million for the nine months ended September 30, 2021 as compared to $269.2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Lamar Media recognized a loss on debt extinguishment of $21.6 million for the nine months ended September 30, 2021, a $3.6 million decrease over the same period in 2020. The loss on debt extinguishment during the nine months ended September 30, 2021 relates to the early repayment of our 5 3/4% Senior Notes during the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$26.4 million for the nine months ended September 30, 2021 to $80.6 million as compared to $107.1 million for the nine months ended September 30, 2020. The decrease is primarily related to Lamar Media's debt transactions completed in 2020 and 2021, as well as a reduction in our senior credit facility interest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in earnings of investee was $1.1 million for the nine months ended September 30, 2021 as a result of the investment in Vistar Media that occurred in July 2021. There was no equity in earnings of investee for the nine months ended September 30,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as well as the decrease in interest expense and the decrease in loss on extinguishment of debt, resulted in an $133.8 million increase in net income before income taxes. The effective tax rate for the nine months ended September 30, 2021 was 2.2%,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nine months ended September 30, 2021 of $265.5 million, as compared to net income of $135.0 million for the same period in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nine months ended September 30, 2020 by adding to or subtracting from it the net revenue generated by the acquired or divested assets prior to our acquisition or divestiture of these assets for the same time frame that those assets were owned in the nine months ended September 30, 2021.</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nine months ended September 30, as well as a comparison of 2020 acquisition-adjusted net revenue to 2021 reported net revenue for the nine months ended September 30,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jc w:val="right"/>
              <w:ind w:right="8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1,292,827</w:t>
            </w:r>
          </w:p>
        </w:tc>
        <w:tc>
          <w:tcPr>
            <w:tcW w:w="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1,140,331</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1,292,827</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1,136,373</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Increase (Decrease)</w:t>
            </w:r>
          </w:p>
        </w:tc>
        <w:tc>
          <w:tcPr>
            <w:tcW w:w="14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265,473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nine months ended September 30, 2021 increased 28.7% to $597.3 million. The increase in adjusted EBITDA was primarily attributable to an increase in our gross margin (net revenue less direct advertising expense, exclusive of depreciation and amortization and capitalized contract fulfillment costs, net) of $155.3 million, offset by an increase in total general and administrative and corporate expenses of $18.2 million, excluding the impact of stock-based compensation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81"/>
        </w:trPr>
        <w:tc>
          <w:tcPr>
            <w:tcW w:w="5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5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3"/>
            <w:vMerge w:val="continue"/>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center"/>
              <w:ind w:right="134"/>
              <w:spacing w:after="0" w:line="107"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197,395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144,672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nine months ended September 30, 2021 increased from $310.0 million in 2020 to $460.5 million for the same period in 2021, an increase of 48.6%. AFFO for the nine months ended September 30, 2021 increased 42.2% to $487.8 million as compared to $343.1 million for the same period in 2020.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$90.8 million or 23.5% to $476.9 million for the three months ended September 30, 2021 from $386.1 million for the same period in 2020. This increase was primarily attributable to an increase in billboard and transit net revenues of $81.7 million and $9.1 million, respectively, over the same period in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there was a $90.0 million increase in net revenues as compared to acquisition-adjusted net revenue for the three months ended September 30, 2021, which represents an increase of 23.3%. See "Reconciliations" below. The $90.0 million increase in revenue is primarily due to a $80.5 million and $9.7 million increase in billboard and transit net revenues,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$39.0 million, or 17.7%, to $259.1 million for the three months ended September 30, 2021 from $220.2 million in the same period in 2020. The $39.0 million increase over the prior year is comprised of a $30.8 million increase in total direct, general and administrative and corporate expenses (excluding stock-based compensation) primarily related to the operations of our outdoor advertising assets, as well as a $8.2 million increase in stock-based compensation.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$23.1 million to $84.3 million for the three months ended September 30, 2021 as compared to $61.2 million for the same period in 2020. The increase is primarily due to the revision in the cost estimate included in the calculation of asset retirement obligations during the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2021, Lamar Media recognized a gain on disposition of assets of $0.03 million, primarily resulting from transactions related to billboard locations.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$27.5 million to $133.5 million for the three months ended September 30, 2021 as compared to $106.0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$8.9 million for the three months ended September 30, 2021 to $26.1 million as compared to $35.1 million for the three months ended September 30, 2020. The decrease is primarily related to Lamar Media's debt transactions completed in 2020 and 2021, as well as a reduction in our senior credit facility interest rates.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in earnings of investee was $1.1 million for the three months ended September 30, 2021 as a result of the investment in Vistar Media that occurred in July 2021. There was no equity in earnings of investee for the three months ended September 30,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and decrease in interest expense resulted in a $44.6 million increase in net income before income taxes. The effective tax rate for the three months ended September 30, 2021 was 1.6%,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September 30, 2021 of $107.0 million, as compared to net income of $62.9 million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revenue, which adjusts our 2020 net revenue for the three months ended September 30, 2021 by adding to or subtracting from it the net revenue generated by the acquired or divested assets prior to our acquisition or divestiture of these assets for the same time frame that those assets were owned in the three months ended September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2020 reported net revenue to 2020 acquisition-adjusted net revenue for the three months ended June 30, as well as a comparison of 2020 acquisition-adjusted net revenue to 2021 reported net revenue for the three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5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386,881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Arial" w:cs="Arial" w:eastAsia="Arial" w:hAnsi="Arial"/>
                <w:sz w:val="18"/>
                <w:szCs w:val="18"/>
                <w:color w:val="auto"/>
              </w:rPr>
              <w:t>51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8"/>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62"/>
              <w:spacing w:after="0"/>
              <w:rPr>
                <w:sz w:val="20"/>
                <w:szCs w:val="20"/>
                <w:color w:val="auto"/>
              </w:rPr>
            </w:pPr>
            <w:r>
              <w:rPr>
                <w:rFonts w:ascii="Arial" w:cs="Arial" w:eastAsia="Arial" w:hAnsi="Arial"/>
                <w:sz w:val="14"/>
                <w:szCs w:val="14"/>
                <w:b w:val="1"/>
                <w:bCs w:val="1"/>
                <w:color w:val="auto"/>
              </w:rPr>
              <w:t>Percent of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September 30, 2021 increased 35.1% to $230.8 million. The increase in adjusted EBITDA was primarily attributable to an increase in our gross margin (net revenue less direct advertising expense, exclusive of depreciation and amortization and capitalized contract fulfillment costs, net) of $79.8 million, and was offset by an increase in total general and administrative and corporate expenses of $19.8 million, excluding the impact of stock-based compensation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8"/>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62"/>
              <w:spacing w:after="0"/>
              <w:rPr>
                <w:sz w:val="20"/>
                <w:szCs w:val="20"/>
                <w:color w:val="auto"/>
              </w:rPr>
            </w:pPr>
            <w:r>
              <w:rPr>
                <w:rFonts w:ascii="Arial" w:cs="Arial" w:eastAsia="Arial" w:hAnsi="Arial"/>
                <w:sz w:val="14"/>
                <w:szCs w:val="14"/>
                <w:b w:val="1"/>
                <w:bCs w:val="1"/>
                <w:color w:val="auto"/>
              </w:rPr>
              <w:t>Percent of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23,149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56.4 %</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44.3 %</w:t>
            </w: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September 30, 2021 increased from $120.1 million in 2020 to $187.7 million in 2021, an increase of 56.4%. AFFO for the three months ended September 30, 2021 increased 44.3% to $192.7 million as compared to $133.5 million for the same period in 2020.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94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2021, and should be read in conjunction with Note 11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2021 there was approximately $773.7 million of indebtedness outstanding under the senior credit facility and the Accounts Receivable Securitization Program, or approximately 26.9% of the Company’s outstanding long-term debt on that date, bearing interest at variable rates. The aggregate interest expense for 2021 with respect to borrowings under the senior credit facility and the Accounts Receivable Securitization Program was $9.8 million, and the weighted average interest rate applicable to these borrowings during 2021 was 1.4%. Assuming that the weighted average interest rate was 200 basis points higher (that is 3.4% rather than 1.4%), then the Company’s 2021 interest expense would have increased by approximately $11.2 million for the nine months ended September 30, 2021.</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2020,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2020.</w:t>
      </w:r>
    </w:p>
    <w:p>
      <w:pPr>
        <w:spacing w:after="0" w:line="291"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00" w:type="dxa"/>
            <w:vAlign w:val="bottom"/>
            <w:gridSpan w:val="20"/>
            <w:vMerge w:val="restart"/>
          </w:tcPr>
          <w:p>
            <w:pPr>
              <w:ind w:left="2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600" w:type="dxa"/>
            <w:vAlign w:val="bottom"/>
            <w:gridSpan w:val="2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00" w:type="dxa"/>
            <w:vAlign w:val="bottom"/>
            <w:tcBorders>
              <w:top w:val="single" w:sz="8" w:color="auto"/>
            </w:tcBorders>
            <w:gridSpan w:val="22"/>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(File No. 1-36756) filed on November 19, 2014 and incorporated herein by reference.</w:t>
              </w:r>
            </w:hyperlink>
          </w:p>
        </w:tc>
        <w:tc>
          <w:tcPr>
            <w:tcW w:w="380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K (File No. 1-36756) filed on November 19, 2014 and incorporated herein by reference.</w:t>
              </w:r>
            </w:hyperlink>
          </w:p>
        </w:tc>
        <w:tc>
          <w:tcPr>
            <w:tcW w:w="34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8"/>
              </w:rPr>
            </w:pPr>
            <w:hyperlink r:id="rId79">
              <w:r>
                <w:rPr>
                  <w:rFonts w:ascii="Arial" w:cs="Arial" w:eastAsia="Arial" w:hAnsi="Arial"/>
                  <w:sz w:val="18"/>
                  <w:szCs w:val="18"/>
                  <w:color w:val="0000FF"/>
                  <w:w w:val="98"/>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incorporated herein by reference.</w:t>
              </w:r>
            </w:hyperlink>
          </w:p>
        </w:tc>
        <w:tc>
          <w:tcPr>
            <w:tcW w:w="752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Current Report on Form 8-K (File No. 1-36756) filed on November 19, 2014 and incorporated herein by reference.</w:t>
              </w:r>
            </w:hyperlink>
          </w:p>
        </w:tc>
        <w:tc>
          <w:tcPr>
            <w:tcW w:w="1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the period ended September 30, 1999 (File No. 1-12407) filed on November 12, 1999 and incorporated herein by reference.</w:t>
              </w:r>
            </w:hyperlink>
          </w:p>
        </w:tc>
        <w:tc>
          <w:tcPr>
            <w:tcW w:w="10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First Amendment to the Fourth Amended and Restated Credit Agreement, dated as of July 2, 2021, among Lamar Media, the Company,</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80" w:type="dxa"/>
            <w:vAlign w:val="bottom"/>
            <w:tcBorders>
              <w:top w:val="single" w:sz="8" w:color="0000FF"/>
            </w:tcBorders>
            <w:gridSpan w:val="11"/>
          </w:tcPr>
          <w:p>
            <w:pPr>
              <w:spacing w:after="0" w:line="182"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Lamar Media’s subsidiary guarantors party thereto, JPMorgan Chase Bank, N.A. and certain lenders party thereto Previously filed as</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80" w:type="dxa"/>
            <w:vAlign w:val="bottom"/>
            <w:tcBorders>
              <w:top w:val="single" w:sz="8" w:color="0000FF"/>
            </w:tcBorders>
            <w:gridSpan w:val="10"/>
          </w:tcPr>
          <w:p>
            <w:pPr>
              <w:spacing w:after="0" w:line="182"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Exhibit 10.1 to the Company’s Current Report on Form 8-K (File No. 1-36756) filed on July 9, 2021 and incorporated herein by</w:t>
              </w:r>
            </w:hyperlink>
          </w:p>
        </w:tc>
        <w:tc>
          <w:tcPr>
            <w:tcW w:w="22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4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reference.</w:t>
              </w:r>
            </w:hyperlink>
          </w:p>
        </w:tc>
        <w:tc>
          <w:tcPr>
            <w:tcW w:w="5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340" w:type="dxa"/>
            <w:vAlign w:val="bottom"/>
            <w:tcBorders>
              <w:left w:val="single" w:sz="8" w:color="0000FF"/>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Certification of the Chief Executive Officer of the Company and Lamar Media pursuant to Securities Exchange Act Rules 13a-14(a)</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and 15d-14(a) as adopted pursuant to Section 302 of the Sarbanes-Oxley Act of 2002. Filed herewith.</w:t>
              </w:r>
            </w:hyperlink>
          </w:p>
        </w:tc>
        <w:tc>
          <w:tcPr>
            <w:tcW w:w="264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Certification of the Chief Financial Officer of the Company and Lamar Media pursuant to Securities Exchange Act Rules 13a-14(a) and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15d-14(a) as adopted pursuant to Section 302 of the Sarbanes-Oxley Act of 2002. Filed herewith.</w:t>
              </w:r>
            </w:hyperlink>
          </w:p>
        </w:tc>
        <w:tc>
          <w:tcPr>
            <w:tcW w:w="2860" w:type="dxa"/>
            <w:vAlign w:val="bottom"/>
            <w:tcBorders>
              <w:top w:val="single" w:sz="8" w:color="0000FF"/>
            </w:tcBorders>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Certification pursuant to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herewith.</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1380" w:right="20" w:hanging="879"/>
        <w:spacing w:after="0" w:line="249" w:lineRule="auto"/>
        <w:tabs>
          <w:tab w:leader="none" w:pos="1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September 30, 2021,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00" w:lineRule="exact"/>
        <w:rPr>
          <w:sz w:val="20"/>
          <w:szCs w:val="20"/>
          <w:color w:val="auto"/>
        </w:rPr>
      </w:pPr>
    </w:p>
    <w:p>
      <w:pPr>
        <w:ind w:left="1380" w:hanging="879"/>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8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121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121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2021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49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r>
      <w:tr>
        <w:trPr>
          <w:trHeight w:val="222"/>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Arial" w:cs="Arial" w:eastAsia="Arial" w:hAnsi="Arial"/>
                <w:sz w:val="18"/>
                <w:szCs w:val="18"/>
                <w:color w:val="auto"/>
              </w:rPr>
              <w:t>Date: November 3, 2021</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r>
      <w:tr>
        <w:trPr>
          <w:trHeight w:val="222"/>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1."/>
      <w:numFmt w:val="decimal"/>
      <w:start w:val="1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4"/>
    </w:lvl>
  </w:abstractNum>
  <w:abstractNum w:abstractNumId="18">
    <w:nsid w:val="836C40E"/>
    <w:multiLevelType w:val="hybridMultilevel"/>
    <w:lvl w:ilvl="0">
      <w:lvlJc w:val="left"/>
      <w:lvlText w:val="%1."/>
      <w:numFmt w:val="decimal"/>
      <w:start w:val="15"/>
    </w:lvl>
  </w:abstractNum>
  <w:abstractNum w:abstractNumId="19">
    <w:nsid w:val="2901D82"/>
    <w:multiLevelType w:val="hybridMultilevel"/>
    <w:lvl w:ilvl="0">
      <w:lvlJc w:val="left"/>
      <w:lvlText w:val="%1."/>
      <w:numFmt w:val="decimal"/>
      <w:start w:val="16"/>
    </w:lvl>
  </w:abstractNum>
  <w:abstractNum w:abstractNumId="20">
    <w:nsid w:val="3A95F874"/>
    <w:multiLevelType w:val="hybridMultilevel"/>
    <w:lvl w:ilvl="0">
      <w:lvlJc w:val="left"/>
      <w:lvlText w:val="%1."/>
      <w:numFmt w:val="decimal"/>
      <w:start w:val="17"/>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2"/>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Roman"/>
      <w:start w:val="4"/>
    </w:lvl>
  </w:abstractNum>
  <w:abstractNum w:abstractNumId="28">
    <w:nsid w:val="3006C83E"/>
    <w:multiLevelType w:val="hybridMultilevel"/>
    <w:lvl w:ilvl="0">
      <w:lvlJc w:val="left"/>
      <w:lvlText w:val="(%1)"/>
      <w:numFmt w:val="lowerRoman"/>
      <w:start w:val="7"/>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5"/>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decimal"/>
      <w:start w:val="101"/>
    </w:lvl>
  </w:abstractNum>
  <w:abstractNum w:abstractNumId="35">
    <w:nsid w:val="77465F01"/>
    <w:multiLevelType w:val="hybridMultilevel"/>
    <w:lvl w:ilvl="0">
      <w:lvlJc w:val="left"/>
      <w:lvlText w:val="%1"/>
      <w:numFmt w:val="decimal"/>
      <w:start w:val="104"/>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77" Type="http://schemas.openxmlformats.org/officeDocument/2006/relationships/hyperlink" Target="https://www.sec.gov/Archives/edgar/data/1090425/000119312514417756/d823054dex31.htm" TargetMode="External"/><Relationship Id="rId78" Type="http://schemas.openxmlformats.org/officeDocument/2006/relationships/hyperlink" Target="https://www.sec.gov/Archives/edgar/data/1090425/000119312514417756/d823054dex32.htm" TargetMode="External"/><Relationship Id="rId79" Type="http://schemas.openxmlformats.org/officeDocument/2006/relationships/hyperlink" Target="https://www.sec.gov/Archives/edgar/data/899045/000095013407011105/d46520exv3w2.htm" TargetMode="External"/><Relationship Id="rId80" Type="http://schemas.openxmlformats.org/officeDocument/2006/relationships/hyperlink" Target="https://www.sec.gov/Archives/edgar/data/1090425/000119312514417756/d823054dex33.htm" TargetMode="External"/><Relationship Id="rId81" Type="http://schemas.openxmlformats.org/officeDocument/2006/relationships/hyperlink" Target="https://www.sec.gov/Archives/edgar/data/899045/000095013499009877/0000950134-99-009877.txt" TargetMode="External"/><Relationship Id="rId82" Type="http://schemas.openxmlformats.org/officeDocument/2006/relationships/hyperlink" Target="https://www.sec.gov/Archives/edgar/data/899045/000119312521211991/d2035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2021-11-03T10:54:02Z</dcterms:created>
  <dcterms:modified xsi:type="dcterms:W3CDTF">2021-11-03T10:54:02Z</dcterms:modified>
</cp:coreProperties>
</file>