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24"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March 31, 2021</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374"/>
        </w:trPr>
        <w:tc>
          <w:tcPr>
            <w:tcW w:w="5720" w:type="dxa"/>
            <w:vAlign w:val="bottom"/>
          </w:tcPr>
          <w:p>
            <w:pPr>
              <w:spacing w:after="0" w:line="288" w:lineRule="exact"/>
              <w:rPr>
                <w:sz w:val="20"/>
                <w:szCs w:val="20"/>
                <w:color w:val="auto"/>
              </w:rPr>
            </w:pPr>
            <w:r>
              <w:rPr>
                <w:rFonts w:ascii="MS PGothic" w:cs="MS PGothic" w:eastAsia="MS PGothic" w:hAnsi="MS PGothic"/>
                <w:sz w:val="25"/>
                <w:szCs w:val="25"/>
                <w:color w:val="auto"/>
                <w:w w:val="99"/>
                <w:vertAlign w:val="subscript"/>
              </w:rPr>
              <w:t>☐</w:t>
            </w:r>
            <w:r>
              <w:rPr>
                <w:rFonts w:ascii="Arial" w:cs="Arial" w:eastAsia="Arial" w:hAnsi="Arial"/>
                <w:sz w:val="13"/>
                <w:szCs w:val="13"/>
                <w:b w:val="1"/>
                <w:bCs w:val="1"/>
                <w:color w:val="auto"/>
                <w:w w:val="99"/>
              </w:rPr>
              <w:t xml:space="preserve">   Transition Report Pursuant to Section 13 or 15(d) of the Securities Exchange Act of 1934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9"/>
        </w:trPr>
        <w:tc>
          <w:tcPr>
            <w:tcW w:w="5720" w:type="dxa"/>
            <w:vAlign w:val="bottom"/>
          </w:tcPr>
          <w:p>
            <w:pPr>
              <w:ind w:left="4060"/>
              <w:spacing w:after="0"/>
              <w:rPr>
                <w:sz w:val="20"/>
                <w:szCs w:val="20"/>
                <w:color w:val="auto"/>
              </w:rPr>
            </w:pPr>
            <w:r>
              <w:rPr>
                <w:rFonts w:ascii="Arial" w:cs="Arial" w:eastAsia="Arial" w:hAnsi="Arial"/>
                <w:sz w:val="13"/>
                <w:szCs w:val="13"/>
                <w:b w:val="1"/>
                <w:bCs w:val="1"/>
                <w:color w:val="auto"/>
                <w:w w:val="89"/>
              </w:rPr>
              <w:t>For the transition period from</w:t>
            </w:r>
          </w:p>
        </w:tc>
        <w:tc>
          <w:tcPr>
            <w:tcW w:w="620" w:type="dxa"/>
            <w:vAlign w:val="bottom"/>
            <w:tcBorders>
              <w:bottom w:val="single" w:sz="8" w:color="auto"/>
            </w:tcBorders>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w w:val="97"/>
              </w:rPr>
              <w:t>to</w:t>
            </w:r>
          </w:p>
        </w:tc>
        <w:tc>
          <w:tcPr>
            <w:tcW w:w="620" w:type="dxa"/>
            <w:vAlign w:val="bottom"/>
            <w:tcBorders>
              <w:bottom w:val="single" w:sz="8" w:color="auto"/>
            </w:tcBorders>
          </w:tcPr>
          <w:p>
            <w:pPr>
              <w:spacing w:after="0"/>
              <w:rPr>
                <w:sz w:val="21"/>
                <w:szCs w:val="21"/>
                <w:color w:val="auto"/>
              </w:rPr>
            </w:pPr>
          </w:p>
        </w:tc>
      </w:tr>
      <w:tr>
        <w:trPr>
          <w:trHeight w:val="195"/>
        </w:trPr>
        <w:tc>
          <w:tcPr>
            <w:tcW w:w="7140" w:type="dxa"/>
            <w:vAlign w:val="bottom"/>
            <w:gridSpan w:val="4"/>
          </w:tcPr>
          <w:p>
            <w:pPr>
              <w:ind w:left="4700"/>
              <w:spacing w:after="0"/>
              <w:rPr>
                <w:sz w:val="20"/>
                <w:szCs w:val="20"/>
                <w:color w:val="auto"/>
              </w:rPr>
            </w:pPr>
            <w:r>
              <w:rPr>
                <w:rFonts w:ascii="Arial" w:cs="Arial" w:eastAsia="Arial" w:hAnsi="Arial"/>
                <w:sz w:val="13"/>
                <w:szCs w:val="13"/>
                <w:b w:val="1"/>
                <w:bCs w:val="1"/>
                <w:i w:val="1"/>
                <w:iCs w:val="1"/>
                <w:color w:val="auto"/>
              </w:rPr>
              <w:t>Commission File Number 1-36756</w:t>
            </w:r>
          </w:p>
        </w:tc>
      </w:tr>
      <w:tr>
        <w:trPr>
          <w:trHeight w:val="230"/>
        </w:trPr>
        <w:tc>
          <w:tcPr>
            <w:tcW w:w="7140" w:type="dxa"/>
            <w:vAlign w:val="bottom"/>
            <w:gridSpan w:val="4"/>
          </w:tcPr>
          <w:p>
            <w:pPr>
              <w:ind w:left="4080"/>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Advertising Company</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Commission File Number 1-12407</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Media Corp.</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registrants as specified in their charters)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47-0961620</w:t>
            </w:r>
          </w:p>
        </w:tc>
      </w:tr>
      <w:tr>
        <w:trPr>
          <w:trHeight w:val="176"/>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72-1205791</w:t>
            </w:r>
          </w:p>
        </w:tc>
      </w:tr>
      <w:tr>
        <w:trPr>
          <w:trHeight w:val="175"/>
        </w:trPr>
        <w:tc>
          <w:tcPr>
            <w:tcW w:w="7300" w:type="dxa"/>
            <w:vAlign w:val="bottom"/>
            <w:gridSpan w:val="4"/>
          </w:tcPr>
          <w:p>
            <w:pPr>
              <w:jc w:val="center"/>
              <w:ind w:right="2000"/>
              <w:spacing w:after="0"/>
              <w:rPr>
                <w:sz w:val="20"/>
                <w:szCs w:val="20"/>
                <w:color w:val="auto"/>
              </w:rPr>
            </w:pPr>
            <w:r>
              <w:rPr>
                <w:rFonts w:ascii="Arial" w:cs="Arial" w:eastAsia="Arial" w:hAnsi="Arial"/>
                <w:sz w:val="13"/>
                <w:szCs w:val="13"/>
                <w:b w:val="1"/>
                <w:bCs w:val="1"/>
                <w:i w:val="1"/>
                <w:iCs w:val="1"/>
                <w:color w:val="auto"/>
                <w:w w:val="85"/>
              </w:rPr>
              <w:t>(State or other jurisdiction of incorporation or organization)</w:t>
            </w: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351"/>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8"/>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2"/>
              </w:rPr>
              <w:t>70808</w:t>
            </w:r>
          </w:p>
        </w:tc>
      </w:tr>
      <w:tr>
        <w:trPr>
          <w:trHeight w:val="175"/>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90"/>
              </w:rPr>
              <w:t>(Zip Code)</w:t>
            </w:r>
          </w:p>
        </w:tc>
      </w:tr>
      <w:tr>
        <w:trPr>
          <w:trHeight w:val="291"/>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Registrants’ telephone number, including area code: (225) 926-1000</w:t>
            </w:r>
          </w:p>
        </w:tc>
        <w:tc>
          <w:tcPr>
            <w:tcW w:w="3740" w:type="dxa"/>
            <w:vAlign w:val="bottom"/>
          </w:tcPr>
          <w:p>
            <w:pPr>
              <w:spacing w:after="0"/>
              <w:rPr>
                <w:sz w:val="24"/>
                <w:szCs w:val="24"/>
                <w:color w:val="auto"/>
              </w:rPr>
            </w:pPr>
          </w:p>
        </w:tc>
      </w:tr>
      <w:tr>
        <w:trPr>
          <w:trHeight w:val="175"/>
        </w:trPr>
        <w:tc>
          <w:tcPr>
            <w:tcW w:w="3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5"/>
                <w:szCs w:val="15"/>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8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91"/>
              </w:rPr>
              <w:t>The NASDAQ Stock Market, LLC</w:t>
            </w:r>
          </w:p>
        </w:tc>
      </w:tr>
    </w:tbl>
    <w:p>
      <w:pPr>
        <w:spacing w:after="0" w:line="12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5" w:right="3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28" w:lineRule="exact"/>
        <w:rPr>
          <w:sz w:val="24"/>
          <w:szCs w:val="24"/>
          <w:color w:val="auto"/>
        </w:rPr>
      </w:pPr>
    </w:p>
    <w:p>
      <w:pPr>
        <w:sectPr>
          <w:pgSz w:w="11900" w:h="16838" w:orient="portrait"/>
          <w:cols w:equalWidth="0" w:num="4">
            <w:col w:w="6540" w:space="120"/>
            <w:col w:w="200" w:space="60"/>
            <w:col w:w="100" w:space="120"/>
            <w:col w:w="4100"/>
          </w:cols>
          <w:pgMar w:left="320" w:top="1165"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56" w:lineRule="exact"/>
        <w:rPr>
          <w:sz w:val="24"/>
          <w:szCs w:val="24"/>
          <w:color w:val="auto"/>
        </w:rPr>
      </w:pPr>
    </w:p>
    <w:p>
      <w:pPr>
        <w:sectPr>
          <w:pgSz w:w="11900" w:h="16838" w:orient="portrait"/>
          <w:cols w:equalWidth="0" w:num="5">
            <w:col w:w="6060" w:space="120"/>
            <w:col w:w="200" w:space="60"/>
            <w:col w:w="100" w:space="120"/>
            <w:col w:w="160" w:space="60"/>
            <w:col w:w="4360"/>
          </w:cols>
          <w:pgMar w:left="320" w:top="1165" w:right="339" w:bottom="1440" w:gutter="0" w:footer="0" w:header="0"/>
          <w:type w:val="continuous"/>
        </w:sectPr>
      </w:pPr>
    </w:p>
    <w:p>
      <w:pPr>
        <w:spacing w:after="0"/>
        <w:rPr>
          <w:sz w:val="20"/>
          <w:szCs w:val="20"/>
          <w:color w:val="auto"/>
        </w:rPr>
      </w:pPr>
      <w:r>
        <w:rPr>
          <w:rFonts w:ascii="Arial" w:cs="Arial" w:eastAsia="Arial" w:hAnsi="Arial"/>
          <w:sz w:val="10"/>
          <w:szCs w:val="10"/>
          <w:color w:val="auto"/>
        </w:rPr>
        <w:t>The number of shares of Lamar Advertising Company’s Class A common stock outstanding as of April 30, 2021: 86,689,531</w:t>
      </w:r>
    </w:p>
    <w:p>
      <w:pPr>
        <w:spacing w:after="0" w:line="88" w:lineRule="exact"/>
        <w:rPr>
          <w:sz w:val="24"/>
          <w:szCs w:val="24"/>
          <w:color w:val="auto"/>
        </w:rPr>
      </w:pPr>
    </w:p>
    <w:p>
      <w:pPr>
        <w:spacing w:after="0"/>
        <w:rPr>
          <w:sz w:val="20"/>
          <w:szCs w:val="20"/>
          <w:color w:val="auto"/>
        </w:rPr>
      </w:pPr>
      <w:r>
        <w:rPr>
          <w:rFonts w:ascii="Arial" w:cs="Arial" w:eastAsia="Arial" w:hAnsi="Arial"/>
          <w:sz w:val="10"/>
          <w:szCs w:val="10"/>
          <w:color w:val="auto"/>
        </w:rPr>
        <w:t>The number of shares of the Lamar Advertising Company’s Class B common stock outstanding as of April 30, 2021: 14,420,085</w:t>
      </w:r>
    </w:p>
    <w:p>
      <w:pPr>
        <w:spacing w:after="0" w:line="8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Media Corp. common stock outstanding as of April 30, 2021: 100</w:t>
      </w:r>
    </w:p>
    <w:p>
      <w:pPr>
        <w:sectPr>
          <w:pgSz w:w="11900" w:h="16838" w:orient="portrait"/>
          <w:cols w:equalWidth="0" w:num="1">
            <w:col w:w="11240"/>
          </w:cols>
          <w:pgMar w:left="320" w:top="1165" w:right="339" w:bottom="1440" w:gutter="0" w:footer="0" w:header="0"/>
          <w:type w:val="continuous"/>
        </w:sectPr>
      </w:pPr>
    </w:p>
    <w:p>
      <w:pPr>
        <w:spacing w:after="0" w:line="49" w:lineRule="exact"/>
        <w:rPr>
          <w:sz w:val="24"/>
          <w:szCs w:val="24"/>
          <w:color w:val="auto"/>
        </w:rPr>
      </w:pPr>
    </w:p>
    <w:p>
      <w:pPr>
        <w:spacing w:after="0" w:line="308" w:lineRule="auto"/>
        <w:rPr>
          <w:sz w:val="20"/>
          <w:szCs w:val="20"/>
          <w:color w:val="auto"/>
        </w:rPr>
      </w:pPr>
      <w:r>
        <w:rPr>
          <w:rFonts w:ascii="Arial" w:cs="Arial" w:eastAsia="Arial" w:hAnsi="Arial"/>
          <w:sz w:val="12"/>
          <w:szCs w:val="12"/>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magnitude of the impact of the novel coronavirus (COVID-19) pandemic on our operations and on general economic conditions;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2020 of the Company and Lamar Media (the “2020 Combined Form 10-K”), filed on February 26, 2021,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r>
      <w:tr>
        <w:trPr>
          <w:trHeight w:val="176"/>
        </w:trPr>
        <w:tc>
          <w:tcPr>
            <w:tcW w:w="10420" w:type="dxa"/>
            <w:vAlign w:val="bottom"/>
            <w:gridSpan w:val="18"/>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PART I — FINANCIAL INFORMATION</w:t>
              </w:r>
            </w:hyperlink>
          </w:p>
        </w:tc>
        <w:tc>
          <w:tcPr>
            <w:tcW w:w="780" w:type="dxa"/>
            <w:vAlign w:val="bottom"/>
          </w:tcPr>
          <w:p>
            <w:pPr>
              <w:jc w:val="center"/>
              <w:spacing w:after="0" w:line="156"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r>
      <w:tr>
        <w:trPr>
          <w:trHeight w:val="426"/>
        </w:trPr>
        <w:tc>
          <w:tcPr>
            <w:tcW w:w="3060" w:type="dxa"/>
            <w:vAlign w:val="bottom"/>
            <w:tcBorders>
              <w:top w:val="single" w:sz="8" w:color="0000FF"/>
            </w:tcBorders>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360" w:type="dxa"/>
            <w:vAlign w:val="bottom"/>
            <w:gridSpan w:val="10"/>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452"/>
        </w:trPr>
        <w:tc>
          <w:tcPr>
            <w:tcW w:w="28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March 31, 2021 and December 31, 2020</w:t>
              </w:r>
            </w:hyperlink>
          </w:p>
        </w:tc>
        <w:tc>
          <w:tcPr>
            <w:tcW w:w="780" w:type="dxa"/>
            <w:vAlign w:val="bottom"/>
          </w:tcPr>
          <w:p>
            <w:pPr>
              <w:jc w:val="center"/>
              <w:spacing w:after="0" w:line="190"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3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Income and Comprehensive Income for the three months ended March 31, 2021 and 2020</w:t>
              </w:r>
            </w:hyperlink>
          </w:p>
        </w:tc>
        <w:tc>
          <w:tcPr>
            <w:tcW w:w="620" w:type="dxa"/>
            <w:vAlign w:val="bottom"/>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r>
      <w:tr>
        <w:trPr>
          <w:trHeight w:val="209"/>
        </w:trPr>
        <w:tc>
          <w:tcPr>
            <w:tcW w:w="480" w:type="dxa"/>
            <w:vAlign w:val="bottom"/>
          </w:tcPr>
          <w:p>
            <w:pPr>
              <w:spacing w:after="0"/>
              <w:rPr>
                <w:sz w:val="18"/>
                <w:szCs w:val="18"/>
                <w:color w:val="auto"/>
              </w:rPr>
            </w:pPr>
          </w:p>
        </w:tc>
        <w:tc>
          <w:tcPr>
            <w:tcW w:w="82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for the three months ended March 31, 2021 and 2020</w:t>
              </w:r>
            </w:hyperlink>
          </w:p>
        </w:tc>
        <w:tc>
          <w:tcPr>
            <w:tcW w:w="1680" w:type="dxa"/>
            <w:vAlign w:val="bottom"/>
            <w:gridSpan w:val="2"/>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r>
      <w:tr>
        <w:trPr>
          <w:trHeight w:val="210"/>
        </w:trPr>
        <w:tc>
          <w:tcPr>
            <w:tcW w:w="480" w:type="dxa"/>
            <w:vAlign w:val="bottom"/>
          </w:tcPr>
          <w:p>
            <w:pPr>
              <w:spacing w:after="0"/>
              <w:rPr>
                <w:sz w:val="18"/>
                <w:szCs w:val="18"/>
                <w:color w:val="auto"/>
              </w:rPr>
            </w:pPr>
          </w:p>
        </w:tc>
        <w:tc>
          <w:tcPr>
            <w:tcW w:w="756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 for the three months ended March 31, 2021 and 2020</w:t>
              </w:r>
            </w:hyperlink>
          </w:p>
        </w:tc>
        <w:tc>
          <w:tcPr>
            <w:tcW w:w="238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r>
      <w:tr>
        <w:trPr>
          <w:trHeight w:val="210"/>
        </w:trPr>
        <w:tc>
          <w:tcPr>
            <w:tcW w:w="480" w:type="dxa"/>
            <w:vAlign w:val="bottom"/>
          </w:tcPr>
          <w:p>
            <w:pPr>
              <w:spacing w:after="0"/>
              <w:rPr>
                <w:sz w:val="18"/>
                <w:szCs w:val="18"/>
                <w:color w:val="auto"/>
              </w:rPr>
            </w:pPr>
          </w:p>
        </w:tc>
        <w:tc>
          <w:tcPr>
            <w:tcW w:w="994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80" w:type="dxa"/>
            <w:vAlign w:val="bottom"/>
          </w:tcPr>
          <w:p>
            <w:pPr>
              <w:jc w:val="center"/>
              <w:spacing w:after="0"/>
              <w:rPr>
                <w:rFonts w:ascii="Arial" w:cs="Arial" w:eastAsia="Arial" w:hAnsi="Arial"/>
                <w:sz w:val="18"/>
                <w:szCs w:val="18"/>
                <w:color w:val="auto"/>
                <w:w w:val="94"/>
              </w:rPr>
            </w:pPr>
            <w:hyperlink w:anchor="page8">
              <w:r>
                <w:rPr>
                  <w:rFonts w:ascii="Arial" w:cs="Arial" w:eastAsia="Arial" w:hAnsi="Arial"/>
                  <w:sz w:val="18"/>
                  <w:szCs w:val="18"/>
                  <w:color w:val="auto"/>
                  <w:w w:val="94"/>
                </w:rPr>
                <w:t>9</w:t>
              </w:r>
            </w:hyperlink>
            <w:r>
              <w:rPr>
                <w:rFonts w:ascii="Arial" w:cs="Arial" w:eastAsia="Arial" w:hAnsi="Arial"/>
                <w:sz w:val="18"/>
                <w:szCs w:val="18"/>
                <w:color w:val="auto"/>
                <w:w w:val="94"/>
              </w:rPr>
              <w:t>-19</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10420" w:type="dxa"/>
            <w:vAlign w:val="bottom"/>
            <w:gridSpan w:val="18"/>
          </w:tcPr>
          <w:p>
            <w:pPr>
              <w:spacing w:after="0"/>
              <w:rPr>
                <w:sz w:val="20"/>
                <w:szCs w:val="20"/>
                <w:color w:val="auto"/>
              </w:rPr>
            </w:pPr>
            <w:r>
              <w:rPr>
                <w:rFonts w:ascii="Arial" w:cs="Arial" w:eastAsia="Arial" w:hAnsi="Arial"/>
                <w:sz w:val="18"/>
                <w:szCs w:val="18"/>
                <w:color w:val="auto"/>
              </w:rPr>
              <w:t>Lamar Media Corp.</w:t>
            </w:r>
          </w:p>
        </w:tc>
        <w:tc>
          <w:tcPr>
            <w:tcW w:w="78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FF"/>
              </w:rPr>
            </w:pPr>
            <w:hyperlink w:anchor="page19">
              <w:r>
                <w:rPr>
                  <w:rFonts w:ascii="Arial" w:cs="Arial" w:eastAsia="Arial" w:hAnsi="Arial"/>
                  <w:sz w:val="18"/>
                  <w:szCs w:val="18"/>
                  <w:color w:val="0000FF"/>
                </w:rPr>
                <w:t>Condensed Consolidated Balance Sheets as of March 31, 2021 and December 31, 2020</w:t>
              </w:r>
            </w:hyperlink>
          </w:p>
        </w:tc>
        <w:tc>
          <w:tcPr>
            <w:tcW w:w="780" w:type="dxa"/>
            <w:vAlign w:val="bottom"/>
          </w:tcPr>
          <w:p>
            <w:pPr>
              <w:jc w:val="center"/>
              <w:spacing w:after="0" w:line="190" w:lineRule="exact"/>
              <w:rPr>
                <w:rFonts w:ascii="Arial" w:cs="Arial" w:eastAsia="Arial" w:hAnsi="Arial"/>
                <w:sz w:val="18"/>
                <w:szCs w:val="18"/>
                <w:color w:val="auto"/>
                <w:w w:val="89"/>
              </w:rPr>
            </w:pPr>
            <w:hyperlink w:anchor="page19">
              <w:r>
                <w:rPr>
                  <w:rFonts w:ascii="Arial" w:cs="Arial" w:eastAsia="Arial" w:hAnsi="Arial"/>
                  <w:sz w:val="18"/>
                  <w:szCs w:val="18"/>
                  <w:color w:val="auto"/>
                  <w:w w:val="89"/>
                </w:rPr>
                <w:t>20</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3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Condensed Consolidated Statements of Income and Comprehensive Income for the three months ended March 31, 2021 and 2020</w:t>
              </w:r>
            </w:hyperlink>
          </w:p>
        </w:tc>
        <w:tc>
          <w:tcPr>
            <w:tcW w:w="620" w:type="dxa"/>
            <w:vAlign w:val="bottom"/>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21</w:t>
              </w:r>
            </w:hyperlink>
          </w:p>
        </w:tc>
      </w:tr>
      <w:tr>
        <w:trPr>
          <w:trHeight w:val="210"/>
        </w:trPr>
        <w:tc>
          <w:tcPr>
            <w:tcW w:w="480" w:type="dxa"/>
            <w:vAlign w:val="bottom"/>
          </w:tcPr>
          <w:p>
            <w:pPr>
              <w:spacing w:after="0"/>
              <w:rPr>
                <w:sz w:val="18"/>
                <w:szCs w:val="18"/>
                <w:color w:val="auto"/>
              </w:rPr>
            </w:pPr>
          </w:p>
        </w:tc>
        <w:tc>
          <w:tcPr>
            <w:tcW w:w="82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Condensed Consolidated Statements of Stockholder’s Equity for the three months ended March 31, 2021 and 2020</w:t>
              </w:r>
            </w:hyperlink>
          </w:p>
        </w:tc>
        <w:tc>
          <w:tcPr>
            <w:tcW w:w="1700" w:type="dxa"/>
            <w:vAlign w:val="bottom"/>
            <w:gridSpan w:val="3"/>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22</w:t>
              </w:r>
            </w:hyperlink>
          </w:p>
        </w:tc>
      </w:tr>
      <w:tr>
        <w:trPr>
          <w:trHeight w:val="210"/>
        </w:trPr>
        <w:tc>
          <w:tcPr>
            <w:tcW w:w="480" w:type="dxa"/>
            <w:vAlign w:val="bottom"/>
          </w:tcPr>
          <w:p>
            <w:pPr>
              <w:spacing w:after="0"/>
              <w:rPr>
                <w:sz w:val="18"/>
                <w:szCs w:val="18"/>
                <w:color w:val="auto"/>
              </w:rPr>
            </w:pPr>
          </w:p>
        </w:tc>
        <w:tc>
          <w:tcPr>
            <w:tcW w:w="756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22">
              <w:r>
                <w:rPr>
                  <w:rFonts w:ascii="Arial" w:cs="Arial" w:eastAsia="Arial" w:hAnsi="Arial"/>
                  <w:sz w:val="18"/>
                  <w:szCs w:val="18"/>
                  <w:color w:val="0000FF"/>
                  <w:w w:val="88"/>
                </w:rPr>
                <w:t>Condensed Consolidated Statements of Cash Flows for the three months ended March 31, 2021 and 2020</w:t>
              </w:r>
            </w:hyperlink>
          </w:p>
        </w:tc>
        <w:tc>
          <w:tcPr>
            <w:tcW w:w="238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23</w:t>
              </w:r>
            </w:hyperlink>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Notes to Condensed Consolidated Financial Statements</w:t>
              </w:r>
            </w:hyperlink>
          </w:p>
        </w:tc>
        <w:tc>
          <w:tcPr>
            <w:tcW w:w="780" w:type="dxa"/>
            <w:vAlign w:val="bottom"/>
          </w:tcPr>
          <w:p>
            <w:pPr>
              <w:jc w:val="center"/>
              <w:spacing w:after="0"/>
              <w:rPr>
                <w:rFonts w:ascii="Arial" w:cs="Arial" w:eastAsia="Arial" w:hAnsi="Arial"/>
                <w:sz w:val="18"/>
                <w:szCs w:val="18"/>
                <w:color w:val="auto"/>
                <w:w w:val="91"/>
              </w:rPr>
            </w:pPr>
            <w:hyperlink w:anchor="page23">
              <w:r>
                <w:rPr>
                  <w:rFonts w:ascii="Arial" w:cs="Arial" w:eastAsia="Arial" w:hAnsi="Arial"/>
                  <w:sz w:val="18"/>
                  <w:szCs w:val="18"/>
                  <w:color w:val="auto"/>
                  <w:w w:val="91"/>
                </w:rPr>
                <w:t>24</w:t>
              </w:r>
            </w:hyperlink>
            <w:r>
              <w:rPr>
                <w:rFonts w:ascii="Arial" w:cs="Arial" w:eastAsia="Arial" w:hAnsi="Arial"/>
                <w:sz w:val="18"/>
                <w:szCs w:val="18"/>
                <w:color w:val="auto"/>
                <w:w w:val="91"/>
              </w:rPr>
              <w:t>-30</w:t>
            </w: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042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color w:val="auto"/>
                <w:w w:val="91"/>
              </w:rPr>
            </w:pPr>
            <w:hyperlink w:anchor="page30">
              <w:r>
                <w:rPr>
                  <w:rFonts w:ascii="Arial" w:cs="Arial" w:eastAsia="Arial" w:hAnsi="Arial"/>
                  <w:sz w:val="18"/>
                  <w:szCs w:val="18"/>
                  <w:color w:val="auto"/>
                  <w:w w:val="91"/>
                </w:rPr>
                <w:t>31</w:t>
              </w:r>
            </w:hyperlink>
            <w:r>
              <w:rPr>
                <w:rFonts w:ascii="Arial" w:cs="Arial" w:eastAsia="Arial" w:hAnsi="Arial"/>
                <w:sz w:val="18"/>
                <w:szCs w:val="18"/>
                <w:color w:val="auto"/>
                <w:w w:val="91"/>
              </w:rPr>
              <w:t>-44</w:t>
            </w:r>
          </w:p>
        </w:tc>
      </w:tr>
      <w:tr>
        <w:trPr>
          <w:trHeight w:val="318"/>
        </w:trPr>
        <w:tc>
          <w:tcPr>
            <w:tcW w:w="50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ITEM 3. 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r>
      <w:tr>
        <w:trPr>
          <w:trHeight w:val="358"/>
        </w:trPr>
        <w:tc>
          <w:tcPr>
            <w:tcW w:w="24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 Controls and Procedures</w:t>
              </w:r>
            </w:hyperlink>
          </w:p>
        </w:tc>
        <w:tc>
          <w:tcPr>
            <w:tcW w:w="7980" w:type="dxa"/>
            <w:vAlign w:val="bottom"/>
            <w:gridSpan w:val="13"/>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r>
      <w:tr>
        <w:trPr>
          <w:trHeight w:val="358"/>
        </w:trPr>
        <w:tc>
          <w:tcPr>
            <w:tcW w:w="2760" w:type="dxa"/>
            <w:vAlign w:val="bottom"/>
            <w:tcBorders>
              <w:bottom w:val="single" w:sz="8" w:color="0000FF"/>
            </w:tcBorders>
            <w:gridSpan w:val="6"/>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PART II — OTHER INFORMATION</w:t>
              </w:r>
            </w:hyperlink>
          </w:p>
        </w:tc>
        <w:tc>
          <w:tcPr>
            <w:tcW w:w="7660" w:type="dxa"/>
            <w:vAlign w:val="bottom"/>
            <w:gridSpan w:val="1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46</w:t>
              </w:r>
            </w:hyperlink>
          </w:p>
        </w:tc>
      </w:tr>
      <w:tr>
        <w:trPr>
          <w:trHeight w:val="358"/>
        </w:trPr>
        <w:tc>
          <w:tcPr>
            <w:tcW w:w="1042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 Risk Factors</w:t>
              </w:r>
            </w:hyperlink>
          </w:p>
        </w:tc>
        <w:tc>
          <w:tcPr>
            <w:tcW w:w="78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 Unregistered Sales of Equity Securities and Use of Proceeds</w:t>
              </w:r>
            </w:hyperlink>
          </w:p>
        </w:tc>
        <w:tc>
          <w:tcPr>
            <w:tcW w:w="5400" w:type="dxa"/>
            <w:vAlign w:val="bottom"/>
            <w:gridSpan w:val="8"/>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r>
      <w:tr>
        <w:trPr>
          <w:trHeight w:val="358"/>
        </w:trPr>
        <w:tc>
          <w:tcPr>
            <w:tcW w:w="1042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5. Other Information</w:t>
              </w:r>
            </w:hyperlink>
          </w:p>
        </w:tc>
        <w:tc>
          <w:tcPr>
            <w:tcW w:w="78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r>
      <w:tr>
        <w:trPr>
          <w:trHeight w:val="358"/>
        </w:trPr>
        <w:tc>
          <w:tcPr>
            <w:tcW w:w="12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6"/>
              </w:rPr>
            </w:pPr>
            <w:hyperlink w:anchor="page46">
              <w:r>
                <w:rPr>
                  <w:rFonts w:ascii="Arial" w:cs="Arial" w:eastAsia="Arial" w:hAnsi="Arial"/>
                  <w:sz w:val="18"/>
                  <w:szCs w:val="18"/>
                  <w:color w:val="0000FF"/>
                  <w:w w:val="96"/>
                </w:rPr>
                <w:t>ITEM 6. Exhibits</w:t>
              </w:r>
            </w:hyperlink>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0"/>
        </w:trPr>
        <w:tc>
          <w:tcPr>
            <w:tcW w:w="8000" w:type="dxa"/>
            <w:vAlign w:val="bottom"/>
            <w:shd w:val="clear" w:color="auto" w:fill="CCEEFF"/>
          </w:tcPr>
          <w:p>
            <w:pPr>
              <w:ind w:left="37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121,569</w:t>
            </w:r>
          </w:p>
        </w:tc>
      </w:tr>
      <w:tr>
        <w:trPr>
          <w:trHeight w:val="186"/>
        </w:trPr>
        <w:tc>
          <w:tcPr>
            <w:tcW w:w="8000" w:type="dxa"/>
            <w:vAlign w:val="bottom"/>
          </w:tcPr>
          <w:p>
            <w:pPr>
              <w:ind w:left="260"/>
              <w:spacing w:after="0"/>
              <w:rPr>
                <w:sz w:val="20"/>
                <w:szCs w:val="20"/>
                <w:color w:val="auto"/>
              </w:rPr>
            </w:pPr>
            <w:r>
              <w:rPr>
                <w:rFonts w:ascii="Arial" w:cs="Arial" w:eastAsia="Arial" w:hAnsi="Arial"/>
                <w:sz w:val="14"/>
                <w:szCs w:val="14"/>
                <w:color w:val="auto"/>
              </w:rPr>
              <w:t>Receivables, net of allowance for doubtful accounts of $13,438 and $14,946 in 2021 and 2020,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218,603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240,854</w:t>
            </w: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18,147</w:t>
            </w: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287,351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380,570</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3,621,869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3,615,505</w:t>
            </w:r>
          </w:p>
        </w:tc>
      </w:tr>
      <w:tr>
        <w:trPr>
          <w:trHeight w:val="18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(2,353,189)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(2,333,656)</w:t>
            </w:r>
          </w:p>
        </w:tc>
      </w:tr>
      <w:tr>
        <w:trPr>
          <w:trHeight w:val="183"/>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1,268,680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1,281,849</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both"/>
        <w:ind w:left="20"/>
        <w:spacing w:after="0" w:line="279" w:lineRule="auto"/>
        <w:rPr>
          <w:sz w:val="20"/>
          <w:szCs w:val="20"/>
          <w:color w:val="auto"/>
        </w:rPr>
      </w:pPr>
      <w:r>
        <w:rPr>
          <w:rFonts w:ascii="Arial" w:cs="Arial" w:eastAsia="Arial" w:hAnsi="Arial"/>
          <w:sz w:val="14"/>
          <w:szCs w:val="14"/>
          <w:color w:val="auto"/>
        </w:rPr>
        <w:t>Operating lease right of use assets Financing lease right of use assets Goodwill</w:t>
      </w:r>
    </w:p>
    <w:p>
      <w:pPr>
        <w:ind w:left="20"/>
        <w:spacing w:after="0"/>
        <w:rPr>
          <w:sz w:val="20"/>
          <w:szCs w:val="20"/>
          <w:color w:val="auto"/>
        </w:rPr>
      </w:pPr>
      <w:r>
        <w:rPr>
          <w:rFonts w:ascii="Arial" w:cs="Arial" w:eastAsia="Arial" w:hAnsi="Arial"/>
          <w:sz w:val="14"/>
          <w:szCs w:val="14"/>
          <w:color w:val="auto"/>
        </w:rPr>
        <w:t>Intangible assets,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1,213,933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1,222,013</w:t>
            </w:r>
          </w:p>
        </w:tc>
      </w:tr>
      <w:tr>
        <w:trPr>
          <w:trHeight w:val="184"/>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19,030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19,670</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1,912,359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1,912,328</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887,585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914,446</w:t>
            </w:r>
          </w:p>
        </w:tc>
      </w:tr>
      <w:tr>
        <w:trPr>
          <w:trHeight w:val="195"/>
        </w:trPr>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61,559</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60,565</w:t>
            </w:r>
          </w:p>
        </w:tc>
      </w:tr>
      <w:tr>
        <w:trPr>
          <w:trHeight w:val="182"/>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5,650,497</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5,791,441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-603885</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-363855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-123825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-86995</wp:posOffset>
            </wp:positionV>
            <wp:extent cx="2057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980" w:space="460"/>
            <w:col w:w="8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Trade accounts payable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11,382</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long-term debt, net of deferred financing costs of $333 and $445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155,039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162,861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195,439</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72,368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105,288</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113,454</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111,363</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516,435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547,872</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financing costs of $39,912 and $39,672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2,685,085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2,764,082</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984,117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993,776</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4,854</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retirement obligation</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222,891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222,876</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38,368</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36,605</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4,468,990</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4,588,673</w:t>
            </w:r>
          </w:p>
        </w:tc>
        <w:tc>
          <w:tcPr>
            <w:tcW w:w="0" w:type="dxa"/>
            <w:vAlign w:val="bottom"/>
          </w:tcPr>
          <w:p>
            <w:pPr>
              <w:spacing w:after="0"/>
              <w:rPr>
                <w:sz w:val="1"/>
                <w:szCs w:val="1"/>
                <w:color w:val="auto"/>
              </w:rPr>
            </w:pPr>
          </w:p>
        </w:tc>
      </w:tr>
      <w:tr>
        <w:trPr>
          <w:trHeight w:val="166"/>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9"/>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2021 and 2020</w:t>
            </w:r>
          </w:p>
        </w:tc>
        <w:tc>
          <w:tcPr>
            <w:tcW w:w="5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Arial" w:cs="Arial" w:eastAsia="Arial" w:hAnsi="Arial"/>
                <w:sz w:val="14"/>
                <w:szCs w:val="14"/>
                <w:color w:val="auto"/>
                <w:w w:val="91"/>
              </w:rPr>
              <w:t>Class A common stock, par value $0.001, 362,500,000 shares authorized; 87,374,252 and 87,111,327 shares issued at 2021 and 2020,</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8000" w:type="dxa"/>
            <w:vAlign w:val="bottom"/>
          </w:tcPr>
          <w:p>
            <w:pPr>
              <w:ind w:left="520"/>
              <w:spacing w:after="0"/>
              <w:rPr>
                <w:sz w:val="20"/>
                <w:szCs w:val="20"/>
                <w:color w:val="auto"/>
              </w:rPr>
            </w:pPr>
            <w:r>
              <w:rPr>
                <w:rFonts w:ascii="Arial" w:cs="Arial" w:eastAsia="Arial" w:hAnsi="Arial"/>
                <w:sz w:val="14"/>
                <w:szCs w:val="14"/>
                <w:color w:val="auto"/>
              </w:rPr>
              <w:t>respectively; 86,689,281 and 86,491,646 outstanding at 2021 and 2020,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2"/>
              </w:rPr>
              <w:t>Class B common stock, par value $0.001, 37,500,000 shares authorized, 14,420,085 shares issued and outstanding at 2021 and 2020</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1,985,682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1,963,850</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comprehensive income</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(754,911)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(717,331)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shares held in treasury, 684,971 and 619,681 shares at 2021 and 2020, respectively</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(50,503)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Stockholders’ equity</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1,181,507</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5,650,497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5,791,441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30"/>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r>
      <w:tr>
        <w:trPr>
          <w:trHeight w:val="20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149,494</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82,204</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18,491</w:t>
            </w:r>
          </w:p>
        </w:tc>
      </w:tr>
      <w:tr>
        <w:trPr>
          <w:trHeight w:val="230"/>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w:t>
            </w:r>
          </w:p>
        </w:tc>
      </w:tr>
      <w:tr>
        <w:trPr>
          <w:trHeight w:val="229"/>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r>
      <w:tr>
        <w:trPr>
          <w:trHeight w:val="223"/>
        </w:trPr>
        <w:tc>
          <w:tcPr>
            <w:tcW w:w="8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281,958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309,998</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96,571</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18,179</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r>
      <w:tr>
        <w:trPr>
          <w:trHeight w:val="223"/>
        </w:trPr>
        <w:tc>
          <w:tcPr>
            <w:tcW w:w="8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49,584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42,029</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40,493</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declared and paid on preferred stock</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 applicable to common stock</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40,402</w:t>
            </w: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r>
        <w:trPr>
          <w:trHeight w:val="204"/>
        </w:trPr>
        <w:tc>
          <w:tcPr>
            <w:tcW w:w="8480" w:type="dxa"/>
            <w:vAlign w:val="bottom"/>
          </w:tcPr>
          <w:p>
            <w:pPr>
              <w:ind w:left="220"/>
              <w:spacing w:after="0" w:line="203" w:lineRule="exact"/>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common shares used in computing earnings per share:</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100,967,861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100,589,338</w:t>
            </w:r>
          </w:p>
        </w:tc>
      </w:tr>
      <w:tr>
        <w:trPr>
          <w:trHeight w:val="230"/>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101,138,042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100,875,388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38,895</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740" w:type="dxa"/>
            <w:vAlign w:val="bottom"/>
          </w:tcPr>
          <w:p>
            <w:pPr>
              <w:jc w:val="center"/>
              <w:ind w:left="179"/>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4"/>
              </w:rPr>
              <w:t>Class 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4"/>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0"/>
              </w:rPr>
              <w:t>Treasury</w:t>
            </w:r>
          </w:p>
        </w:tc>
        <w:tc>
          <w:tcPr>
            <w:tcW w:w="20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4"/>
              </w:rPr>
              <w:t>Paid in</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9"/>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Stock</w:t>
            </w:r>
          </w:p>
        </w:tc>
        <w:tc>
          <w:tcPr>
            <w:tcW w:w="2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2020</w:t>
            </w:r>
          </w:p>
        </w:tc>
        <w:tc>
          <w:tcPr>
            <w:tcW w:w="740" w:type="dxa"/>
            <w:vAlign w:val="bottom"/>
            <w:shd w:val="clear" w:color="auto" w:fill="CFF0FC"/>
          </w:tcPr>
          <w:p>
            <w:pPr>
              <w:jc w:val="right"/>
              <w:ind w:right="579"/>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(44,786)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1,963,850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(717,331)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w w:val="98"/>
              </w:rPr>
              <w:t>Issuance of 149,000 shares of common</w:t>
            </w:r>
          </w:p>
        </w:tc>
        <w:tc>
          <w:tcPr>
            <w:tcW w:w="7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12"/>
              <w:spacing w:after="0"/>
              <w:rPr>
                <w:sz w:val="20"/>
                <w:szCs w:val="20"/>
                <w:color w:val="auto"/>
              </w:rPr>
            </w:pPr>
            <w:r>
              <w:rPr>
                <w:rFonts w:ascii="Arial" w:cs="Arial" w:eastAsia="Arial" w:hAnsi="Arial"/>
                <w:sz w:val="14"/>
                <w:szCs w:val="14"/>
                <w:color w:val="auto"/>
              </w:rPr>
              <w:t>13,376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10"/>
              <w:spacing w:after="0"/>
              <w:rPr>
                <w:sz w:val="20"/>
                <w:szCs w:val="20"/>
                <w:color w:val="auto"/>
              </w:rPr>
            </w:pPr>
            <w:r>
              <w:rPr>
                <w:rFonts w:ascii="Arial" w:cs="Arial" w:eastAsia="Arial" w:hAnsi="Arial"/>
                <w:sz w:val="14"/>
                <w:szCs w:val="14"/>
                <w:color w:val="auto"/>
              </w:rPr>
              <w:t>13,376</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82,101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rPr>
              <w:t>5,224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Issuance of 31,824 shares of common</w:t>
            </w:r>
          </w:p>
        </w:tc>
        <w:tc>
          <w:tcPr>
            <w:tcW w:w="7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12"/>
              <w:spacing w:after="0"/>
              <w:rPr>
                <w:sz w:val="20"/>
                <w:szCs w:val="20"/>
                <w:color w:val="auto"/>
              </w:rPr>
            </w:pPr>
            <w:r>
              <w:rPr>
                <w:rFonts w:ascii="Arial" w:cs="Arial" w:eastAsia="Arial" w:hAnsi="Arial"/>
                <w:sz w:val="14"/>
                <w:szCs w:val="14"/>
                <w:color w:val="auto"/>
              </w:rPr>
              <w:t>2,172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10"/>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Purchase of 65,290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38,329</w:t>
            </w: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FF0FC"/>
          </w:tcPr>
          <w:p>
            <w:pPr>
              <w:ind w:left="180"/>
              <w:spacing w:after="0" w:line="135" w:lineRule="exact"/>
              <w:rPr>
                <w:sz w:val="20"/>
                <w:szCs w:val="20"/>
                <w:color w:val="auto"/>
              </w:rPr>
            </w:pPr>
            <w:r>
              <w:rPr>
                <w:rFonts w:ascii="Arial" w:cs="Arial" w:eastAsia="Arial" w:hAnsi="Arial"/>
                <w:sz w:val="14"/>
                <w:szCs w:val="14"/>
                <w:color w:val="auto"/>
              </w:rPr>
              <w:t>shareholders ($0.75 per common</w:t>
            </w:r>
          </w:p>
        </w:tc>
        <w:tc>
          <w:tcPr>
            <w:tcW w:w="74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1"/>
                <w:szCs w:val="11"/>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1"/>
                <w:szCs w:val="11"/>
                <w:color w:val="auto"/>
              </w:rPr>
            </w:pPr>
          </w:p>
        </w:tc>
        <w:tc>
          <w:tcPr>
            <w:tcW w:w="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(75,818)</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(75,818)</w:t>
            </w:r>
          </w:p>
        </w:tc>
        <w:tc>
          <w:tcPr>
            <w:tcW w:w="0" w:type="dxa"/>
            <w:vAlign w:val="bottom"/>
          </w:tcPr>
          <w:p>
            <w:pPr>
              <w:spacing w:after="0"/>
              <w:rPr>
                <w:sz w:val="1"/>
                <w:szCs w:val="1"/>
                <w:color w:val="auto"/>
              </w:rPr>
            </w:pPr>
          </w:p>
        </w:tc>
      </w:tr>
      <w:tr>
        <w:trPr>
          <w:trHeight w:val="189"/>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1"/>
        </w:trPr>
        <w:tc>
          <w:tcPr>
            <w:tcW w:w="24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March 31, 2021</w:t>
            </w:r>
          </w:p>
        </w:tc>
        <w:tc>
          <w:tcPr>
            <w:tcW w:w="74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(50,503)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1,985,682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(754,911)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1,181,507</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460" w:type="dxa"/>
            <w:vAlign w:val="bottom"/>
          </w:tcPr>
          <w:p>
            <w:pPr>
              <w:spacing w:after="0"/>
              <w:rPr>
                <w:sz w:val="24"/>
                <w:szCs w:val="24"/>
                <w:color w:val="auto"/>
              </w:rPr>
            </w:pPr>
          </w:p>
        </w:tc>
        <w:tc>
          <w:tcPr>
            <w:tcW w:w="740" w:type="dxa"/>
            <w:vAlign w:val="bottom"/>
          </w:tcPr>
          <w:p>
            <w:pPr>
              <w:jc w:val="center"/>
              <w:ind w:left="179"/>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4"/>
              </w:rPr>
              <w:t>Class 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4"/>
              </w:rPr>
              <w:t>Class B</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0"/>
              </w:rPr>
              <w:t>Treasury</w:t>
            </w:r>
          </w:p>
        </w:tc>
        <w:tc>
          <w:tcPr>
            <w:tcW w:w="20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4"/>
              </w:rPr>
              <w:t>Paid in</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9"/>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199"/>
              <w:spacing w:after="0"/>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Stock</w:t>
            </w:r>
          </w:p>
        </w:tc>
        <w:tc>
          <w:tcPr>
            <w:tcW w:w="2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1,922,222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(708,408)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1,180,306</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272,813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24,956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24,956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14,609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58,734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w w:val="98"/>
              </w:rPr>
              <w:t>Purchase of 110,520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40,493</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($1.00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1,951,651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1,137,784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57"/>
        </w:trPr>
        <w:tc>
          <w:tcPr>
            <w:tcW w:w="84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38,329</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40,493</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60,749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62,313</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3,437</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1,378</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18,179</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tax benefit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Provision for doubtful accounts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3,206</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Decrease (increase) in: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Receivables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Prepaid expenses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815</w:t>
            </w: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 assets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(9,600)</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(Decrease) increase in: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Trade accounts payable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Accrued expenses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(22,182)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(20,982)</w:t>
            </w: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(28,324)</w:t>
            </w:r>
          </w:p>
        </w:tc>
      </w:tr>
      <w:tr>
        <w:trPr>
          <w:trHeight w:val="169"/>
        </w:trPr>
        <w:tc>
          <w:tcPr>
            <w:tcW w:w="8440" w:type="dxa"/>
            <w:vAlign w:val="bottom"/>
            <w:tcBorders>
              <w:bottom w:val="single" w:sz="8" w:color="CCEEFF"/>
            </w:tcBorders>
          </w:tcPr>
          <w:p>
            <w:pPr>
              <w:ind w:left="98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(4,861)</w:t>
            </w:r>
          </w:p>
        </w:tc>
      </w:tr>
      <w:tr>
        <w:trPr>
          <w:trHeight w:val="176"/>
        </w:trPr>
        <w:tc>
          <w:tcPr>
            <w:tcW w:w="844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Net cash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83,318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62,932</w:t>
            </w:r>
          </w:p>
        </w:tc>
      </w:tr>
      <w:tr>
        <w:trPr>
          <w:trHeight w:val="148"/>
        </w:trPr>
        <w:tc>
          <w:tcPr>
            <w:tcW w:w="8440" w:type="dxa"/>
            <w:vAlign w:val="bottom"/>
          </w:tcPr>
          <w:p>
            <w:pPr>
              <w:spacing w:after="0" w:line="141" w:lineRule="exact"/>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(13,565)</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Capital expenditures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(25,709)</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w:t>
            </w:r>
          </w:p>
        </w:tc>
      </w:tr>
      <w:tr>
        <w:trPr>
          <w:trHeight w:val="163"/>
        </w:trPr>
        <w:tc>
          <w:tcPr>
            <w:tcW w:w="8440" w:type="dxa"/>
            <w:vAlign w:val="bottom"/>
            <w:tcBorders>
              <w:bottom w:val="single" w:sz="8" w:color="CCEEFF"/>
            </w:tcBorders>
          </w:tcPr>
          <w:p>
            <w:pPr>
              <w:ind w:left="1180"/>
              <w:spacing w:after="0"/>
              <w:rPr>
                <w:sz w:val="20"/>
                <w:szCs w:val="20"/>
                <w:color w:val="auto"/>
              </w:rPr>
            </w:pPr>
            <w:r>
              <w:rPr>
                <w:rFonts w:ascii="Arial" w:cs="Arial" w:eastAsia="Arial" w:hAnsi="Arial"/>
                <w:sz w:val="13"/>
                <w:szCs w:val="13"/>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(35,588)</w:t>
            </w: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financing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Cash used for purchase of treasury stock</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(10,068)</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proceeds from issuance of common stock</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3,212</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Principal payments on long-term debt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revolving credit facility</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(180,000)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Redemption of senior notes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(668,688)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(519,139)</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note offering</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senior credit facility term loans</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(978,097)</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issuance costs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(24,042)</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Dividends/distributions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(100,778)</w:t>
            </w:r>
          </w:p>
        </w:tc>
      </w:tr>
      <w:tr>
        <w:trPr>
          <w:trHeight w:val="163"/>
        </w:trPr>
        <w:tc>
          <w:tcPr>
            <w:tcW w:w="8440" w:type="dxa"/>
            <w:vAlign w:val="bottom"/>
            <w:tcBorders>
              <w:bottom w:val="single" w:sz="8" w:color="CCEEFF"/>
            </w:tcBorders>
          </w:tcPr>
          <w:p>
            <w:pPr>
              <w:ind w:left="1180"/>
              <w:spacing w:after="0"/>
              <w:rPr>
                <w:sz w:val="20"/>
                <w:szCs w:val="20"/>
                <w:color w:val="auto"/>
              </w:rPr>
            </w:pPr>
            <w:r>
              <w:rPr>
                <w:rFonts w:ascii="Arial" w:cs="Arial" w:eastAsia="Arial" w:hAnsi="Arial"/>
                <w:sz w:val="13"/>
                <w:szCs w:val="13"/>
                <w:color w:val="auto"/>
              </w:rPr>
              <w:t>Net cash (used in) provided by financing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443,639</w:t>
            </w:r>
          </w:p>
        </w:tc>
      </w:tr>
      <w:tr>
        <w:trPr>
          <w:trHeight w:val="175"/>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w:t>
            </w:r>
          </w:p>
        </w:tc>
      </w:tr>
      <w:tr>
        <w:trPr>
          <w:trHeight w:val="161"/>
        </w:trPr>
        <w:tc>
          <w:tcPr>
            <w:tcW w:w="8440" w:type="dxa"/>
            <w:vAlign w:val="bottom"/>
          </w:tcPr>
          <w:p>
            <w:pPr>
              <w:ind w:left="200"/>
              <w:spacing w:after="0"/>
              <w:rPr>
                <w:sz w:val="20"/>
                <w:szCs w:val="20"/>
                <w:color w:val="auto"/>
              </w:rPr>
            </w:pPr>
            <w:r>
              <w:rPr>
                <w:rFonts w:ascii="Arial" w:cs="Arial" w:eastAsia="Arial" w:hAnsi="Arial"/>
                <w:sz w:val="13"/>
                <w:szCs w:val="13"/>
                <w:color w:val="auto"/>
              </w:rPr>
              <w:t>Net (decrease) increase in cash and cash equivalents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(78,523)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470,451</w:t>
            </w:r>
          </w:p>
        </w:tc>
      </w:tr>
      <w:tr>
        <w:trPr>
          <w:trHeight w:val="177"/>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121,569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26,188</w:t>
            </w:r>
          </w:p>
        </w:tc>
      </w:tr>
      <w:tr>
        <w:trPr>
          <w:trHeight w:val="175"/>
        </w:trPr>
        <w:tc>
          <w:tcPr>
            <w:tcW w:w="8440" w:type="dxa"/>
            <w:vAlign w:val="bottom"/>
          </w:tcPr>
          <w:p>
            <w:pPr>
              <w:ind w:left="200"/>
              <w:spacing w:after="0"/>
              <w:rPr>
                <w:sz w:val="20"/>
                <w:szCs w:val="20"/>
                <w:color w:val="auto"/>
              </w:rPr>
            </w:pPr>
            <w:r>
              <w:rPr>
                <w:rFonts w:ascii="Arial" w:cs="Arial" w:eastAsia="Arial" w:hAnsi="Arial"/>
                <w:sz w:val="13"/>
                <w:szCs w:val="13"/>
                <w:color w:val="auto"/>
              </w:rPr>
              <w:t>Cash and cash equivalents at end of period</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43,046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496,639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84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Supplemental disclosures of cash flow information:</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5"/>
        </w:trPr>
        <w:tc>
          <w:tcPr>
            <w:tcW w:w="84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43,343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42,982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5"/>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paid for foreign, state and federal income taxes</w:t>
            </w: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2020 Combined Form 10-K. Subsequent events, if any, are evaluated through the date on which the financial statements are issued.</w:t>
      </w:r>
    </w:p>
    <w:p>
      <w:pPr>
        <w:spacing w:after="0" w:line="30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do not meet the criteria of a lease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 copy.</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 by source for the three months ended March 31, 2021 and 2020.</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334,039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355,305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21,392</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2021 and 2020, we had operating lease costs of $72,471 and $80,402, respectively, and variable lease costs of $15,244 and $17,444, respectively. These operating lease costs are recorded in Direct advertising expenses (exclusive of depreciation and amortization). For the three months ended March 31, 2021 and 2020, we recorded a gain of $6 and loss of $51, respectively, in Gain on disposition of assets related to the amendment and termination of lease agreements. Cash payments of $102,082 and $103,063 were made reducing our operating lease liabilities for the three months ended March 31, 2021 and 2020,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$1,380 and $1,258 in Direct advertising expenses (exclusive of depreciation and amortization) for these agreements during the three months ended March 31, 2021 and 2020, respectively.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operating leases have a weighted-average remaining lease term of 12.1 years. The weighted-average discount rate of our operating leases is 4.7%. Also, during the periods ended March 31, 2021 and 2020, we obtained $3,767 and $5,082,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maturities of our operating lease liabilities as of March 31, 2021: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137,770</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182,324</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161,572</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145,168</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121,956</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762,445</w:t>
            </w: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1,511,235</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(364,257)</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1,146,978</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2021, $713 of amortization expense and $150 of interest expense relating to our financing lease liabilities were recorded in Depreciation and amortization and Interest expense, respectively, in the Condensed Consolidated Statements of Income and Comprehensive Income. Cash payments of $483 were made reducing our financing lease liabilities for the three months ended March 31, 2021 and are included in cash flows (used in) provided by financing activities in the Condensed Consolidated Statements of Cash Flows. We had no expenses relating to the financing lease liabilities for the three months ended March 31, 2020. Our financing leases have a weighted-average remaining lease term of 6.7 years and a weighted-average discount rate of 3.1%.</w:t>
      </w:r>
    </w:p>
    <w:p>
      <w:pPr>
        <w:spacing w:after="0" w:line="30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The Company granted options for an aggregate of 18,000 shares of its Class A common stock during the three months ended March 31, 2021. At March 31, 2021 a total of 2,333,620 shares were available for future grant.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Lamar Advertising’s 2009 Employee Stock Purchase Plan (the “2009 ESPP”), approved by our shareholders on May 28, 2009,</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by its terms on June 30, 2019. On May 30, 2019, our shareholders approved Lamar Advertising’s 2019 Employee Stock Purchase Plan (the “2019 ESPP”). The 2019 ESPP became effective upon the expiration of the 2009 ESPP. The number of shares of Class A common stock available under the 2019 ESPP was automatically increased by 86,490 shares on January 1, 2021 pursuant to the automatic increase provisions of the 2019 ESPP.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three months ended March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369,771</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40" w:type="dxa"/>
            <w:vAlign w:val="bottom"/>
          </w:tcPr>
          <w:p>
            <w:pPr>
              <w:jc w:val="right"/>
              <w:spacing w:after="0"/>
              <w:rPr>
                <w:sz w:val="20"/>
                <w:szCs w:val="20"/>
                <w:color w:val="auto"/>
              </w:rPr>
            </w:pPr>
            <w:r>
              <w:rPr>
                <w:rFonts w:ascii="Arial" w:cs="Arial" w:eastAsia="Arial" w:hAnsi="Arial"/>
                <w:sz w:val="18"/>
                <w:szCs w:val="18"/>
                <w:color w:val="auto"/>
              </w:rPr>
              <w:t>86,490</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(31,824)</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Available for future purchases, March 31,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424,437</w:t>
            </w:r>
          </w:p>
        </w:tc>
      </w:tr>
      <w:tr>
        <w:trPr>
          <w:trHeight w:val="21"/>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Performance-based stock compensation. </w:t>
      </w:r>
      <w:r>
        <w:rPr>
          <w:rFonts w:ascii="Arial" w:cs="Arial" w:eastAsia="Arial" w:hAnsi="Arial"/>
          <w:sz w:val="17"/>
          <w:szCs w:val="17"/>
          <w:color w:val="auto"/>
        </w:rPr>
        <w:t>Unrestricted shares of our Class A common stock may be awarded to key officers, employees and directors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Incentive Plan. The number of shares to be issued, if any, will be dependent on the level of achievement of performance measures for key officers and employees, as determined by the Company’s Compensation Committee based on our 2021 results. Any shares issued based on the achievement of performance goals will be issued in the first quarter of 2022. The shares subject to these awards can range from a minimum of 0% to a maximum of 100% of the target number of shares depending on the level at which the goals are attained. For the three months ended March 31, 2021, the Company has recorded $2,452 as stock-based compensation expense related to performance-based awards.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Restricted stock compensation. </w:t>
      </w:r>
      <w:r>
        <w:rPr>
          <w:rFonts w:ascii="Arial" w:cs="Arial" w:eastAsia="Arial" w:hAnsi="Arial"/>
          <w:sz w:val="18"/>
          <w:szCs w:val="18"/>
          <w:color w:val="auto"/>
        </w:rPr>
        <w:t>Annually, each non-employee director automatically receives a restricted stock award of our Class A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or re-election. The awards vest 50% on grant date and 50% on the last day of the directors' one year term. The Company recorded $66 in stock-based compensation expense related to these awards for the three months ended March 31, 2021.</w:t>
      </w:r>
    </w:p>
    <w:p>
      <w:pPr>
        <w:spacing w:after="0" w:line="29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8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w:t>
            </w:r>
          </w:p>
        </w:tc>
      </w:tr>
      <w:tr>
        <w:trPr>
          <w:trHeight w:val="223"/>
        </w:trPr>
        <w:tc>
          <w:tcPr>
            <w:tcW w:w="84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March 31, 2021 and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40"/>
        </w:trPr>
        <w:tc>
          <w:tcPr>
            <w:tcW w:w="4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1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line="20" w:lineRule="exact"/>
              <w:rPr>
                <w:sz w:val="1"/>
                <w:szCs w:val="1"/>
                <w:color w:val="auto"/>
              </w:rPr>
            </w:pPr>
          </w:p>
        </w:tc>
      </w:tr>
      <w:tr>
        <w:trPr>
          <w:trHeight w:val="135"/>
        </w:trPr>
        <w:tc>
          <w:tcPr>
            <w:tcW w:w="4200" w:type="dxa"/>
            <w:vAlign w:val="bottom"/>
          </w:tcPr>
          <w:p>
            <w:pPr>
              <w:spacing w:after="0"/>
              <w:rPr>
                <w:sz w:val="11"/>
                <w:szCs w:val="11"/>
                <w:color w:val="auto"/>
              </w:rPr>
            </w:pPr>
          </w:p>
        </w:tc>
        <w:tc>
          <w:tcPr>
            <w:tcW w:w="156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1"/>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645,765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568,949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645,739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563,135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2,413,111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1,615,056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1,593,805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3,175,120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2,287,535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3,174,658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2,260,212</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2,165,895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2,165,864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expense</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r>
      <w:tr>
        <w:trPr>
          <w:trHeight w:val="229"/>
        </w:trPr>
        <w:tc>
          <w:tcPr>
            <w:tcW w:w="9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Liabilities settled</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r>
      <w:tr>
        <w:trPr>
          <w:trHeight w:val="248"/>
        </w:trPr>
        <w:tc>
          <w:tcPr>
            <w:tcW w:w="9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2021</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222,891</w:t>
            </w:r>
          </w:p>
        </w:tc>
      </w:tr>
      <w:tr>
        <w:trPr>
          <w:trHeight w:val="20"/>
        </w:trPr>
        <w:tc>
          <w:tcPr>
            <w:tcW w:w="98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March 31, 2021 and December 31, 2020, Lamar Media was permitted under the terms of its outstanding notes to make transfers to Lamar Advertising in the form of cash dividends, loans or advances in amounts up to $3,667,145 and $3,625,712,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Lamar Media’s senior credit facility allows it to make transfers to Lamar Advertising in any taxable year up to the amount of Lamar Advertising’s taxable income (without any deduction for dividends paid). In addition, as of March 31, 2021,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2021, the total debt ratio was less than 7.0 to 1 and Lamar Media’s secured debt ratio was less than 4.5 to 1, and the available cumulative credit was $2,417,625.</w:t>
      </w:r>
    </w:p>
    <w:p>
      <w:pPr>
        <w:spacing w:after="0" w:line="3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months ended March 31, 2021 or 2020.</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March 31,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2021</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612,526</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154,667</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592,214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tcPr>
          <w:p>
            <w:pPr>
              <w:ind w:left="20"/>
              <w:spacing w:after="0"/>
              <w:rPr>
                <w:sz w:val="20"/>
                <w:szCs w:val="20"/>
                <w:color w:val="auto"/>
              </w:rPr>
            </w:pPr>
            <w:r>
              <w:rPr>
                <w:rFonts w:ascii="Arial" w:cs="Arial" w:eastAsia="Arial" w:hAnsi="Arial"/>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542,059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541,563</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394,554</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2,880,369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2,840,124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(155,039)</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2,724,997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2,685,085</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586,897</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122,055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591,969</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541,369</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6880" w:type="dxa"/>
            <w:vAlign w:val="bottom"/>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647,056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2,926,633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$5,603 for the three months ended March 31,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there were $25,000 in outstanding borrowings under the revolving credit facility. Availability under the revolving credit facility is reduced by the amount of any letters of credit outstanding. Lamar Media had $14,370 in letters of credit outstanding as of March 31, 2021 resulting in $710,630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maturing on December 17, 2021 (the "Accounts Receivable Securitization Program"). The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Securitization Program is limited to the availability of eligible accounts receivable collateralizing the borrowings under the agreements governing the Accounts Receivable Securitization Program.</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“Third Amendment”) to the Receivables Financing Agreement. The Third Amendment increased the maximum three month average Delinquency Ratio, Dilution Ratio and Days’ Sales Outstanding to 11.00% (from 8.00%), 7.00% (from 4.00%) and 75 days (from 65 days), respectively, for each of the months of June, July and August 2020. The Third Amendment did not modify any other financial covenant. Additionally, the Third Amendment established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23, 2020, Lamar Media and the Special Purpose Subsidiaries entered into the Fourth Amendment (the “Fourth Amendment”) to the Receivables Financing Agreement.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there was $155,000 outstanding aggregate borrowings under the Accounts Receivable Securitization Program. Lamar Media had an additional $11,400 available for borrowing under the Accounts Receivable Securitization Program as of March 31, 2021. The commitment fees based on the amount of unused commitments under the Accounts Receivable Securitization Program were immaterial during the three months ended March 31, 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December 17, 2021.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three months ended March 31, 2021, the Company recorded a loss on debt extinguishment of approximately $21,604 related to the note redemption, of which $18,700 was in cash.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The repurchase program will expire on September 30, 2021 unless extended by the Board of Directors. There were no repurchases under the program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2021 and December 31, 2020,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$2,880,757 which exceeds the carrying amount of $2,880,369 as of March 31, 2021. The majority of the fair value is determined using observed prices of publicly traded debt (level 1 in the fair value hierarchy) and the remaining is valued based on quoted prices for similar debt (level 2 in the fair value hierarchy).</w:t>
      </w:r>
    </w:p>
    <w:p>
      <w:pPr>
        <w:spacing w:after="0" w:line="28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29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2021 and 2020, the Company declared and paid cash distributions in an aggregate amount of $75,818 or $0.75 per share and $100,687 or $1.00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months ended March 31, 2021 and 2020, the Company paid cash dividend distributions to holders of its Series AA Preferred Stock in an aggregate amount of $91 or $15.95 per share for each period.</w:t>
      </w:r>
    </w:p>
    <w:p>
      <w:pPr>
        <w:spacing w:after="0" w:line="289"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external customers attributable to foreign countries totaled $4,964 and $7,436 for the three months ended March 31, 2021 and 2020, respectively. Net carrying value of long-lived assets located in foreign countries totaled $9,359 and $8,727 as of March 31, 2021 and December 31, 2020, respectively. All other revenues from external customers and long-lived assets relate to domestic operations.</w:t>
      </w:r>
    </w:p>
    <w:p>
      <w:pPr>
        <w:spacing w:after="0" w:line="29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having an aggregate offering price of up to $400,000, through the Sales Agents as either agents or principals.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842,412 shares of our Class A common stock have been sold under the Sales Agreement and accordingly $336,668 remained available to be sold under the Sales Agreement as of March 31, 2021. The Sales Agreement expired by its terms on May 1, 2021. The Company may enter into a new sales agreement to consummate "at-the-market offerings"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There were no shares issued under this shelf registration during the three months ended March 31, 2021 and the year ended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March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121,069</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Receivables, net of allowance for doubtful accounts of $13,438 and $14,946 in 2021 and 2020,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380,070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3,621,869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3,615,505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(2,353,189)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(2,333,656)</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1,268,680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1,281,849</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1,213,933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1,222,013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right of use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1,902,207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1,902,177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913,978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54,950</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5,633,762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11,382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Current maturities of long-term debt, net of deferred financing costs of $333 and $445 in 2021 and 2020, respectively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122,434</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195,439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65,330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98,478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111,363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509,397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541,062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costs of $39,912 and $39,672 in 2021 and 2020, respectively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2,685,085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2,764,082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984,117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993,776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222,876</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4,461,952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4,581,863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Common stock, par value $0.01, 3,000 shares authorized, 100 shares issued and outstanding at 2021 and 2020</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3,056,188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3,034,357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comprehensive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(1,885,516)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(1,842,447)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1,171,810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1,192,844</w:t>
            </w:r>
          </w:p>
        </w:tc>
        <w:tc>
          <w:tcPr>
            <w:tcW w:w="0" w:type="dxa"/>
            <w:vAlign w:val="bottom"/>
          </w:tcPr>
          <w:p>
            <w:pPr>
              <w:spacing w:after="0"/>
              <w:rPr>
                <w:sz w:val="1"/>
                <w:szCs w:val="1"/>
                <w:color w:val="auto"/>
              </w:rPr>
            </w:pPr>
          </w:p>
        </w:tc>
      </w:tr>
      <w:tr>
        <w:trPr>
          <w:trHeight w:val="206"/>
        </w:trPr>
        <w:tc>
          <w:tcPr>
            <w:tcW w:w="80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5,633,762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r>
      <w:tr>
        <w:trPr>
          <w:trHeight w:val="21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149,494</w:t>
            </w: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82,204</w:t>
            </w:r>
          </w:p>
        </w:tc>
      </w:tr>
      <w:tr>
        <w:trPr>
          <w:trHeight w:val="229"/>
        </w:trPr>
        <w:tc>
          <w:tcPr>
            <w:tcW w:w="848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18,367</w:t>
            </w:r>
          </w:p>
        </w:tc>
      </w:tr>
      <w:tr>
        <w:trPr>
          <w:trHeight w:val="229"/>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w:t>
            </w:r>
          </w:p>
        </w:tc>
      </w:tr>
      <w:tr>
        <w:trPr>
          <w:trHeight w:val="230"/>
        </w:trPr>
        <w:tc>
          <w:tcPr>
            <w:tcW w:w="8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Gain on disposition of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r>
      <w:tr>
        <w:trPr>
          <w:trHeight w:val="223"/>
        </w:trPr>
        <w:tc>
          <w:tcPr>
            <w:tcW w:w="8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281,821</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309,874</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96,695</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18,179</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r>
      <w:tr>
        <w:trPr>
          <w:trHeight w:val="223"/>
        </w:trPr>
        <w:tc>
          <w:tcPr>
            <w:tcW w:w="8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49,584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42,153</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40,617</w:t>
            </w: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Statements of Comprehensive Income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40,617</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r>
      <w:tr>
        <w:trPr>
          <w:trHeight w:val="248"/>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39,019</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00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38,466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1,171,810</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160" w:type="dxa"/>
            <w:vAlign w:val="bottom"/>
          </w:tcPr>
          <w:p>
            <w:pPr>
              <w:spacing w:after="0"/>
              <w:rPr>
                <w:sz w:val="24"/>
                <w:szCs w:val="24"/>
                <w:color w:val="auto"/>
              </w:rPr>
            </w:pPr>
          </w:p>
        </w:tc>
        <w:tc>
          <w:tcPr>
            <w:tcW w:w="100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flows from operating activities: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38,466</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40,617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60,749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62,313</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3,437</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Amortization included in interest expense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1,378</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Gain on disposition of assets and investments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Loss on extinguishment of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21,604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18,179</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benefit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Provision for doubtful accounts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3,206</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Decrease (increase) in: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Prepaid expenses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(Decrease) increase in: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Trade accounts payable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Accrued expenses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(22,182)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(20,982)</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Operating lease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(28,324)</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(31,293)</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68,792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36,624</w:t>
            </w:r>
          </w:p>
        </w:tc>
        <w:tc>
          <w:tcPr>
            <w:tcW w:w="0" w:type="dxa"/>
            <w:vAlign w:val="bottom"/>
          </w:tcPr>
          <w:p>
            <w:pPr>
              <w:spacing w:after="0"/>
              <w:rPr>
                <w:sz w:val="1"/>
                <w:szCs w:val="1"/>
                <w:color w:val="auto"/>
              </w:rPr>
            </w:pPr>
          </w:p>
        </w:tc>
      </w:tr>
      <w:tr>
        <w:trPr>
          <w:trHeight w:val="148"/>
        </w:trPr>
        <w:tc>
          <w:tcPr>
            <w:tcW w:w="8440" w:type="dxa"/>
            <w:vAlign w:val="bottom"/>
          </w:tcPr>
          <w:p>
            <w:pPr>
              <w:ind w:left="20"/>
              <w:spacing w:after="0" w:line="141" w:lineRule="exact"/>
              <w:rPr>
                <w:sz w:val="20"/>
                <w:szCs w:val="20"/>
                <w:color w:val="auto"/>
              </w:rPr>
            </w:pPr>
            <w:r>
              <w:rPr>
                <w:rFonts w:ascii="Arial" w:cs="Arial" w:eastAsia="Arial" w:hAnsi="Arial"/>
                <w:sz w:val="13"/>
                <w:szCs w:val="13"/>
                <w:color w:val="auto"/>
              </w:rPr>
              <w:t>Cash flows from investing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(13,565)</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(25,709)</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disposition of assets and investments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1000"/>
              <w:spacing w:after="0" w:line="141"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(35,588)</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Cash flows from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Principal payments on long-term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on financing leases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Payments on revolving credit facility</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(180,000)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revolving credit facility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Redemption of senior notes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(668,688)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(519,139)</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note offering</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32,500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senior credit facility term loans</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Payments on senior credit facility term loans</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(978,097)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Debt issuance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(24,042)</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Distributions to non-controlling interest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Contributions from parent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29,429</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Dividend to parent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(81,535)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(110,755)</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(used in) provided by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(129,562)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469,947</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20"/>
              <w:spacing w:after="0" w:line="141" w:lineRule="exact"/>
              <w:rPr>
                <w:sz w:val="20"/>
                <w:szCs w:val="20"/>
                <w:color w:val="auto"/>
              </w:rPr>
            </w:pPr>
            <w:r>
              <w:rPr>
                <w:rFonts w:ascii="Arial" w:cs="Arial" w:eastAsia="Arial" w:hAnsi="Arial"/>
                <w:sz w:val="13"/>
                <w:szCs w:val="13"/>
                <w:color w:val="auto"/>
              </w:rPr>
              <w:t>Effect of exchange rate changes in cash and cash equivalents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20"/>
              <w:spacing w:after="0" w:line="147" w:lineRule="exact"/>
              <w:rPr>
                <w:sz w:val="20"/>
                <w:szCs w:val="20"/>
                <w:color w:val="auto"/>
              </w:rPr>
            </w:pPr>
            <w:r>
              <w:rPr>
                <w:rFonts w:ascii="Arial" w:cs="Arial" w:eastAsia="Arial" w:hAnsi="Arial"/>
                <w:sz w:val="13"/>
                <w:szCs w:val="13"/>
                <w:color w:val="auto"/>
              </w:rPr>
              <w:t>Net (decrease) increase in cash and cash equivalents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(78,523)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470,451</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121,069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25,688</w:t>
            </w:r>
          </w:p>
        </w:tc>
        <w:tc>
          <w:tcPr>
            <w:tcW w:w="0" w:type="dxa"/>
            <w:vAlign w:val="bottom"/>
          </w:tcPr>
          <w:p>
            <w:pPr>
              <w:spacing w:after="0"/>
              <w:rPr>
                <w:sz w:val="1"/>
                <w:szCs w:val="1"/>
                <w:color w:val="auto"/>
              </w:rPr>
            </w:pPr>
          </w:p>
        </w:tc>
      </w:tr>
      <w:tr>
        <w:trPr>
          <w:trHeight w:val="194"/>
        </w:trPr>
        <w:tc>
          <w:tcPr>
            <w:tcW w:w="8440" w:type="dxa"/>
            <w:vAlign w:val="bottom"/>
            <w:tcBorders>
              <w:bottom w:val="single" w:sz="8" w:color="CCEEFF"/>
            </w:tcBorders>
            <w:shd w:val="clear" w:color="auto" w:fill="CCEEFF"/>
          </w:tcPr>
          <w:p>
            <w:pPr>
              <w:ind w:left="220"/>
              <w:spacing w:after="0" w:line="147" w:lineRule="exact"/>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42,546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496,139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paid for interest</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43,343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42,982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3"/>
                <w:szCs w:val="13"/>
                <w:color w:val="auto"/>
              </w:rPr>
              <w:t>Cash paid for foreign,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vMerge w:val="continue"/>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1,429</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31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2020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and 14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9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March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Lamar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Media 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226,044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1,255,111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1,193,262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2,771,595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2,789,325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4,023,884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239,733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166,068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(4,354,712)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4,062,140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5,482,252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(4,354,712)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322,177</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170,294</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2,682,796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190,608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244,788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252,466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(404,509)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2,890,330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1,539,598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436,533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(404,509)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1,171,810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3,942,654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(3,950,203)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4,062,140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5,482,252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(4,354,712)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Balance Sheet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380,070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1,281,849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2,816,155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3,912,122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74,620</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195,439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223,189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359,411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541,062</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2,761,705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993,776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245,891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266,968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2,829,956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1,587,464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429,027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4,581,863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3,957,663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(3,963,799)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370,881</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131,215</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72,649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60,749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276,383</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281,821</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27,980</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87,247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8"/>
        </w:trPr>
        <w:tc>
          <w:tcPr>
            <w:tcW w:w="4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8"/>
        </w:trPr>
        <w:tc>
          <w:tcPr>
            <w:tcW w:w="4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38,670</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406,569</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149,494</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82,204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62,313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301,068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309,874</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36,363</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Condensed Consolidating Statement of Cash Flows for the Three Months Ended March 31, 2021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Lamar Media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220" w:type="dxa"/>
            <w:vAlign w:val="bottom"/>
          </w:tcPr>
          <w:p>
            <w:pPr>
              <w:jc w:val="right"/>
              <w:ind w:right="433"/>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20" w:type="dxa"/>
            <w:vAlign w:val="bottom"/>
          </w:tcPr>
          <w:p>
            <w:pPr>
              <w:jc w:val="right"/>
              <w:ind w:right="173"/>
              <w:spacing w:after="0" w:line="135"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Corp.</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040" w:type="dxa"/>
            <w:vAlign w:val="bottom"/>
            <w:gridSpan w:val="2"/>
          </w:tcPr>
          <w:p>
            <w:pPr>
              <w:ind w:left="980"/>
              <w:spacing w:after="0" w:line="176" w:lineRule="exact"/>
              <w:rPr>
                <w:sz w:val="20"/>
                <w:szCs w:val="20"/>
                <w:color w:val="auto"/>
              </w:rPr>
            </w:pPr>
            <w:r>
              <w:rPr>
                <w:rFonts w:ascii="Arial" w:cs="Arial" w:eastAsia="Arial" w:hAnsi="Arial"/>
                <w:sz w:val="18"/>
                <w:szCs w:val="18"/>
                <w:color w:val="auto"/>
                <w:w w:val="93"/>
              </w:rPr>
              <w:t>Net cash provided by (used in) operating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61,766</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102,064 $</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9,919</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(104,957)$</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68,792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w w:val="91"/>
              </w:rPr>
              <w:t>Proceeds from disposition of assets and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w w:val="89"/>
              </w:rPr>
              <w:t>Decrease (increase) in intercompany notes receivable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(30,604)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040" w:type="dxa"/>
            <w:vAlign w:val="bottom"/>
            <w:tcBorders>
              <w:top w:val="single" w:sz="8" w:color="CCEEFF"/>
            </w:tcBorders>
            <w:gridSpan w:val="2"/>
            <w:shd w:val="clear" w:color="auto" w:fill="CCEEFF"/>
          </w:tcPr>
          <w:p>
            <w:pPr>
              <w:ind w:left="980"/>
              <w:spacing w:after="0" w:line="156" w:lineRule="exact"/>
              <w:rPr>
                <w:sz w:val="20"/>
                <w:szCs w:val="20"/>
                <w:color w:val="auto"/>
              </w:rPr>
            </w:pPr>
            <w:r>
              <w:rPr>
                <w:rFonts w:ascii="Arial" w:cs="Arial" w:eastAsia="Arial" w:hAnsi="Arial"/>
                <w:sz w:val="18"/>
                <w:szCs w:val="18"/>
                <w:color w:val="auto"/>
                <w:w w:val="94"/>
              </w:rPr>
              <w:t>Net cash provided by (used in) investing</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27,271</w:t>
            </w: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(27,271)</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on financing leases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Proceeds received from note offering</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 of senior notes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(668,688)</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(668,688)</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900" w:type="dxa"/>
            <w:vAlign w:val="bottom"/>
          </w:tcPr>
          <w:p>
            <w:pPr>
              <w:ind w:left="4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securitization program</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Intercompany loan proceeds (payments)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(47,374)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30,604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Dividends (to) from parent</w:t>
            </w: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(104,957)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104,957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4040" w:type="dxa"/>
            <w:vAlign w:val="bottom"/>
            <w:gridSpan w:val="2"/>
          </w:tcPr>
          <w:p>
            <w:pPr>
              <w:ind w:left="980"/>
              <w:spacing w:after="0" w:line="156" w:lineRule="exact"/>
              <w:rPr>
                <w:sz w:val="20"/>
                <w:szCs w:val="20"/>
                <w:color w:val="auto"/>
              </w:rPr>
            </w:pPr>
            <w:r>
              <w:rPr>
                <w:rFonts w:ascii="Arial" w:cs="Arial" w:eastAsia="Arial" w:hAnsi="Arial"/>
                <w:sz w:val="18"/>
                <w:szCs w:val="18"/>
                <w:color w:val="auto"/>
                <w:w w:val="94"/>
              </w:rPr>
              <w:t>Net cash (used in) provided by financing</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(161,459)</w:t>
            </w:r>
          </w:p>
        </w:tc>
        <w:tc>
          <w:tcPr>
            <w:tcW w:w="1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(85,433)</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(14,898)</w:t>
            </w: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132,228</w:t>
            </w: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(129,562)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9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1"/>
              </w:rPr>
              <w:t>Effect of exchange rate changes in cash and cash</w:t>
            </w: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(72,422)</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(78,523)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Cash and cash equivalents at beginning of period</w:t>
            </w:r>
          </w:p>
        </w:tc>
        <w:tc>
          <w:tcPr>
            <w:tcW w:w="1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38,166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1,578 $</w:t>
            </w:r>
          </w:p>
        </w:tc>
        <w:tc>
          <w:tcPr>
            <w:tcW w:w="122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42,546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-4396740</wp:posOffset>
            </wp:positionV>
            <wp:extent cx="686625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6625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-3994150</wp:posOffset>
            </wp:positionV>
            <wp:extent cx="686625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66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 of Cash Flows for the Three Months Ended March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160"/>
              <w:spacing w:after="0" w:line="176" w:lineRule="exact"/>
              <w:rPr>
                <w:sz w:val="20"/>
                <w:szCs w:val="20"/>
                <w:color w:val="auto"/>
              </w:rPr>
            </w:pPr>
            <w:r>
              <w:rPr>
                <w:rFonts w:ascii="Arial" w:cs="Arial" w:eastAsia="Arial" w:hAnsi="Arial"/>
                <w:sz w:val="18"/>
                <w:szCs w:val="18"/>
                <w:color w:val="auto"/>
                <w:w w:val="93"/>
              </w:rPr>
              <w:t>Net cash provided by (used in) operating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24,222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82,135</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(63,763)</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36,624</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2"/>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200" w:type="dxa"/>
            <w:vAlign w:val="bottom"/>
            <w:tcBorders>
              <w:top w:val="single" w:sz="8" w:color="CCEEFF"/>
            </w:tcBorders>
            <w:shd w:val="clear" w:color="auto" w:fill="CCEEFF"/>
          </w:tcPr>
          <w:p>
            <w:pPr>
              <w:ind w:left="1160"/>
              <w:spacing w:after="0" w:line="156" w:lineRule="exact"/>
              <w:rPr>
                <w:sz w:val="20"/>
                <w:szCs w:val="20"/>
                <w:color w:val="auto"/>
              </w:rPr>
            </w:pPr>
            <w:r>
              <w:rPr>
                <w:rFonts w:ascii="Arial" w:cs="Arial" w:eastAsia="Arial" w:hAnsi="Arial"/>
                <w:sz w:val="18"/>
                <w:szCs w:val="18"/>
                <w:color w:val="auto"/>
                <w:w w:val="94"/>
              </w:rPr>
              <w:t>Net cash (used in) provided by investing</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(21,720)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(34,410)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Proceeds received from note offering</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senior notes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(519,139)</w:t>
            </w: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Proceeds received from senior credit facility term</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598,500</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senior credit facility term loans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(978,097)</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loan (payments) proceeds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155"/>
        </w:trPr>
        <w:tc>
          <w:tcPr>
            <w:tcW w:w="4200" w:type="dxa"/>
            <w:vAlign w:val="bottom"/>
            <w:tcBorders>
              <w:top w:val="single" w:sz="8" w:color="CCEEFF"/>
            </w:tcBorders>
            <w:shd w:val="clear" w:color="auto" w:fill="CCEEFF"/>
          </w:tcPr>
          <w:p>
            <w:pPr>
              <w:ind w:left="1160"/>
              <w:spacing w:after="0" w:line="156" w:lineRule="exact"/>
              <w:rPr>
                <w:sz w:val="20"/>
                <w:szCs w:val="20"/>
                <w:color w:val="auto"/>
              </w:rPr>
            </w:pPr>
            <w:r>
              <w:rPr>
                <w:rFonts w:ascii="Arial" w:cs="Arial" w:eastAsia="Arial" w:hAnsi="Arial"/>
                <w:sz w:val="18"/>
                <w:szCs w:val="18"/>
                <w:color w:val="auto"/>
                <w:w w:val="94"/>
              </w:rPr>
              <w:t>Net cash provided by (used in) financing</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470,815</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(53,642)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469,947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400"/>
              <w:spacing w:after="0" w:line="156" w:lineRule="exact"/>
              <w:rPr>
                <w:sz w:val="20"/>
                <w:szCs w:val="20"/>
                <w:color w:val="auto"/>
              </w:rPr>
            </w:pPr>
            <w:r>
              <w:rPr>
                <w:rFonts w:ascii="Arial" w:cs="Arial" w:eastAsia="Arial" w:hAnsi="Arial"/>
                <w:sz w:val="18"/>
                <w:szCs w:val="18"/>
                <w:color w:val="auto"/>
                <w:w w:val="94"/>
              </w:rPr>
              <w:t>Effect of exchange rate changes in cash and cash</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4200" w:type="dxa"/>
            <w:vAlign w:val="bottom"/>
          </w:tcPr>
          <w:p>
            <w:pPr>
              <w:ind w:left="40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8"/>
              </w:rPr>
              <w:t>Net increase (decrease) in 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470,451</w:t>
            </w:r>
          </w:p>
        </w:tc>
        <w:tc>
          <w:tcPr>
            <w:tcW w:w="0" w:type="dxa"/>
            <w:vAlign w:val="bottom"/>
          </w:tcPr>
          <w:p>
            <w:pPr>
              <w:spacing w:after="0"/>
              <w:rPr>
                <w:sz w:val="1"/>
                <w:szCs w:val="1"/>
                <w:color w:val="auto"/>
              </w:rPr>
            </w:pPr>
          </w:p>
        </w:tc>
      </w:tr>
      <w:tr>
        <w:trPr>
          <w:trHeight w:val="230"/>
        </w:trPr>
        <w:tc>
          <w:tcPr>
            <w:tcW w:w="4200" w:type="dxa"/>
            <w:vAlign w:val="bottom"/>
          </w:tcPr>
          <w:p>
            <w:pPr>
              <w:ind w:left="400"/>
              <w:spacing w:after="0"/>
              <w:rPr>
                <w:sz w:val="20"/>
                <w:szCs w:val="20"/>
                <w:color w:val="auto"/>
              </w:rPr>
            </w:pPr>
            <w:r>
              <w:rPr>
                <w:rFonts w:ascii="Arial" w:cs="Arial" w:eastAsia="Arial" w:hAnsi="Arial"/>
                <w:sz w:val="18"/>
                <w:szCs w:val="18"/>
                <w:color w:val="auto"/>
                <w:w w:val="95"/>
              </w:rPr>
              <w:t>Cash and cash equivalents at beginning of period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2020 Combined Form 10-K filed on February 26 2021,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the Company for the three months ended March 31, 2021 and 2020. This discussion should be read in conjunction with the consolidated financial statements of the Company and the related notes thereto.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have reduced demand for out-of-home advertising. Beginning in late March 2020, large public events were cancelled, and governments began imposing restrictions on non-essential activities, which in turn led to advertisers suspending, delaying or cancelling their advertising campaigns. While government-imposed restrictions have eased, they continue to have an adverse impact on the volume of vehicles on roadways (particularly in larger markets), pedestrians in airports and riders on public transit and numerous advertising customer segments including, but not limited to, entertainment, retail, restaurant and amusement advertisers.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demand for billboard, transit and airport advertising declined, which has had an adverse impact on our revenues and financial position. The decrease in outdoor advertising demand during the three months ended March 31, 2021 resulted in a 8.8% decrease in our consolidated net revenues as compared to the same period in 2020. As revenues declined, the Company responded through a variety of cost saving and liquidity measures, which included reductions in our transit and airport franchise costs and billboard lease costs. As a result of these cost saving measures, our consolidated operating costs (exclusive of depreciation and amortization and gain on disposition of assets) decreased by $28.6 million, or 11.4%, for the three months ended March 31, 2021 over the same period in 2020.</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observed an improvement in customer activity beginning in June 2020 and through March 2021 as the government-imposed restrictions on travel were eased and more of the population became vaccinated. Accordingly, we are not actively pursuing additional cost saving measures, and are resuming acquisition activities and spending on capital projects. However, we cannot predict the length or strength of the recovery in advertising demand due to continued impact of the pandemic on the overall U.S. and global economy, and new or renewed government-imposed restrictions on travel that may be enacted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evaluate the impact of the COVID-19 pandemic on our business and we may access the debt and/or equity capital markets for additional liquidity, if necessary.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and Board of Directors are continuing to evaluate our quarterly dividend plans for 2021. This evaluation includes ensuring the Company remains in compliance with its REIT dividend requirements for the year. On February 25, 2021, the Board of Directors declared a quarterly cash dividend of $0.75 per common share, paid on March 31,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Subject to the approval of the Board of Directors, the Company expects aggregate dividends for 2021 to be $3.00 per common share, including the dividend paid on March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did not incur any impairment charges related to goodwill or long-lived assets (including operating lease right of use assets). We also did not incur any significant credit losses for the three months ended March 31,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some of our corporate, front office and sales workforce continues to work from home, a large majority has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6"/>
          <w:szCs w:val="16"/>
          <w:i w:val="1"/>
          <w:iCs w:val="1"/>
          <w:color w:val="auto"/>
        </w:rPr>
        <w:t>Sources of Cash</w:t>
      </w:r>
      <w:r>
        <w:rPr>
          <w:rFonts w:ascii="Arial" w:cs="Arial" w:eastAsia="Arial" w:hAnsi="Arial"/>
          <w:sz w:val="16"/>
          <w:szCs w:val="16"/>
          <w:color w:val="auto"/>
        </w:rPr>
        <w:t xml:space="preserve">” for more information. During the three months ended March 31, 2021, the Company completed acquisitions for a total cash purchase price of approximately $3.3 million. See </w:t>
      </w:r>
      <w:r>
        <w:rPr>
          <w:rFonts w:ascii="Arial" w:cs="Arial" w:eastAsia="Arial" w:hAnsi="Arial"/>
          <w:sz w:val="16"/>
          <w:szCs w:val="16"/>
          <w:i w:val="1"/>
          <w:iCs w:val="1"/>
          <w:color w:val="auto"/>
        </w:rPr>
        <w:t>Uses of Cash – Acquisitions</w:t>
      </w:r>
      <w:r>
        <w:rPr>
          <w:rFonts w:ascii="Arial" w:cs="Arial" w:eastAsia="Arial" w:hAnsi="Arial"/>
          <w:sz w:val="16"/>
          <w:szCs w:val="16"/>
          <w:color w:val="auto"/>
        </w:rPr>
        <w:t xml:space="preserve"> for more information.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2021 and 2020:</w:t>
      </w:r>
    </w:p>
    <w:p>
      <w:pPr>
        <w:spacing w:after="0" w:line="8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Billboard — traditional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6,520</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digital</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11,575</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Logos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equipment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gain or loss on disposition of assets and investments and capitalized contract fulfillment costs,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define AFFO as FFO before (i) straight-line income and expense; (ii) capitalized contract fulfillment costs, net (iii) stock-based compensation expense;</w:t>
      </w:r>
    </w:p>
    <w:p>
      <w:pPr>
        <w:spacing w:after="0" w:line="4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non-cash portion of tax expense (benefit); (v) non-real estate related depreciation and amortization; (vi) amortization of deferred financing costs;</w:t>
      </w:r>
    </w:p>
    <w:p>
      <w:pPr>
        <w:spacing w:after="0" w:line="20" w:lineRule="exact"/>
        <w:rPr>
          <w:rFonts w:ascii="Arial" w:cs="Arial" w:eastAsia="Arial" w:hAnsi="Arial"/>
          <w:sz w:val="17"/>
          <w:szCs w:val="17"/>
          <w:color w:val="auto"/>
        </w:rPr>
      </w:pPr>
    </w:p>
    <w:p>
      <w:pPr>
        <w:ind w:firstLine="8"/>
        <w:spacing w:after="0" w:line="260" w:lineRule="auto"/>
        <w:tabs>
          <w:tab w:leader="none" w:pos="3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on extinguishment of debt; (viii) non-recurring infrequent or unusual losses (gains); (ix) less maintenance capital expenditures; and (x) an adjustment for unconsolidated affiliates and non-controlling interest.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4" w:lineRule="exact"/>
        <w:rPr>
          <w:sz w:val="20"/>
          <w:szCs w:val="20"/>
          <w:color w:val="auto"/>
        </w:rPr>
      </w:pPr>
    </w:p>
    <w:p>
      <w:pPr>
        <w:jc w:val="both"/>
        <w:ind w:firstLine="8"/>
        <w:spacing w:after="0" w:line="252"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$35.7 million or 8.8% to $370.9 million for the three months ended March 31, 2021 from $406.6 million for the same period in 2020. This decrease was primarily attributable to a decrease in billboard and transit net revenues of $21.3 million and $12.4 million, respectively, over the same period in 2020, which related to the effects of the ongoing COVID-19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there was a $33.3 million decrease in net revenues as compared to acquisition-adjusted net revenue for the three months ended March 31, 2020, which represents a decrease of 8.2%. See “Reconciliations” below. The $33.3 million decrease in revenue is primarily due to a $21.8 million and $11.2 million decrease in billboard and transit net revenues, respectively, which are due to the effects of the ongoing COVID-19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decreased $28.6 million, or 11.4%, to $221.6 million for the three months ended March 31, 2021 from $250.2 million in the same period in 2020. The $28.6 million decrease over the prior year is comprised of a $28.8 million decrease in total direct, general and administrative and corporate expenses (excluding stock-based compensation) primarily related to the operations of our outdoor advertising assets, offset by a $0.2 million increase in stock-based compensation.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decreased $1.6 million to $60.7 million for the three months ended March 31, 2021 as compared to $62.3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the Company recognized a gain on disposition of assets of $0.4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$7.6 million to $88.9 million for the three months ended March 31, 2021 as compared to $96.6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 loss on debt extinguishment of $21.6 million during the three months ended March 31, 2021, a $3.4 million increase over the same period in 2020. The loss on debt extinguishment during the three months ended March 31, 2021 relates to the early repayment of our 5 3/4% Senior Notes.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$8.4 million for the three months ended March 31, 2021 to $28.2 million as compared to $36.6 million for the three months ended March 31, 2020. The decrease is primarily related to the Company’s debt transactions completed in 2020 and 2021, as well as a reduction in our senior credit facility interest rates.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$2.7 million decrease in net income before income taxes. The effective tax rate for the three months ended March 31,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March 31, 2021 of $38.3 million, as compared to net income of $40.5 million for the same period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(the “acquired assets”) have contributed to our net revenue results for the periods presented, we provide 2020 acquisition-adjusted net revenue, which adjusts our 2020 net revenue for the three months ended March 31, 2020 by adding to or subtracting from it the net revenue generated by the acquired or divested assets prior to our acquisition or divestiture of these assets for the same time frame that those assets were owned in the three months ended March 31, 2021.</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three months ended March 31, as well as a comparison of 2020 acquisition-adjusted net revenue to 2021 reported net revenue for the three months ended March 31, are provided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5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48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34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6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382"/>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Increase (Decrease)</w:t>
            </w: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March 31, 2021 decreased 4.6% to $152.4 million. The decrease in adjusted EBITDA was primarily attributable to a decrease in our gross margin (net revenue less direct advertising expense, exclusive of depreciation and amortization and capitalized contract fulfillment costs, net) of $16.9 million, and was offset by a decrease in total general and administrative and corporate expenses of $10.5 million, excluding the impact of stock-based compensation expense.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81"/>
        </w:trPr>
        <w:tc>
          <w:tcPr>
            <w:tcW w:w="5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ind w:right="11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March 31, 2021 decreased from $97.6 million in 2020 to $96.1 million for the same period in 2021, a decrease of 1.5%. AFFO for the three months ended March 31, 2021 increased 3.0% to $116.7 million as compared to $113.3 million for the same period in 2020. The increase in AFFO was primarily attributable to the decrease in total general and administrative and corporate expenses (excluding the effect of stock-based compensation expense) offset by a decrease in our gross margin (net revenue less direct advertising expense, exclusive of depreciation and amortization and capitalized contract fulfillment costs, net).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Total Liquidity. </w:t>
      </w:r>
      <w:r>
        <w:rPr>
          <w:rFonts w:ascii="Arial" w:cs="Arial" w:eastAsia="Arial" w:hAnsi="Arial"/>
          <w:sz w:val="16"/>
          <w:szCs w:val="16"/>
          <w:color w:val="auto"/>
        </w:rPr>
        <w:t>As of March 31, 2021 we had approximately $765.1 million of total liquidity, which is comprised of approximately $43.0 million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and approximately $710.6 million of availability under the revolving portion of Lamar Media’s senior credit facility and $11.4 million of availability under our Accounts Receivable Securitization Program. We expect our total liquidity to be adequate for the Company to meet its operational requirements for the next twelve months. We will continue to monitor the impacts of the COVID-19 pandemic and, if necessary, may access the debt and/or equity markets for additional liquidity.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and December 31, 2020, the Company had a working capital deficit of $229.1 million and $167.3 million, respectively. The decrease in working capital of $61.8 million is primarily due to an increase in current maturities of long-term debt of $32.6 million and a decrease in receivables, net of $22.3 million as of March 31, 2021.</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Cash Generated by Operations</w:t>
      </w:r>
      <w:r>
        <w:rPr>
          <w:rFonts w:ascii="Arial" w:cs="Arial" w:eastAsia="Arial" w:hAnsi="Arial"/>
          <w:sz w:val="16"/>
          <w:szCs w:val="16"/>
          <w:color w:val="auto"/>
        </w:rPr>
        <w:t>. For the three months ended March 31, 2021 and 2020, our cash provided by operating activities was $83.3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$62.9 million, respectively. The increase in cash provided by operating activities for the three months ended March 31, 2021 over the same period in 2020 relates to a decrease in accounts receivables offset by an increase in operating lease liabilities. We expect to generate cash flows from operations during 2021 in excess of our cash needs for operations, capital expenditures and dividends, as described herein. However, we will continue to monitor the impacts of the COVID-19 pandemic and if we are not able to generate sufficient cash flows from operations during 2021 to meet our cash needs, we believe we have sufficient liquidity available under our revolving credit facility to meet our operating cash needs for the next twelve months.</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30, 2020 Lamar Media and the Special Purpose Subsidiaries entered into the Third Amendment of the Accounts Receivable Securitization Program which increased the maximum three month average Delinquency Ratio, Dilution Ratio, and Days’ Sales Outstanding to 11.00% (from 8.00%), 7.00% (from 4.00%) and 75 days (from 65 days), respectively. Additionally, the Amendment establishes a new Minimum Funding Threshold, which requires the Special Purpose Subsidiaries to maintain borrowings under the Accounts Receivable Securitization Program on any day equal to the lesser of</w:t>
      </w:r>
    </w:p>
    <w:p>
      <w:pPr>
        <w:spacing w:after="0" w:line="1" w:lineRule="exact"/>
        <w:rPr>
          <w:sz w:val="20"/>
          <w:szCs w:val="20"/>
          <w:color w:val="auto"/>
        </w:rPr>
      </w:pPr>
    </w:p>
    <w:p>
      <w:pPr>
        <w:ind w:firstLine="8"/>
        <w:spacing w:after="0" w:line="260" w:lineRule="auto"/>
        <w:tabs>
          <w:tab w:leader="none" w:pos="2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50.00%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23, 2020, Lamar Media and the Special Purpose Subsidiaries entered into the Fourth Amendment (the “Subsequent Amendment”) to the Accounts Receivable Securitization Program. The Subsequent Amendment increases the maximum three month average Delinquency Ratio generally to 13.00% (and up to 16.00% for up to two additional periods upon written notice from Lamar Media), and increases the maximum three month average Dilution Ratio to 5.00% for the remaining term of the Accounts Receivable Securitization Program. Additionally, the Subsequent Amendment increases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there was $155.0 million in outstanding aggregate borrowings under the Accounts Receivable Securitization Program. Lamar Media had approximately $11.4 million of unused availability under the Accounts Receivable Securitization Program as of March 31,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December 17, 2021.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On May 1, 2018, the Company entered into an equity distribution agreement (the “Sales Agreement”) with J.P.</w:t>
      </w:r>
      <w:r>
        <w:rPr>
          <w:rFonts w:ascii="Arial" w:cs="Arial" w:eastAsia="Arial" w:hAnsi="Arial"/>
          <w:sz w:val="17"/>
          <w:szCs w:val="17"/>
          <w:i w:val="1"/>
          <w:iCs w:val="1"/>
          <w:color w:val="auto"/>
        </w:rPr>
        <w:t xml:space="preserve"> </w:t>
      </w:r>
      <w:r>
        <w:rPr>
          <w:rFonts w:ascii="Arial" w:cs="Arial" w:eastAsia="Arial" w:hAnsi="Arial"/>
          <w:sz w:val="17"/>
          <w:szCs w:val="17"/>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three months ended March 31, 2021, the Company did not issue any shares under this program. The Sales Agreement expired by its terms on May 1, 2021. The Company may enter into a new sales agreement to consummate “at-the-market-offerings” in the future.</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the Company filed an automatically effective shelf registration statement (No. 333-226614) that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the offer and sale of an indeterminate amount of additional shares of our Class A common stock. During the three months ended March 31, 2021, the Company did not issue any shares under this shelf registration, however, we may issue additional shares under the shelf registration statement in the future in connection with future acquisitions or for other general corporate purposes.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8"/>
          <w:szCs w:val="18"/>
          <w:i w:val="1"/>
          <w:iCs w:val="1"/>
          <w:color w:val="auto"/>
        </w:rPr>
        <w:t>“Restrictions under Senior Credit Facility”</w:t>
      </w:r>
      <w:r>
        <w:rPr>
          <w:rFonts w:ascii="Arial" w:cs="Arial" w:eastAsia="Arial" w:hAnsi="Arial"/>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aggregate balance outstanding under the senior credit facility was $625.0 million, consisting of $600.0 million in Term B loans aggregate principal balance and $25.0 million outstanding under our revolving credit facility. Lamar Media had approximately $710.6 million of unused capacity under the revolving credit facility.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22, 2021, Lamar Media completed, an institutional private placement of $550.0 million in aggregate principal amount of 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5/8% Senior Notes due 2031 (the “3 5/8% Senior Notes”). The institutional private placement on January 22, 2021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Arial" w:cs="Arial" w:eastAsia="Arial" w:hAnsi="Arial"/>
          <w:sz w:val="18"/>
          <w:szCs w:val="18"/>
          <w:i w:val="1"/>
          <w:iCs w:val="1"/>
          <w:color w:val="auto"/>
        </w:rPr>
        <w:t>Uses of Cash- Note Redemption</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Internally Generated Funds. </w:t>
      </w:r>
      <w:r>
        <w:rPr>
          <w:rFonts w:ascii="Arial" w:cs="Arial" w:eastAsia="Arial" w:hAnsi="Arial"/>
          <w:sz w:val="16"/>
          <w:szCs w:val="16"/>
          <w:color w:val="auto"/>
        </w:rPr>
        <w:t>The key factors affecting internally generated cash flow are general economic conditions, specific economic conditions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where the Company conducts its business and overall spending on advertising by advertisers. We expect to generate cash flows from operations during 2021 in excess of our cash needs for operations, capital expenditures and dividends, as described herein. However, we will continue to monitor the impacts of the COVID-19 pandemic and if we are not able to generate sufficient cash flows from operations during 2021 to meet our cash needs we believe we have sufficient liquidity available under our revolving credit facility to meet our operating cash needs for the next twelve months.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2021 we were, and currently, we are,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it is in compliance with the secured debt ratio covenant and if,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w:t>
      </w:r>
    </w:p>
    <w:p>
      <w:pPr>
        <w:jc w:val="both"/>
        <w:ind w:firstLine="8"/>
        <w:spacing w:after="0" w:line="284"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and (B) after giving effect to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(a) the aggregate amount for all such cost savings, operating expense reductions and other operating improvements or synergies will not exceed an amount equal to 15% of EBITDA for the applicable four quarter period and (b) any such adjustment to EBITDA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(other than the special purpose subsidiaries) income or loss attributable to equity in affiliates for such period), excluding any extraordinary and unusual gains or losses during such period, and excluding the proceeds of any casualty events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$16.3 million for the three months ended March 31,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2021 total capital expenditures to be approximately $150.0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three months ended March 31, 2021, the Company completed acquisitions for an aggregate purchase price of approximately $3.3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were financed using available cash on hand.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Redemption. </w:t>
      </w:r>
      <w:r>
        <w:rPr>
          <w:rFonts w:ascii="Arial" w:cs="Arial" w:eastAsia="Arial" w:hAnsi="Arial"/>
          <w:sz w:val="17"/>
          <w:szCs w:val="17"/>
          <w:color w:val="auto"/>
        </w:rPr>
        <w:t>On February 3, 2021, the Company redeemed in full all $650.0 million aggregate principal amount 5 3/4% Senior Notes due 2026. The 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3/4% Senior Notes redemption was completed using the proceeds received from the 3 5/8% Senior Notes offering completed on January 22, 2021, together with cash on hand and borrowings under the revolving credit facility and Accounts Receivable Securitization Program. The notes were redeemed at a redemption price equal to 102.875% of the aggregate principal amount of the outstanding notes, plus accrued and unpaid interest to (but not including) the redemption date. During the three months ended March 31, 2021, the Company recorded a loss on debt extinguishment of approximately $21.6 million related to the note redemption. See </w:t>
      </w:r>
      <w:r>
        <w:rPr>
          <w:rFonts w:ascii="Arial" w:cs="Arial" w:eastAsia="Arial" w:hAnsi="Arial"/>
          <w:sz w:val="17"/>
          <w:szCs w:val="17"/>
          <w:i w:val="1"/>
          <w:iCs w:val="1"/>
          <w:color w:val="auto"/>
        </w:rPr>
        <w:t>Sources of Cash- Note Offerings</w:t>
      </w:r>
      <w:r>
        <w:rPr>
          <w:rFonts w:ascii="Arial" w:cs="Arial" w:eastAsia="Arial" w:hAnsi="Arial"/>
          <w:sz w:val="17"/>
          <w:szCs w:val="17"/>
          <w:color w:val="auto"/>
        </w:rPr>
        <w:t xml:space="preserve"> for more information.</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25, 2021, the Company's Board of Directors declared a quarterly cash dividend of $0.75 per share, paid on March 31, 2021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record of its Class A common stock and Class B common stock on March 22, 2021. Subject to approval of the Company's Board of Directors, the Company expects aggregate quarterly distributions to stockholders in 2021 will be $3.00 per common share, including the dividend paid on March 31,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Special Purpose Acquisition Company. </w:t>
      </w:r>
      <w:r>
        <w:rPr>
          <w:rFonts w:ascii="Arial" w:cs="Arial" w:eastAsia="Arial" w:hAnsi="Arial"/>
          <w:sz w:val="18"/>
          <w:szCs w:val="18"/>
          <w:color w:val="auto"/>
        </w:rPr>
        <w:t>On April 6, 2021 Lamar Partnering Corporation (“LPC”), a newly formed special purpose acquisition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wholly-owned subsidiary of the Company filed a Registration Statement on Form S-1 with the Securities and Exchange Commission. LPC’s proposed public offering is expected to have a base offering size of $300.0 million, or up to $345.0 million if the underwriters’ over-allotment is exercised in full. The Company, through an indirect wholly-owned subsidiary, would own approximately 20% of LPC’s issued and outstanding ordinary shares upon the consummation of the proposed offering. The Company intends to commit to acquire up to $100.0 million of forward purchase units in a forward purchase agreement that would close concurrently with LPC’s consummation of an initial business combination. As of March 31, 2021 the Company incurred $0.6 million in deferred offering costs related to the proposed offering, which is included in Other assets on our Condensed Consolidated Balance Sheet.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The repurchase program will expire on September 30, 2021 unless extended by the Board of Directors. There were no repurchases under the program as of March 31, 2021. The Company’s management may opt not to make any repurchases under the program, or may make aggregate purchases less than the total amount authorized.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off-balance sheet commitments consist of guaranteed minimum payments to local transit municipalities and airport authorities for agreements which entitle us to rent advertising space to customers, in airports and on buses, benches or shelters.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31, 2021, we had outstanding debt of approximately $2.84 billion. In the future, Lamar Media has principal reduction obligations and revolver commitment reductions under the senior credit facility. In addition, it has fixed commercial commitments. These commitments are detailed on a contractual basis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1 - 3 Years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1"/>
                <w:szCs w:val="11"/>
                <w:color w:val="auto"/>
              </w:rPr>
            </w:pPr>
          </w:p>
        </w:tc>
        <w:tc>
          <w:tcPr>
            <w:tcW w:w="1040" w:type="dxa"/>
            <w:vAlign w:val="bottom"/>
          </w:tcPr>
          <w:p>
            <w:pPr>
              <w:jc w:val="right"/>
              <w:ind w:right="396"/>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176"/>
        </w:trPr>
        <w:tc>
          <w:tcPr>
            <w:tcW w:w="42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Billboard site, transit and other operating and financing</w:t>
            </w: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1,650.6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9"/>
          <w:szCs w:val="9"/>
          <w:color w:val="auto"/>
        </w:rPr>
      </w:pPr>
      <w:r>
        <w:rPr>
          <w:rFonts w:ascii="Arial" w:cs="Arial" w:eastAsia="Arial" w:hAnsi="Arial"/>
          <w:sz w:val="14"/>
          <w:szCs w:val="14"/>
          <w:color w:val="auto"/>
        </w:rPr>
        <w:t>Interest rates on our variable rate instruments are assuming rates at the March 2021 levels.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Amount of Expiration Per Period</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Commercial Commitments</w:t>
            </w:r>
          </w:p>
        </w:tc>
        <w:tc>
          <w:tcPr>
            <w:tcW w:w="180" w:type="dxa"/>
            <w:vAlign w:val="bottom"/>
          </w:tcPr>
          <w:p>
            <w:pPr>
              <w:spacing w:after="0"/>
              <w:rPr>
                <w:sz w:val="11"/>
                <w:szCs w:val="11"/>
                <w:color w:val="auto"/>
              </w:rPr>
            </w:pPr>
          </w:p>
        </w:tc>
        <w:tc>
          <w:tcPr>
            <w:tcW w:w="1240" w:type="dxa"/>
            <w:vAlign w:val="bottom"/>
          </w:tcPr>
          <w:p>
            <w:pPr>
              <w:jc w:val="right"/>
              <w:ind w:right="259"/>
              <w:spacing w:after="0" w:line="135" w:lineRule="exact"/>
              <w:rPr>
                <w:sz w:val="20"/>
                <w:szCs w:val="20"/>
                <w:color w:val="auto"/>
              </w:rPr>
            </w:pPr>
            <w:r>
              <w:rPr>
                <w:rFonts w:ascii="Arial" w:cs="Arial" w:eastAsia="Arial" w:hAnsi="Arial"/>
                <w:sz w:val="14"/>
                <w:szCs w:val="14"/>
                <w:b w:val="1"/>
                <w:bCs w:val="1"/>
                <w:color w:val="auto"/>
                <w:w w:val="97"/>
              </w:rPr>
              <w:t>Total Amount</w:t>
            </w:r>
          </w:p>
        </w:tc>
        <w:tc>
          <w:tcPr>
            <w:tcW w:w="200" w:type="dxa"/>
            <w:vAlign w:val="bottom"/>
          </w:tcPr>
          <w:p>
            <w:pPr>
              <w:spacing w:after="0"/>
              <w:rPr>
                <w:sz w:val="11"/>
                <w:szCs w:val="11"/>
                <w:color w:val="auto"/>
              </w:rPr>
            </w:pPr>
          </w:p>
        </w:tc>
        <w:tc>
          <w:tcPr>
            <w:tcW w:w="1140" w:type="dxa"/>
            <w:vAlign w:val="bottom"/>
          </w:tcPr>
          <w:p>
            <w:pPr>
              <w:jc w:val="right"/>
              <w:ind w:right="219"/>
              <w:spacing w:after="0" w:line="135" w:lineRule="exact"/>
              <w:rPr>
                <w:sz w:val="20"/>
                <w:szCs w:val="20"/>
                <w:color w:val="auto"/>
              </w:rPr>
            </w:pPr>
            <w:r>
              <w:rPr>
                <w:rFonts w:ascii="Arial" w:cs="Arial" w:eastAsia="Arial" w:hAnsi="Arial"/>
                <w:sz w:val="14"/>
                <w:szCs w:val="14"/>
                <w:b w:val="1"/>
                <w:bCs w:val="1"/>
                <w:color w:val="auto"/>
              </w:rPr>
              <w:t>Less Than 1</w:t>
            </w:r>
          </w:p>
        </w:tc>
        <w:tc>
          <w:tcPr>
            <w:tcW w:w="280" w:type="dxa"/>
            <w:vAlign w:val="bottom"/>
          </w:tcPr>
          <w:p>
            <w:pPr>
              <w:spacing w:after="0"/>
              <w:rPr>
                <w:sz w:val="11"/>
                <w:szCs w:val="11"/>
                <w:color w:val="auto"/>
              </w:rPr>
            </w:pPr>
          </w:p>
        </w:tc>
        <w:tc>
          <w:tcPr>
            <w:tcW w:w="11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1 - 3 Years</w:t>
            </w:r>
          </w:p>
        </w:tc>
        <w:tc>
          <w:tcPr>
            <w:tcW w:w="300" w:type="dxa"/>
            <w:vAlign w:val="bottom"/>
          </w:tcPr>
          <w:p>
            <w:pPr>
              <w:spacing w:after="0"/>
              <w:rPr>
                <w:sz w:val="11"/>
                <w:szCs w:val="11"/>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3 - 5 Years</w:t>
            </w:r>
          </w:p>
        </w:tc>
        <w:tc>
          <w:tcPr>
            <w:tcW w:w="340" w:type="dxa"/>
            <w:vAlign w:val="bottom"/>
          </w:tcPr>
          <w:p>
            <w:pPr>
              <w:spacing w:after="0"/>
              <w:rPr>
                <w:sz w:val="11"/>
                <w:szCs w:val="11"/>
                <w:color w:val="auto"/>
              </w:rPr>
            </w:pPr>
          </w:p>
        </w:tc>
        <w:tc>
          <w:tcPr>
            <w:tcW w:w="104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Committed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Year</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line="231" w:lineRule="exact"/>
              <w:rPr>
                <w:sz w:val="20"/>
                <w:szCs w:val="20"/>
                <w:color w:val="auto"/>
              </w:rPr>
            </w:pPr>
            <w:r>
              <w:rPr>
                <w:rFonts w:ascii="Arial" w:cs="Arial" w:eastAsia="Arial" w:hAnsi="Arial"/>
                <w:sz w:val="18"/>
                <w:szCs w:val="18"/>
                <w:color w:val="auto"/>
              </w:rPr>
              <w:t>Revolving Bank Facility</w:t>
            </w:r>
            <w:r>
              <w:rPr>
                <w:rFonts w:ascii="Arial" w:cs="Arial" w:eastAsia="Arial" w:hAnsi="Arial"/>
                <w:sz w:val="23"/>
                <w:szCs w:val="23"/>
                <w:color w:val="auto"/>
                <w:vertAlign w:val="superscript"/>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200" w:type="dxa"/>
            <w:vAlign w:val="bottom"/>
          </w:tcPr>
          <w:p>
            <w:pPr>
              <w:ind w:left="20"/>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23"/>
                <w:szCs w:val="23"/>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13.9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Lamar Media had $25.0 million outstanding under the revolving credit facility as of March 31, 2021.</w:t>
      </w:r>
    </w:p>
    <w:p>
      <w:pPr>
        <w:spacing w:after="0" w:line="57" w:lineRule="exact"/>
        <w:rPr>
          <w:rFonts w:ascii="Arial" w:cs="Arial" w:eastAsia="Arial" w:hAnsi="Arial"/>
          <w:sz w:val="19"/>
          <w:szCs w:val="19"/>
          <w:color w:val="auto"/>
          <w:vertAlign w:val="superscript"/>
        </w:rPr>
      </w:pPr>
    </w:p>
    <w:p>
      <w:pPr>
        <w:ind w:left="640" w:hanging="632"/>
        <w:spacing w:after="0" w:line="233" w:lineRule="auto"/>
        <w:tabs>
          <w:tab w:leader="none" w:pos="64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The standby letters of credit are issued under the revolving credit facility and reduce the availability of the facility by the same amount.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presentation of these financial statements requires us to make estimates and judgements that affect the reported amounts of assets, liabilities, revenues and expenses. There have been no material changes to the critical accounting policies and estimates as previously disclosed in Item 7 of our 2020 Combined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three months ended March 31, 2021 and 2020. This discussion should be read in conjunction with the consolidated financial statements of Lamar Media and the related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$35.7 million or 8.8% to $370.9 million for the three months ended March 31, 2021 from $406.6 million for the same period in 2020. This decrease was primarily attributable to a decrease in billboard and transit net revenues of $21.3 million and $12.4 million, respectively, over the same period in 2020, which related to the effects of the ongoing COVID-19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there was a $33.3 million decrease in net revenues as compared to acquisition-adjusted net revenue for the three months ended March 31, 2020, which represents a decrease of 8.2%. See “Reconciliations” below. The $33.3 million decrease in revenue is primarily due to a $21.8 million and $11.2 million decrease in billboard and transit net revenues, respectively, which are due to the effects of the ongoing COVID-19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decreased $28.6 million, or 11.4%, to $221.5 million for the three months ended March 31, 2021 from $250.1 million in the same period in 2020. The $28.6 million decrease over the prior year is comprised of a $28.8 million decrease in total direct, general and administrative and corporate expenses (excluding stock-based compensation) primarily related to the operations of our outdoor advertising assets, offset by a $0.2 million increase in stock-based compensation.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decreased $1.6 million to $60.7 million for the three months ended March 31, 2021 as compared to $62.3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Lamar Media recognized a gain on disposition of assets of $0.4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$7.6 million to $89.1 million for the three months ended March 31, 2021 as compared to $96.7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Lamar Media recognized a loss on debt extinguishment of $21.6 million for the three months ended March 31, 2021, a $3.4 million increase over the same period in 2020. The loss on debt extinguishment during the three months ended March 31, 2021 relates to the early repayment of our 5 3/4% Senior Notes during the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$8.4 million for the three months ended March 31, 2021 to $28.2 million as compared to $36.6 million for the three months ended March 31, 2020. The decrease is primarily related to Lamar Media's debt transactions completed in 2020 and 2021, as well as a reduction in our senior credit facility interest rates.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resulted in a $2.7 million decrease in net income before income taxes. The effective tax rate for the three months ended March 31,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March 31, 2021 of $38.5 million, as compared to net income of $40.6 million for the same period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(the “acquired assets”) have contributed to our net revenue results for the periods presented, we provide 2020 acquisition-adjusted net revenue, which adjusts our 2020 net revenue for the three months ended March 31, 2020 by adding to or subtracting from it the net revenue generated by the acquired or divested assets prior to our acquisition or divestiture of these assets for the same time frame that those assets were owned in the three months ended March 31,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three months ended March 31, as well as a comparison of 2020 acquisition-adjusted net revenue to 2021 reported net revenue for the three months ended March 31, are provided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7"/>
          </w:tcPr>
          <w:p>
            <w:pPr>
              <w:ind w:left="7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370,881</w:t>
            </w:r>
          </w:p>
        </w:tc>
        <w:tc>
          <w:tcPr>
            <w:tcW w:w="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370,881</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404,168</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Increase (Decrease)</w:t>
            </w: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March 31, 2021 decreased 4.6% to $152.6 million. The decrease in adjusted EBITDA was primarily attributable to a decrease in our gross margin (net revenue less direct advertising expense, exclusive of depreciation and amortization and capitalized contract fulfillment costs, net) of $16.9 million, and was offset by a decrease in total general and administrative and corporate expenses of $10.5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3"/>
            <w:vMerge w:val="continue"/>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ind w:right="13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March 31, 2021 decreased from $97.7 million in 2020 to $96.2 million for the same period in 2021, a decrease of 1.5%. AFFO for the three months ended March 31, 2021 increased 3.0% to $116.8 million as compared to $113.4 million for the same period in 2020. The increase in AFFO was primarily attributable to the decrease in total general and administrative and corporate expenses (excluding the effect of stock-based compensation expense) offset by a decrease in our gross margin (net revenue less direct advertising expense, exclusive of depreciation and amortization and capitalized contract fulfillment costs, net).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94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2021,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2021 there was approximately $778.5 million of indebtedness outstanding under the senior credit facility and the Accounts Receivable Securitization Program, or approximately 27.0% of the Company’s outstanding long-term debt on that date, bearing interest at variable rates. The aggregate interest expense for 2021 with respect to borrowings under the senior credit facility and the Accounts Receivable Securitization Program was $3.4 million, and the weighted average interest rate applicable to these borrowings during 2021 was 1.4%. Assuming that the weighted average interest rate was 200 basis points higher (that is 3.4% rather than 1.4%), then the Company’s 2021 interest expense would have increased by approximately $3.8 million for the three months ended March 31, 2021.</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2020,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2020.</w:t>
      </w:r>
    </w:p>
    <w:p>
      <w:pPr>
        <w:spacing w:after="0" w:line="291"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00" w:type="dxa"/>
            <w:vAlign w:val="bottom"/>
            <w:gridSpan w:val="23"/>
            <w:vMerge w:val="restart"/>
          </w:tcPr>
          <w:p>
            <w:pPr>
              <w:ind w:left="2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00" w:type="dxa"/>
            <w:vAlign w:val="bottom"/>
            <w:gridSpan w:val="2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00" w:type="dxa"/>
            <w:vAlign w:val="bottom"/>
            <w:tcBorders>
              <w:top w:val="single" w:sz="8" w:color="auto"/>
            </w:tcBorders>
            <w:gridSpan w:val="25"/>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(File No. 1-36756) filed on November 19, 2014 and incorporated herein by reference.</w:t>
              </w:r>
            </w:hyperlink>
          </w:p>
        </w:tc>
        <w:tc>
          <w:tcPr>
            <w:tcW w:w="380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K (File No. 1-36756) filed on November 19, 2014 and incorporated herein by reference.</w:t>
              </w:r>
            </w:hyperlink>
          </w:p>
        </w:tc>
        <w:tc>
          <w:tcPr>
            <w:tcW w:w="34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incorporated herein by reference.</w:t>
              </w:r>
            </w:hyperlink>
          </w:p>
        </w:tc>
        <w:tc>
          <w:tcPr>
            <w:tcW w:w="752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Current Report on Form 8-K (File No. 1-36756) filed on November 19, 2014 and incorporated herein by reference.</w:t>
              </w:r>
            </w:hyperlink>
          </w:p>
        </w:tc>
        <w:tc>
          <w:tcPr>
            <w:tcW w:w="15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the period ended September 30, 1999 (File No. 1-12407) filed on November 12, 1999 and incorporated herein by reference.</w:t>
              </w:r>
            </w:hyperlink>
          </w:p>
        </w:tc>
        <w:tc>
          <w:tcPr>
            <w:tcW w:w="10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Indenture, dated as of January 22, 2021, among Lamar Media, the Guarantors named therein and The Bank of New York Mellon Trust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Company, N.A., as Trustee (including the Form of Note and Guarantee as Exhibit A thereto). Previously filed as Exhibit 4.1 to the</w:t>
              </w:r>
            </w:hyperlink>
          </w:p>
        </w:tc>
        <w:tc>
          <w:tcPr>
            <w:tcW w:w="1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Company’s Current Report on Form 8-K (File No. 1-36756) filed on January 28, 2021 and incorporated herein by reference.</w:t>
              </w:r>
            </w:hyperlink>
          </w:p>
        </w:tc>
        <w:tc>
          <w:tcPr>
            <w:tcW w:w="4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Registration Rights Agreement, dated as of January 22, 2021, among Lamar Media, the Guarantors named therein and J.P. Morgan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3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gridSpan w:val="25"/>
          </w:tcPr>
          <w:p>
            <w:pPr>
              <w:spacing w:after="0" w:line="15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Securities LLC, as representative for the Initial Purchasers named therein. Previously filed as Exhibit 10.1 to the Company’s Current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Report on Form 8-K (File No. 1-36756) filed on January 28, 2021 and incorporated herein by reference.</w:t>
              </w:r>
            </w:hyperlink>
          </w:p>
        </w:tc>
        <w:tc>
          <w:tcPr>
            <w:tcW w:w="2060" w:type="dxa"/>
            <w:vAlign w:val="bottom"/>
            <w:tcBorders>
              <w:top w:val="single" w:sz="8" w:color="0000FF"/>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6"/>
              </w:rPr>
            </w:pPr>
            <w:hyperlink w:anchor="page49">
              <w:r>
                <w:rPr>
                  <w:rFonts w:ascii="Arial" w:cs="Arial" w:eastAsia="Arial" w:hAnsi="Arial"/>
                  <w:sz w:val="18"/>
                  <w:szCs w:val="18"/>
                  <w:color w:val="0000FF"/>
                  <w:w w:val="96"/>
                </w:rPr>
                <w:t>Certification of the Chief Executive Officer of the Company and Lamar Media pursuant to Securities Exchange Act Rules 13a-14(a)</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and 15d-14(a) as adopted pursuant to Section 302 of the Sarbanes-Oxley Act of 2002. Filed herewith.</w:t>
              </w:r>
            </w:hyperlink>
          </w:p>
        </w:tc>
        <w:tc>
          <w:tcPr>
            <w:tcW w:w="26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of the Chief Financial Officer of the Company and Lamar Media pursuant to Securities Exchange Act Rules 13a-14(a)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15d-14(a) as adopted pursuant to Section 302 of the Sarbanes-Oxley Act of 2002. Filed herewith.</w:t>
              </w:r>
            </w:hyperlink>
          </w:p>
        </w:tc>
        <w:tc>
          <w:tcPr>
            <w:tcW w:w="286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pursuant to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herewith.</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1380" w:right="20" w:hanging="879"/>
        <w:spacing w:after="0" w:line="249" w:lineRule="auto"/>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March 31, 2021,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0" w:lineRule="exact"/>
        <w:rPr>
          <w:sz w:val="20"/>
          <w:szCs w:val="20"/>
          <w:color w:val="auto"/>
        </w:rPr>
      </w:pPr>
    </w:p>
    <w:p>
      <w:pPr>
        <w:ind w:left="1380" w:hanging="879"/>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25"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Date:May 4,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121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Date:May 4,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21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2021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Date:May 4,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51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6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30"/>
        </w:trPr>
        <w:tc>
          <w:tcPr>
            <w:tcW w:w="6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6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Media Corp.</w:t>
            </w:r>
          </w:p>
        </w:tc>
      </w:tr>
      <w:tr>
        <w:trPr>
          <w:trHeight w:val="405"/>
        </w:trPr>
        <w:tc>
          <w:tcPr>
            <w:tcW w:w="6100" w:type="dxa"/>
            <w:vAlign w:val="bottom"/>
          </w:tcPr>
          <w:p>
            <w:pPr>
              <w:spacing w:after="0"/>
              <w:rPr>
                <w:sz w:val="20"/>
                <w:szCs w:val="20"/>
                <w:color w:val="auto"/>
              </w:rPr>
            </w:pPr>
            <w:r>
              <w:rPr>
                <w:rFonts w:ascii="Arial" w:cs="Arial" w:eastAsia="Arial" w:hAnsi="Arial"/>
                <w:sz w:val="18"/>
                <w:szCs w:val="18"/>
                <w:color w:val="auto"/>
              </w:rPr>
              <w:t>Date:May 4, 2021</w:t>
            </w:r>
          </w:p>
        </w:tc>
        <w:tc>
          <w:tcPr>
            <w:tcW w:w="5120" w:type="dxa"/>
            <w:vAlign w:val="bottom"/>
          </w:tcPr>
          <w:p>
            <w:pPr>
              <w:spacing w:after="0"/>
              <w:rPr>
                <w:sz w:val="24"/>
                <w:szCs w:val="24"/>
                <w:color w:val="auto"/>
              </w:rPr>
            </w:pPr>
          </w:p>
        </w:tc>
      </w:tr>
      <w:tr>
        <w:trPr>
          <w:trHeight w:val="459"/>
        </w:trPr>
        <w:tc>
          <w:tcPr>
            <w:tcW w:w="6100" w:type="dxa"/>
            <w:vAlign w:val="bottom"/>
          </w:tcPr>
          <w:p>
            <w:pPr>
              <w:ind w:left="51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6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30"/>
        </w:trPr>
        <w:tc>
          <w:tcPr>
            <w:tcW w:w="6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61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4"/>
    </w:lvl>
  </w:abstractNum>
  <w:abstractNum w:abstractNumId="18">
    <w:nsid w:val="836C40E"/>
    <w:multiLevelType w:val="hybridMultilevel"/>
    <w:lvl w:ilvl="0">
      <w:lvlJc w:val="left"/>
      <w:lvlText w:val="%1."/>
      <w:numFmt w:val="decimal"/>
      <w:start w:val="15"/>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lowerRoman"/>
      <w:start w:val="4"/>
    </w:lvl>
  </w:abstractNum>
  <w:abstractNum w:abstractNumId="24">
    <w:nsid w:val="737B8DDC"/>
    <w:multiLevelType w:val="hybridMultilevel"/>
    <w:lvl w:ilvl="0">
      <w:lvlJc w:val="left"/>
      <w:lvlText w:val="(%1)"/>
      <w:numFmt w:val="lowerRoman"/>
      <w:start w:val="7"/>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Roman"/>
      <w:start w:val="3"/>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101"/>
    </w:lvl>
  </w:abstractNum>
  <w:abstractNum w:abstractNumId="35">
    <w:nsid w:val="77465F01"/>
    <w:multiLevelType w:val="hybridMultilevel"/>
    <w:lvl w:ilvl="0">
      <w:lvlJc w:val="left"/>
      <w:lvlText w:val="%1"/>
      <w:numFmt w:val="decimal"/>
      <w:start w:val="104"/>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6" Type="http://schemas.openxmlformats.org/officeDocument/2006/relationships/hyperlink" Target="https://www.sec.gov/Archives/edgar/data/1090425/000119312514417756/d823054dex31.htm" TargetMode="External"/><Relationship Id="rId67" Type="http://schemas.openxmlformats.org/officeDocument/2006/relationships/hyperlink" Target="https://www.sec.gov/Archives/edgar/data/1090425/000119312514417756/d823054dex32.htm" TargetMode="External"/><Relationship Id="rId68" Type="http://schemas.openxmlformats.org/officeDocument/2006/relationships/hyperlink" Target="https://www.sec.gov/Archives/edgar/data/899045/000095013407011105/d46520exv3w2.htm" TargetMode="External"/><Relationship Id="rId69" Type="http://schemas.openxmlformats.org/officeDocument/2006/relationships/hyperlink" Target="https://www.sec.gov/Archives/edgar/data/1090425/000119312514417756/d823054dex33.htm" TargetMode="External"/><Relationship Id="rId70" Type="http://schemas.openxmlformats.org/officeDocument/2006/relationships/hyperlink" Target="https://www.sec.gov/Archives/edgar/data/899045/000095013499009877/0000950134-99-009877.txt" TargetMode="External"/><Relationship Id="rId71" Type="http://schemas.openxmlformats.org/officeDocument/2006/relationships/hyperlink" Target="https://www.sec.gov/Archives/edgar/data/899045/000119312521020764/d111035dex41.htm" TargetMode="External"/><Relationship Id="rId72" Type="http://schemas.openxmlformats.org/officeDocument/2006/relationships/hyperlink" Target="https://www.sec.gov/Archives/edgar/data/899045/000119312521020764/d11103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2021-05-04T10:55:24Z</dcterms:created>
  <dcterms:modified xsi:type="dcterms:W3CDTF">2021-05-04T10:55:24Z</dcterms:modified>
</cp:coreProperties>
</file>