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1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2024</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240" w:type="dxa"/>
            <w:vAlign w:val="bottom"/>
          </w:tcPr>
          <w:p>
            <w:pPr>
              <w:spacing w:after="0"/>
              <w:rPr>
                <w:sz w:val="14"/>
                <w:szCs w:val="14"/>
                <w:color w:val="auto"/>
              </w:rPr>
            </w:pPr>
          </w:p>
        </w:tc>
        <w:tc>
          <w:tcPr>
            <w:tcW w:w="5480" w:type="dxa"/>
            <w:vAlign w:val="bottom"/>
          </w:tcPr>
          <w:p>
            <w:pPr>
              <w:ind w:left="5300"/>
              <w:spacing w:after="0"/>
              <w:rPr>
                <w:sz w:val="20"/>
                <w:szCs w:val="20"/>
                <w:color w:val="auto"/>
              </w:rPr>
            </w:pPr>
            <w:r>
              <w:rPr>
                <w:rFonts w:ascii="Times New Roman" w:cs="Times New Roman" w:eastAsia="Times New Roman" w:hAnsi="Times New Roman"/>
                <w:sz w:val="13"/>
                <w:szCs w:val="13"/>
                <w:b w:val="1"/>
                <w:bCs w:val="1"/>
                <w:color w:val="auto"/>
              </w:rPr>
              <w:t>or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3"/>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4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2"/>
        </w:trPr>
        <w:tc>
          <w:tcPr>
            <w:tcW w:w="240" w:type="dxa"/>
            <w:vAlign w:val="bottom"/>
          </w:tcPr>
          <w:p>
            <w:pPr>
              <w:spacing w:after="0"/>
              <w:rPr>
                <w:sz w:val="21"/>
                <w:szCs w:val="21"/>
                <w:color w:val="auto"/>
              </w:rPr>
            </w:pPr>
          </w:p>
        </w:tc>
        <w:tc>
          <w:tcPr>
            <w:tcW w:w="5480" w:type="dxa"/>
            <w:vAlign w:val="bottom"/>
          </w:tcPr>
          <w:p>
            <w:pPr>
              <w:ind w:left="382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620" w:type="dxa"/>
            <w:vAlign w:val="bottom"/>
            <w:tcBorders>
              <w:bottom w:val="single" w:sz="8" w:color="auto"/>
            </w:tcBorders>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4150995</wp:posOffset>
            </wp:positionH>
            <wp:positionV relativeFrom="paragraph">
              <wp:posOffset>-8255</wp:posOffset>
            </wp:positionV>
            <wp:extent cx="400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Commission File Number 1-36756</w:t>
      </w:r>
    </w:p>
    <w:p>
      <w:pPr>
        <w:spacing w:after="0" w:line="1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Advertising Company</w:t>
      </w:r>
    </w:p>
    <w:p>
      <w:pPr>
        <w:spacing w:after="0" w:line="3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Commission File Number 1-12407</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Lamar Media Corp.</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registrants as specified in their charters)</w:t>
      </w:r>
    </w:p>
    <w:p>
      <w:pPr>
        <w:spacing w:after="0" w:line="3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175"/>
        </w:trPr>
        <w:tc>
          <w:tcPr>
            <w:tcW w:w="388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175"/>
        </w:trPr>
        <w:tc>
          <w:tcPr>
            <w:tcW w:w="7300" w:type="dxa"/>
            <w:vAlign w:val="bottom"/>
            <w:gridSpan w:val="4"/>
          </w:tcPr>
          <w:p>
            <w:pPr>
              <w:jc w:val="center"/>
              <w:ind w:right="2000"/>
              <w:spacing w:after="0"/>
              <w:rPr>
                <w:sz w:val="20"/>
                <w:szCs w:val="20"/>
                <w:color w:val="auto"/>
              </w:rPr>
            </w:pPr>
            <w:r>
              <w:rPr>
                <w:rFonts w:ascii="Times New Roman" w:cs="Times New Roman" w:eastAsia="Times New Roman" w:hAnsi="Times New Roman"/>
                <w:sz w:val="13"/>
                <w:szCs w:val="13"/>
                <w:b w:val="1"/>
                <w:bCs w:val="1"/>
                <w:i w:val="1"/>
                <w:iCs w:val="1"/>
                <w:color w:val="auto"/>
                <w:w w:val="97"/>
              </w:rPr>
              <w:t>(State or other jurisdiction of incorporation or organization)</w:t>
            </w:r>
          </w:p>
        </w:tc>
        <w:tc>
          <w:tcPr>
            <w:tcW w:w="3740" w:type="dxa"/>
            <w:vAlign w:val="bottom"/>
          </w:tcPr>
          <w:p>
            <w:pPr>
              <w:jc w:val="center"/>
              <w:ind w:right="155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351"/>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2"/>
              </w:rPr>
              <w:t>70808</w:t>
            </w:r>
          </w:p>
        </w:tc>
      </w:tr>
      <w:tr>
        <w:trPr>
          <w:trHeight w:val="176"/>
        </w:trPr>
        <w:tc>
          <w:tcPr>
            <w:tcW w:w="3880" w:type="dxa"/>
            <w:vAlign w:val="bottom"/>
          </w:tcPr>
          <w:p>
            <w:pPr>
              <w:jc w:val="center"/>
              <w:ind w:left="13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78"/>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(225) 926-1000</w:t>
            </w:r>
          </w:p>
        </w:tc>
        <w:tc>
          <w:tcPr>
            <w:tcW w:w="3740" w:type="dxa"/>
            <w:vAlign w:val="bottom"/>
          </w:tcPr>
          <w:p>
            <w:pPr>
              <w:spacing w:after="0"/>
              <w:rPr>
                <w:sz w:val="24"/>
                <w:szCs w:val="24"/>
                <w:color w:val="auto"/>
              </w:rPr>
            </w:pPr>
          </w:p>
        </w:tc>
      </w:tr>
      <w:tr>
        <w:trPr>
          <w:trHeight w:val="189"/>
        </w:trPr>
        <w:tc>
          <w:tcPr>
            <w:tcW w:w="3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740" w:type="dxa"/>
            <w:vAlign w:val="bottom"/>
          </w:tcPr>
          <w:p>
            <w:pPr>
              <w:spacing w:after="0"/>
              <w:rPr>
                <w:sz w:val="16"/>
                <w:szCs w:val="16"/>
                <w:color w:val="auto"/>
              </w:rPr>
            </w:pPr>
          </w:p>
        </w:tc>
      </w:tr>
      <w:tr>
        <w:trPr>
          <w:trHeight w:val="117"/>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bl>
    <w:p>
      <w:pPr>
        <w:spacing w:after="0" w:line="130"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300" w:type="dxa"/>
            <w:vAlign w:val="bottom"/>
          </w:tcPr>
          <w:p>
            <w:pPr>
              <w:ind w:left="600"/>
              <w:spacing w:after="0"/>
              <w:rPr>
                <w:sz w:val="20"/>
                <w:szCs w:val="20"/>
                <w:color w:val="auto"/>
              </w:rPr>
            </w:pPr>
            <w:r>
              <w:rPr>
                <w:rFonts w:ascii="Wingdings" w:cs="Wingdings" w:eastAsia="Wingdings" w:hAnsi="Wingdings"/>
                <w:sz w:val="13"/>
                <w:szCs w:val="13"/>
                <w:b w:val="1"/>
                <w:bCs w:val="1"/>
                <w:color w:val="auto"/>
              </w:rPr>
              <w:t>x</w:t>
            </w:r>
          </w:p>
        </w:tc>
        <w:tc>
          <w:tcPr>
            <w:tcW w:w="4640" w:type="dxa"/>
            <w:vAlign w:val="bottom"/>
          </w:tcPr>
          <w:p>
            <w:pPr>
              <w:ind w:left="2560"/>
              <w:spacing w:after="0"/>
              <w:rPr>
                <w:sz w:val="20"/>
                <w:szCs w:val="20"/>
                <w:color w:val="auto"/>
              </w:rPr>
            </w:pPr>
            <w:r>
              <w:rPr>
                <w:rFonts w:ascii="Times New Roman" w:cs="Times New Roman" w:eastAsia="Times New Roman" w:hAnsi="Times New Roman"/>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30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5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30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126"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40" w:type="dxa"/>
            <w:vAlign w:val="bottom"/>
          </w:tcPr>
          <w:p>
            <w:pPr>
              <w:ind w:left="580"/>
              <w:spacing w:after="0"/>
              <w:rPr>
                <w:sz w:val="20"/>
                <w:szCs w:val="20"/>
                <w:color w:val="auto"/>
              </w:rPr>
            </w:pPr>
            <w:r>
              <w:rPr>
                <w:rFonts w:ascii="Wingdings" w:cs="Wingdings" w:eastAsia="Wingdings" w:hAnsi="Wingdings"/>
                <w:sz w:val="13"/>
                <w:szCs w:val="13"/>
                <w:b w:val="1"/>
                <w:bCs w:val="1"/>
                <w:color w:val="auto"/>
              </w:rPr>
              <w:t>x</w:t>
            </w:r>
          </w:p>
        </w:tc>
        <w:tc>
          <w:tcPr>
            <w:tcW w:w="46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9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113"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40"/>
          </w:cols>
          <w:pgMar w:left="320" w:top="1161" w:right="339" w:bottom="1440" w:gutter="0" w:footer="0" w:header="0"/>
        </w:sectPr>
      </w:pP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x</w:t>
      </w:r>
    </w:p>
    <w:p>
      <w:pPr>
        <w:spacing w:after="0" w:line="35" w:lineRule="exact"/>
        <w:rPr>
          <w:sz w:val="24"/>
          <w:szCs w:val="24"/>
          <w:color w:val="auto"/>
        </w:rPr>
      </w:pPr>
    </w:p>
    <w:p>
      <w:pPr>
        <w:sectPr>
          <w:pgSz w:w="11900" w:h="16838" w:orient="portrait"/>
          <w:cols w:equalWidth="0" w:num="4">
            <w:col w:w="6540" w:space="120"/>
            <w:col w:w="200" w:space="60"/>
            <w:col w:w="100" w:space="120"/>
            <w:col w:w="4100"/>
          </w:cols>
          <w:pgMar w:left="320" w:top="1161" w:right="3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50" w:lineRule="exact"/>
        <w:rPr>
          <w:sz w:val="24"/>
          <w:szCs w:val="24"/>
          <w:color w:val="auto"/>
        </w:rPr>
      </w:pPr>
    </w:p>
    <w:p>
      <w:pPr>
        <w:sectPr>
          <w:pgSz w:w="11900" w:h="16838" w:orient="portrait"/>
          <w:cols w:equalWidth="0" w:num="5">
            <w:col w:w="6060" w:space="120"/>
            <w:col w:w="200" w:space="60"/>
            <w:col w:w="100" w:space="120"/>
            <w:col w:w="160" w:space="60"/>
            <w:col w:w="4360"/>
          </w:cols>
          <w:pgMar w:left="320" w:top="11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The number of shares of Lamar Advertising Company’s Class A common stock outstanding as of April 26, 2024: 87,820,609</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number of shares of the Lamar Advertising Company’s Class B common stock outstanding as of April 26, 2024: 14,420,085</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Lamar Media Corp. common stock outstanding as of April 26, 2024: 100</w:t>
      </w:r>
    </w:p>
    <w:p>
      <w:pPr>
        <w:sectPr>
          <w:pgSz w:w="11900" w:h="16838" w:orient="portrait"/>
          <w:cols w:equalWidth="0" w:num="1">
            <w:col w:w="11240"/>
          </w:cols>
          <w:pgMar w:left="320" w:top="1161" w:right="339" w:bottom="1440" w:gutter="0" w:footer="0" w:header="0"/>
          <w:type w:val="continuous"/>
        </w:sectPr>
      </w:pPr>
    </w:p>
    <w:p>
      <w:pPr>
        <w:spacing w:after="0" w:line="51" w:lineRule="exact"/>
        <w:rPr>
          <w:sz w:val="24"/>
          <w:szCs w:val="24"/>
          <w:color w:val="auto"/>
        </w:rPr>
      </w:pPr>
    </w:p>
    <w:p>
      <w:pPr>
        <w:spacing w:after="0" w:line="295" w:lineRule="auto"/>
        <w:rPr>
          <w:sz w:val="20"/>
          <w:szCs w:val="20"/>
          <w:color w:val="auto"/>
        </w:rPr>
      </w:pPr>
      <w:r>
        <w:rPr>
          <w:rFonts w:ascii="Times New Roman" w:cs="Times New Roman" w:eastAsia="Times New Roman" w:hAnsi="Times New Roman"/>
          <w:sz w:val="13"/>
          <w:szCs w:val="13"/>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Times New Roman" w:cs="Times New Roman" w:eastAsia="Times New Roman" w:hAnsi="Times New Roman"/>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1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dividend distributions;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2" w:lineRule="exact"/>
        <w:rPr>
          <w:sz w:val="20"/>
          <w:szCs w:val="20"/>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2023 of the Company and Lamar Media (the “2023 Combined Form 10-K”), filed on February 23, 2024,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20" w:type="dxa"/>
            <w:vAlign w:val="bottom"/>
            <w:gridSpan w:val="20"/>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420" w:type="dxa"/>
            <w:vAlign w:val="bottom"/>
            <w:gridSpan w:val="20"/>
            <w:vMerge w:val="continue"/>
          </w:tcPr>
          <w:p>
            <w:pPr>
              <w:spacing w:after="0"/>
              <w:rPr>
                <w:sz w:val="14"/>
                <w:szCs w:val="14"/>
                <w:color w:val="auto"/>
              </w:rPr>
            </w:pPr>
          </w:p>
        </w:tc>
        <w:tc>
          <w:tcPr>
            <w:tcW w:w="7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26"/>
        </w:trPr>
        <w:tc>
          <w:tcPr>
            <w:tcW w:w="3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48"/>
        </w:trPr>
        <w:tc>
          <w:tcPr>
            <w:tcW w:w="2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0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626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Balance Sheets as of March 31, 2024 and December 31, 2023</w:t>
            </w:r>
          </w:p>
        </w:tc>
        <w:tc>
          <w:tcPr>
            <w:tcW w:w="3680" w:type="dxa"/>
            <w:vAlign w:val="bottom"/>
            <w:gridSpan w:val="7"/>
          </w:tcPr>
          <w:p>
            <w:pPr>
              <w:spacing w:after="0"/>
              <w:rPr>
                <w:sz w:val="16"/>
                <w:szCs w:val="16"/>
                <w:color w:val="auto"/>
              </w:rPr>
            </w:pP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3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months ended March 31, 2024 and 2023</w:t>
            </w: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8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months ended March 31, 2024 and 2023</w:t>
            </w:r>
          </w:p>
        </w:tc>
        <w:tc>
          <w:tcPr>
            <w:tcW w:w="170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75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w:t>
            </w:r>
          </w:p>
        </w:tc>
        <w:tc>
          <w:tcPr>
            <w:tcW w:w="2380" w:type="dxa"/>
            <w:vAlign w:val="bottom"/>
            <w:gridSpan w:val="5"/>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9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3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months ended March 31, 2024 and 2023</w:t>
            </w:r>
          </w:p>
        </w:tc>
        <w:tc>
          <w:tcPr>
            <w:tcW w:w="620" w:type="dxa"/>
            <w:vAlign w:val="bottom"/>
            <w:gridSpan w:val="2"/>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2024 and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75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w:t>
            </w:r>
          </w:p>
        </w:tc>
        <w:tc>
          <w:tcPr>
            <w:tcW w:w="640" w:type="dxa"/>
            <w:vAlign w:val="bottom"/>
            <w:tcBorders>
              <w:top w:val="single" w:sz="8" w:color="0000FF"/>
            </w:tcBorders>
          </w:tcPr>
          <w:p>
            <w:pPr>
              <w:spacing w:after="0"/>
              <w:rPr>
                <w:sz w:val="18"/>
                <w:szCs w:val="18"/>
                <w:color w:val="auto"/>
              </w:rPr>
            </w:pPr>
          </w:p>
        </w:tc>
        <w:tc>
          <w:tcPr>
            <w:tcW w:w="174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318"/>
        </w:trPr>
        <w:tc>
          <w:tcPr>
            <w:tcW w:w="50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3"/>
          </w:tcPr>
          <w:p>
            <w:pPr>
              <w:spacing w:after="0"/>
              <w:rPr>
                <w:sz w:val="24"/>
                <w:szCs w:val="24"/>
                <w:color w:val="auto"/>
              </w:rPr>
            </w:pPr>
          </w:p>
        </w:tc>
        <w:tc>
          <w:tcPr>
            <w:tcW w:w="330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58"/>
        </w:trPr>
        <w:tc>
          <w:tcPr>
            <w:tcW w:w="2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98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358"/>
        </w:trPr>
        <w:tc>
          <w:tcPr>
            <w:tcW w:w="2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6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358"/>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0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358"/>
        </w:trPr>
        <w:tc>
          <w:tcPr>
            <w:tcW w:w="10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358"/>
        </w:trPr>
        <w:tc>
          <w:tcPr>
            <w:tcW w:w="12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800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44,605</w:t>
            </w: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$11,952 and $12,477 in 2024 and 2023, respectively</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301,189</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27,392</w:t>
            </w:r>
          </w:p>
        </w:tc>
      </w:tr>
      <w:tr>
        <w:trPr>
          <w:trHeight w:val="189"/>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376,076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373,186</w:t>
            </w: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4,289,440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4,274,831</w:t>
            </w:r>
          </w:p>
        </w:tc>
      </w:tr>
      <w:tr>
        <w:trPr>
          <w:trHeight w:val="196"/>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(2,731,409)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(2,708,361)</w:t>
            </w:r>
          </w:p>
        </w:tc>
      </w:tr>
      <w:tr>
        <w:trPr>
          <w:trHeight w:val="19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1,558,031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1,566,470</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jc w:val="both"/>
        <w:ind w:left="20"/>
        <w:spacing w:after="0" w:line="297" w:lineRule="auto"/>
        <w:rPr>
          <w:sz w:val="20"/>
          <w:szCs w:val="20"/>
          <w:color w:val="auto"/>
        </w:rPr>
      </w:pPr>
      <w:r>
        <w:rPr>
          <w:rFonts w:ascii="Times New Roman" w:cs="Times New Roman" w:eastAsia="Times New Roman" w:hAnsi="Times New Roman"/>
          <w:sz w:val="14"/>
          <w:szCs w:val="14"/>
          <w:color w:val="auto"/>
        </w:rPr>
        <w:t>Operating lease right of use assets Financing lease right of use assets Goodwill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Intangible assets, net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6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1,302,629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1,315,433</w:t>
            </w:r>
          </w:p>
        </w:tc>
      </w:tr>
      <w:tr>
        <w:trPr>
          <w:trHeight w:val="193"/>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11,184</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2,035,220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2,035,271</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1,150,081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1,171,434</w:t>
            </w:r>
          </w:p>
        </w:tc>
      </w:tr>
      <w:tr>
        <w:trPr>
          <w:trHeight w:val="203"/>
        </w:trPr>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92,559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90,644</w:t>
            </w:r>
          </w:p>
        </w:tc>
      </w:tr>
      <w:tr>
        <w:trPr>
          <w:trHeight w:val="23"/>
        </w:trPr>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2"/>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6,525,067</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6,563,622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-641985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-384810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-127635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-85725</wp:posOffset>
            </wp:positionV>
            <wp:extent cx="205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1980" w:space="460"/>
            <w:col w:w="8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 accounts payable</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18,435</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$339 and $380 in 2024 and 2023, respectively</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585,763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250,018</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174,955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210,568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79,483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107,195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132,644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126,547</w:t>
            </w:r>
          </w:p>
        </w:tc>
        <w:tc>
          <w:tcPr>
            <w:tcW w:w="0" w:type="dxa"/>
            <w:vAlign w:val="bottom"/>
          </w:tcPr>
          <w:p>
            <w:pPr>
              <w:spacing w:after="0"/>
              <w:rPr>
                <w:sz w:val="1"/>
                <w:szCs w:val="1"/>
                <w:color w:val="auto"/>
              </w:rPr>
            </w:pPr>
          </w:p>
        </w:tc>
      </w:tr>
      <w:tr>
        <w:trPr>
          <w:trHeight w:val="190"/>
        </w:trPr>
        <w:tc>
          <w:tcPr>
            <w:tcW w:w="8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992,611</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713,897</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$27,380 and $28,865 in 2024 and 2023, respectively</w:t>
            </w: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2,815,573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3,091,109</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1,066,058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1,075,285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14,614</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12,047</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396,539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397,991</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44,074</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41,891</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5,341,430</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5,346,834</w:t>
            </w:r>
          </w:p>
        </w:tc>
        <w:tc>
          <w:tcPr>
            <w:tcW w:w="0" w:type="dxa"/>
            <w:vAlign w:val="bottom"/>
          </w:tcPr>
          <w:p>
            <w:pPr>
              <w:spacing w:after="0"/>
              <w:rPr>
                <w:sz w:val="1"/>
                <w:szCs w:val="1"/>
                <w:color w:val="auto"/>
              </w:rPr>
            </w:pPr>
          </w:p>
        </w:tc>
      </w:tr>
      <w:tr>
        <w:trPr>
          <w:trHeight w:val="175"/>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w:t>
            </w:r>
          </w:p>
        </w:tc>
        <w:tc>
          <w:tcPr>
            <w:tcW w:w="5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outstanding at 2024 and 2023</w:t>
            </w:r>
          </w:p>
        </w:tc>
        <w:tc>
          <w:tcPr>
            <w:tcW w:w="5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0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Class A common stock, par value $0.001, 362,500,000 shares authorized; 88,711,167 and 88,486,495 shares issued at 2024 and 2023,</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5"/>
        </w:trPr>
        <w:tc>
          <w:tcPr>
            <w:tcW w:w="8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respectively; 87,820,609 and 87,645,560 outstanding at 2024 and 2023, respectively</w:t>
            </w: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2024 and 2023</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2,129,944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2,103,282</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comprehensive loss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95"/>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(874,130)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(819,235)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shares held in treasury, 890,558 and 840,935 shares at 2024 and 2023, respectively</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(67,347)</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Non-controlling interest</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Stockholders’ equity</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1,183,637</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1,216,788</w:t>
            </w:r>
          </w:p>
        </w:tc>
        <w:tc>
          <w:tcPr>
            <w:tcW w:w="0" w:type="dxa"/>
            <w:vAlign w:val="bottom"/>
          </w:tcPr>
          <w:p>
            <w:pPr>
              <w:spacing w:after="0"/>
              <w:rPr>
                <w:sz w:val="1"/>
                <w:szCs w:val="1"/>
                <w:color w:val="auto"/>
              </w:rPr>
            </w:pPr>
          </w:p>
        </w:tc>
      </w:tr>
      <w:tr>
        <w:trPr>
          <w:trHeight w:val="203"/>
        </w:trPr>
        <w:tc>
          <w:tcPr>
            <w:tcW w:w="8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6,525,067</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6,563,622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13"/>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498,150</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471,332</w:t>
            </w:r>
          </w:p>
        </w:tc>
      </w:tr>
      <w:tr>
        <w:trPr>
          <w:trHeight w:val="19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 (income)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 advertising expenses (exclusive of 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168,432</w:t>
            </w:r>
          </w:p>
        </w:tc>
      </w:tr>
      <w:tr>
        <w:trPr>
          <w:trHeight w:val="219"/>
        </w:trPr>
        <w:tc>
          <w:tcPr>
            <w:tcW w:w="8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 (exclusive of 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89,161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85,135</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Corporate expenses (exclusive of 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28,527</w:t>
            </w:r>
          </w:p>
        </w:tc>
      </w:tr>
      <w:tr>
        <w:trPr>
          <w:trHeight w:val="219"/>
        </w:trPr>
        <w:tc>
          <w:tcPr>
            <w:tcW w:w="84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75,228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73,125</w:t>
            </w:r>
          </w:p>
        </w:tc>
      </w:tr>
      <w:tr>
        <w:trPr>
          <w:trHeight w:val="213"/>
        </w:trPr>
        <w:tc>
          <w:tcPr>
            <w:tcW w:w="84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w:t>
            </w:r>
          </w:p>
        </w:tc>
      </w:tr>
      <w:tr>
        <w:trPr>
          <w:trHeight w:val="212"/>
        </w:trPr>
        <w:tc>
          <w:tcPr>
            <w:tcW w:w="84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373,550</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352,531</w:t>
            </w:r>
          </w:p>
        </w:tc>
      </w:tr>
      <w:tr>
        <w:trPr>
          <w:trHeight w:val="20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118,801</w:t>
            </w:r>
          </w:p>
        </w:tc>
      </w:tr>
      <w:tr>
        <w:trPr>
          <w:trHeight w:val="21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41,444</w:t>
            </w:r>
          </w:p>
        </w:tc>
      </w:tr>
      <w:tr>
        <w:trPr>
          <w:trHeight w:val="213"/>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Equity in loss (earnings) of investee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2"/>
        </w:trPr>
        <w:tc>
          <w:tcPr>
            <w:tcW w:w="8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40,805</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 expense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77,996</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76,198</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controlling interest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76,041</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on preferred stock</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2"/>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stock</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78,133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75,950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dividends declared per share of common stock</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used in computing earnings per share: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102,115,159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101,792,317</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102,447,333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101,963,563</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Comprehensive Income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76,198</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76,196</w:t>
            </w:r>
          </w:p>
        </w:tc>
      </w:tr>
      <w:tr>
        <w:trPr>
          <w:trHeight w:val="21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2"/>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77,832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76,039</w:t>
            </w: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Add’l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Paid in</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2023</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88</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(67,347)</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2,103,282</w:t>
            </w: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(428)</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(819,235)</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414</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1,216,788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Non-cash compensation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56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w w:val="99"/>
              </w:rPr>
              <w:t>Issuance of 137,350 shares of</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5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common stock through stock</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awards</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Exercise of 47,000 shares of</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Issuance of 40,322 shares of</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56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3"/>
                <w:szCs w:val="13"/>
                <w:color w:val="auto"/>
              </w:rPr>
              <w:t>common stock through</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employee purchase plan</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Purchase of 49,623 shares of</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treasury stock</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(5,341)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275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Reallocation of capital</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(1,018)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1,018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w w:val="96"/>
              </w:rPr>
              <w:t>Dividends ($1.30 per common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56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share) and other</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(133,028)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5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Dividends ($15.95 per</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preferred share)</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Balance, March 31, 2024</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(72,688)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2,129,944</w:t>
            </w: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(874,130)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1,228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1,183,637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Add’l</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ind w:left="120"/>
              <w:spacing w:after="0" w:line="108" w:lineRule="exact"/>
              <w:rPr>
                <w:sz w:val="20"/>
                <w:szCs w:val="20"/>
                <w:color w:val="auto"/>
              </w:rPr>
            </w:pPr>
            <w:r>
              <w:rPr>
                <w:rFonts w:ascii="Times New Roman" w:cs="Times New Roman" w:eastAsia="Times New Roman" w:hAnsi="Times New Roman"/>
                <w:sz w:val="11"/>
                <w:szCs w:val="11"/>
                <w:b w:val="1"/>
                <w:bCs w:val="1"/>
                <w:color w:val="auto"/>
              </w:rPr>
              <w:t>CMN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Paid in</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interest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200" w:type="dxa"/>
            <w:vAlign w:val="bottom"/>
            <w:tcBorders>
              <w:top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(61,358)</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2,061,671</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(804,382)</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1,195,374</w:t>
            </w:r>
          </w:p>
        </w:tc>
        <w:tc>
          <w:tcPr>
            <w:tcW w:w="0" w:type="dxa"/>
            <w:vAlign w:val="bottom"/>
          </w:tcPr>
          <w:p>
            <w:pPr>
              <w:spacing w:after="0"/>
              <w:rPr>
                <w:sz w:val="1"/>
                <w:szCs w:val="1"/>
                <w:color w:val="auto"/>
              </w:rPr>
            </w:pPr>
          </w:p>
        </w:tc>
      </w:tr>
      <w:tr>
        <w:trPr>
          <w:trHeight w:val="17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Non-cash compensation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3,305</w:t>
            </w:r>
          </w:p>
        </w:tc>
        <w:tc>
          <w:tcPr>
            <w:tcW w:w="0" w:type="dxa"/>
            <w:vAlign w:val="bottom"/>
          </w:tcPr>
          <w:p>
            <w:pPr>
              <w:spacing w:after="0"/>
              <w:rPr>
                <w:sz w:val="1"/>
                <w:szCs w:val="1"/>
                <w:color w:val="auto"/>
              </w:rPr>
            </w:pPr>
          </w:p>
        </w:tc>
      </w:tr>
      <w:tr>
        <w:trPr>
          <w:trHeight w:val="136"/>
        </w:trPr>
        <w:tc>
          <w:tcPr>
            <w:tcW w:w="16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161,050 shares of</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3"/>
                <w:szCs w:val="13"/>
                <w:color w:val="auto"/>
              </w:rPr>
              <w:t>common stock through</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15,934</w:t>
            </w:r>
          </w:p>
        </w:tc>
        <w:tc>
          <w:tcPr>
            <w:tcW w:w="0" w:type="dxa"/>
            <w:vAlign w:val="bottom"/>
          </w:tcPr>
          <w:p>
            <w:pPr>
              <w:spacing w:after="0"/>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 awards</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Exercise of 10,595 shares 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 options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678</w:t>
            </w:r>
          </w:p>
        </w:tc>
        <w:tc>
          <w:tcPr>
            <w:tcW w:w="0" w:type="dxa"/>
            <w:vAlign w:val="bottom"/>
          </w:tcPr>
          <w:p>
            <w:pPr>
              <w:spacing w:after="0"/>
              <w:rPr>
                <w:sz w:val="1"/>
                <w:szCs w:val="1"/>
                <w:color w:val="auto"/>
              </w:rPr>
            </w:pPr>
          </w:p>
        </w:tc>
      </w:tr>
      <w:tr>
        <w:trPr>
          <w:trHeight w:val="138"/>
        </w:trPr>
        <w:tc>
          <w:tcPr>
            <w:tcW w:w="164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Issuance of 45,232 shares of</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3"/>
                <w:szCs w:val="13"/>
                <w:color w:val="auto"/>
              </w:rPr>
              <w:t>common stock through</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3,530</w:t>
            </w:r>
          </w:p>
        </w:tc>
        <w:tc>
          <w:tcPr>
            <w:tcW w:w="0" w:type="dxa"/>
            <w:vAlign w:val="bottom"/>
          </w:tcPr>
          <w:p>
            <w:pPr>
              <w:spacing w:after="0"/>
              <w:rPr>
                <w:sz w:val="1"/>
                <w:szCs w:val="1"/>
                <w:color w:val="auto"/>
              </w:rPr>
            </w:pPr>
          </w:p>
        </w:tc>
      </w:tr>
      <w:tr>
        <w:trPr>
          <w:trHeight w:val="175"/>
        </w:trPr>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employee purchase plan</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Purchase of 56,808 shares 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treasury stock</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(5,946)</w:t>
            </w:r>
          </w:p>
        </w:tc>
        <w:tc>
          <w:tcPr>
            <w:tcW w:w="0" w:type="dxa"/>
            <w:vAlign w:val="bottom"/>
          </w:tcPr>
          <w:p>
            <w:pPr>
              <w:spacing w:after="0"/>
              <w:rPr>
                <w:sz w:val="1"/>
                <w:szCs w:val="1"/>
                <w:color w:val="auto"/>
              </w:rPr>
            </w:pPr>
          </w:p>
        </w:tc>
      </w:tr>
      <w:tr>
        <w:trPr>
          <w:trHeight w:val="18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76,041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76,198</w:t>
            </w:r>
          </w:p>
        </w:tc>
        <w:tc>
          <w:tcPr>
            <w:tcW w:w="0" w:type="dxa"/>
            <w:vAlign w:val="bottom"/>
          </w:tcPr>
          <w:p>
            <w:pPr>
              <w:spacing w:after="0"/>
              <w:rPr>
                <w:sz w:val="1"/>
                <w:szCs w:val="1"/>
                <w:color w:val="auto"/>
              </w:rPr>
            </w:pPr>
          </w:p>
        </w:tc>
      </w:tr>
      <w:tr>
        <w:trPr>
          <w:trHeight w:val="181"/>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Reallocation of capital</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130"/>
        </w:trPr>
        <w:tc>
          <w:tcPr>
            <w:tcW w:w="16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Dividends ($1.25 per common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156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share) and other</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(127,460)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(214)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(127,674)</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6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Dividends ($15.95 per</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preferred share)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63"/>
        </w:trPr>
        <w:tc>
          <w:tcPr>
            <w:tcW w:w="16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March 31, 2023</w:t>
            </w:r>
          </w:p>
        </w:tc>
        <w:tc>
          <w:tcPr>
            <w:tcW w:w="200" w:type="dxa"/>
            <w:vAlign w:val="bottom"/>
            <w:tcBorders>
              <w:top w:val="single" w:sz="8" w:color="auto"/>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2,084,102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(855,892)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1,160,687</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84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4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78,499</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76,198</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73,125</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8,040</w:t>
            </w:r>
          </w:p>
        </w:tc>
        <w:tc>
          <w:tcPr>
            <w:tcW w:w="0" w:type="dxa"/>
            <w:vAlign w:val="bottom"/>
          </w:tcPr>
          <w:p>
            <w:pPr>
              <w:spacing w:after="0"/>
              <w:rPr>
                <w:sz w:val="1"/>
                <w:szCs w:val="1"/>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Gain on disposition of assets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0" w:type="dxa"/>
            <w:vAlign w:val="bottom"/>
          </w:tcPr>
          <w:p>
            <w:pPr>
              <w:spacing w:after="0"/>
              <w:rPr>
                <w:sz w:val="1"/>
                <w:szCs w:val="1"/>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Equity in loss (earnings) of investee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Deferred tax expense (benefit)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0" w:type="dxa"/>
            <w:vAlign w:val="bottom"/>
          </w:tcPr>
          <w:p>
            <w:pPr>
              <w:spacing w:after="0"/>
              <w:rPr>
                <w:sz w:val="1"/>
                <w:szCs w:val="1"/>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Decrease (increase) in:</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Receivables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24,208</w:t>
            </w:r>
          </w:p>
        </w:tc>
        <w:tc>
          <w:tcPr>
            <w:tcW w:w="0" w:type="dxa"/>
            <w:vAlign w:val="bottom"/>
          </w:tcPr>
          <w:p>
            <w:pPr>
              <w:spacing w:after="0"/>
              <w:rPr>
                <w:sz w:val="1"/>
                <w:szCs w:val="1"/>
                <w:color w:val="auto"/>
              </w:rPr>
            </w:pPr>
          </w:p>
        </w:tc>
      </w:tr>
      <w:tr>
        <w:trPr>
          <w:trHeight w:val="170"/>
        </w:trPr>
        <w:tc>
          <w:tcPr>
            <w:tcW w:w="844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Prepaid expenses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(10,833)</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(7,523)</w:t>
            </w:r>
          </w:p>
        </w:tc>
        <w:tc>
          <w:tcPr>
            <w:tcW w:w="0" w:type="dxa"/>
            <w:vAlign w:val="bottom"/>
          </w:tcPr>
          <w:p>
            <w:pPr>
              <w:spacing w:after="0"/>
              <w:rPr>
                <w:sz w:val="1"/>
                <w:szCs w:val="1"/>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Trade accounts payable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w:t>
            </w:r>
          </w:p>
        </w:tc>
        <w:tc>
          <w:tcPr>
            <w:tcW w:w="0" w:type="dxa"/>
            <w:vAlign w:val="bottom"/>
          </w:tcPr>
          <w:p>
            <w:pPr>
              <w:spacing w:after="0"/>
              <w:rPr>
                <w:sz w:val="1"/>
                <w:szCs w:val="1"/>
                <w:color w:val="auto"/>
              </w:rPr>
            </w:pPr>
          </w:p>
        </w:tc>
      </w:tr>
      <w:tr>
        <w:trPr>
          <w:trHeight w:val="170"/>
        </w:trPr>
        <w:tc>
          <w:tcPr>
            <w:tcW w:w="844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Accrued expenses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(24,010)</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(40,801)</w:t>
            </w:r>
          </w:p>
        </w:tc>
        <w:tc>
          <w:tcPr>
            <w:tcW w:w="0" w:type="dxa"/>
            <w:vAlign w:val="bottom"/>
          </w:tcPr>
          <w:p>
            <w:pPr>
              <w:spacing w:after="0"/>
              <w:rPr>
                <w:sz w:val="1"/>
                <w:szCs w:val="1"/>
                <w:color w:val="auto"/>
              </w:rPr>
            </w:pPr>
          </w:p>
        </w:tc>
      </w:tr>
      <w:tr>
        <w:trPr>
          <w:trHeight w:val="170"/>
        </w:trPr>
        <w:tc>
          <w:tcPr>
            <w:tcW w:w="84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3"/>
                <w:szCs w:val="13"/>
                <w:color w:val="auto"/>
              </w:rPr>
              <w:t>Other liabilities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13,198</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110,562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108,712</w:t>
            </w:r>
          </w:p>
        </w:tc>
        <w:tc>
          <w:tcPr>
            <w:tcW w:w="0" w:type="dxa"/>
            <w:vAlign w:val="bottom"/>
          </w:tcPr>
          <w:p>
            <w:pPr>
              <w:spacing w:after="0"/>
              <w:rPr>
                <w:sz w:val="1"/>
                <w:szCs w:val="1"/>
                <w:color w:val="auto"/>
              </w:rPr>
            </w:pPr>
          </w:p>
        </w:tc>
      </w:tr>
      <w:tr>
        <w:trPr>
          <w:trHeight w:val="150"/>
        </w:trPr>
        <w:tc>
          <w:tcPr>
            <w:tcW w:w="84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Acquisitions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(13,627)</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Capital expenditures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(42,285)</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disposition of assets and investments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3,248</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11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(45,016)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(52,664)</w:t>
            </w:r>
          </w:p>
        </w:tc>
        <w:tc>
          <w:tcPr>
            <w:tcW w:w="0" w:type="dxa"/>
            <w:vAlign w:val="bottom"/>
          </w:tcPr>
          <w:p>
            <w:pPr>
              <w:spacing w:after="0"/>
              <w:rPr>
                <w:sz w:val="1"/>
                <w:szCs w:val="1"/>
                <w:color w:val="auto"/>
              </w:rPr>
            </w:pPr>
          </w:p>
        </w:tc>
      </w:tr>
      <w:tr>
        <w:trPr>
          <w:trHeight w:val="161"/>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used for purchase of treasury stock</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(5,947)</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proceeds from issuance of common stock</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4,208</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9,800</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Debt issuance costs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7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Dividends/distributions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(133,119)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(127,551)</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(73,626)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(75,155)</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(19,097)</w:t>
            </w:r>
          </w:p>
        </w:tc>
        <w:tc>
          <w:tcPr>
            <w:tcW w:w="0" w:type="dxa"/>
            <w:vAlign w:val="bottom"/>
          </w:tcPr>
          <w:p>
            <w:pPr>
              <w:spacing w:after="0"/>
              <w:rPr>
                <w:sz w:val="1"/>
                <w:szCs w:val="1"/>
                <w:color w:val="auto"/>
              </w:rPr>
            </w:pPr>
          </w:p>
        </w:tc>
      </w:tr>
      <w:tr>
        <w:trPr>
          <w:trHeight w:val="170"/>
        </w:trPr>
        <w:tc>
          <w:tcPr>
            <w:tcW w:w="8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44,605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52,619</w:t>
            </w:r>
          </w:p>
        </w:tc>
        <w:tc>
          <w:tcPr>
            <w:tcW w:w="0" w:type="dxa"/>
            <w:vAlign w:val="bottom"/>
          </w:tcPr>
          <w:p>
            <w:pPr>
              <w:spacing w:after="0"/>
              <w:rPr>
                <w:sz w:val="1"/>
                <w:szCs w:val="1"/>
                <w:color w:val="auto"/>
              </w:rPr>
            </w:pPr>
          </w:p>
        </w:tc>
      </w:tr>
      <w:tr>
        <w:trPr>
          <w:trHeight w:val="200"/>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33,522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4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8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paid for interest</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42,520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foreign, state and federal income taxes</w:t>
            </w: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2023 Combined Form 10-K. Subsequent events, if any, are evaluated through the date on which the financial statements are issued.</w:t>
      </w:r>
    </w:p>
    <w:p>
      <w:pPr>
        <w:spacing w:after="0" w:line="29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Advertising revenues</w:t>
      </w:r>
      <w:r>
        <w:rPr>
          <w:rFonts w:ascii="Times New Roman" w:cs="Times New Roman" w:eastAsia="Times New Roman" w:hAnsi="Times New Roman"/>
          <w:sz w:val="18"/>
          <w:szCs w:val="18"/>
          <w:color w:val="auto"/>
        </w:rPr>
        <w:t>: The majority of our revenues are derived from contracts for advertising space on billboard, logo and transit displays. Contracts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 copy.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for production contracts is recognized under ASC 606. Contract revenues for production services are recognized upon satisfaction of the contract which is typically less than one week.</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allocate revenue to each performance obligation based on the relative standalone selling price. We determine standalone selling prices based on the prices charged to customers using expected cost plus margin.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months ended March 31, 2024 and 2023.</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439,385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417,175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20,310</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38,023</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33,847</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498,150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471,332</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and 2023, we had operating lease costs of $79,252 and $79,446, respectively, and variable lease costs of $13,442 and $12,374, respectively. These operating lease costs are recorded in direct advertising expenses (exclusive of depreciation and amortization). For the three months ended March 31, 2024 and 2023, we recorded a loss of $8 and $145, respectively, in gain on disposition of assets related to the amendment and termination of lease agreements. Cash payments of $137,917 and $117,332 were made reducing our operating lease liabilities for the three months ended March 31, 2024 and 2023, respectively, and are included in cash flows provided by operating activities in the Condensed Consolidated Statements of Cash Flows.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$2,527 and $2,411 in direct advertising expenses (exclusive of depreciation and amortization) for these agreements during the three months ended March 31, 2024 and 2023, respectively.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12.7 years. The weighted-average discount rate of our operating leases is 5.1%. Also, during the periods ended March 31, 2024 and 2023, we obtained $2,424 and $4,942, respectively, of leased assets in exchange for new operating lease liabilities, which includes liabilities obtained through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March 31, 2024:</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2"/>
        </w:trPr>
        <w:tc>
          <w:tcPr>
            <w:tcW w:w="9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156,243</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200,354</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172,599</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149,277</w:t>
            </w:r>
          </w:p>
        </w:tc>
      </w:t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126,426</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922,664</w:t>
            </w: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1,727,563</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(486,550)</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1,241,013</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and 2023, $713 of amortization expense for each period and $120 and $130 of interest expense relating to our financing lease liabilities were recorded in depreciation and amortization and interest expense, respectively, in the Condensed Consolidated Statements of Income and Comprehensive Income. Cash payments of $333 were made reducing our financing lease liabilities for each of the three months ended March 31, 2024 and 2023, and are included in cash flows used in financing activities in the Condensed Consolidated Statements of Cash Flows. Our financing leases have a weighted-average remaining lease term of 3.7 years and a weighted-average discount rate of 3.1%.</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March 31, 2024 and 2023, non-lease variable transit payments were $23,563 and $20,318, respectively. These transit expenses are recorded in direct advertising expenses (exclusive of depreciation and amortization) on the Condensed Consolidated Statements of Income and Comprehensive Income.</w:t>
      </w:r>
    </w:p>
    <w:p>
      <w:pPr>
        <w:spacing w:after="0" w:line="293"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Stock-Based Compensation</w:t>
      </w:r>
    </w:p>
    <w:p>
      <w:pPr>
        <w:spacing w:after="0" w:line="11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 Advertising’s 1996 Equity Incentive Plan, as amended, (the “Incentive Plan”) has reserved 17.5 million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for issuance to directors and employees, including shares underlying granted options and common stock reserved for issuance under its performance-based incentive program. Options granted under the plan expire</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ten years from the grant date with vesting terms ranging from three to five years and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had no granted options of its Class A common stock during the three months ended March 31, 2024. At March 31, 2024 a total of 1,514,026 shares were available for future grant.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Class A common stock available under the 2019 ESPP was automatically increased by 87,645 shares on January 1, 2024 pursuant to the automatic increase provisions of the 2019 ESPP.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three months ended March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3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88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242,292</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87,645</w:t>
            </w:r>
          </w:p>
        </w:tc>
      </w:tr>
      <w:tr>
        <w:trPr>
          <w:trHeight w:val="229"/>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(40,322)</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March 31, 2024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289,615</w:t>
            </w:r>
          </w:p>
        </w:tc>
      </w:tr>
      <w:tr>
        <w:trPr>
          <w:trHeight w:val="20"/>
        </w:trPr>
        <w:tc>
          <w:tcPr>
            <w:tcW w:w="9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 the Incentive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to be issued, if any, are generally dependent on the level of achievement of performance measures for key officers and employees, as determined by the Company’s Compensation Committee based on our 2024 results. Any shares issued based on the achievement of performance goals will be issued in the first quarter of 2025. The shares subject to these awards can range from a minimum of 0% to a maximum of 120% of the target number of shares depending on the level at which the goals are attained. Under the Incentive Plan, the Company's Compensation Committee may also award additional shares in its discretion based on other factors, which awards, if any, for 2025, will also be issued in the first quarter of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Company recorded $9,925 and $4,590, respectively, as stock-based compensation expense.</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LTIP Units</w:t>
      </w:r>
      <w:r>
        <w:rPr>
          <w:rFonts w:ascii="Times New Roman" w:cs="Times New Roman" w:eastAsia="Times New Roman" w:hAnsi="Times New Roman"/>
          <w:sz w:val="18"/>
          <w:szCs w:val="18"/>
          <w:color w:val="auto"/>
        </w:rPr>
        <w:t>. In addition to stock compensation, the Company may issue LTIP Units of Lamar Advertising Limited Partnership (the "OP"),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certain officers, employees and directors under the Incentive Plan of the Company. Such LTIP Units are subject to vesting and forfeiture conditions based on performance criteria approved by the Compensation Committee. The Compensation Committee may also make discretionary grants of LTIP Units based on other factors.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 of twelve months, or may be paid out in cash at the option of the general partner of the OP. As of March 31, 2024, the OP has a total of 260,800 LTIP Units issued and outstanding to the Company’s executive officers, of which 140,800 LTIP units have vested. For the three months ended March 31, 2024 and 2023, the Company recorded $3,062 and $1,891, respectively, as stock-based compensation expense related to these LTIP Units.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or re-election. The awards vest 50% on grant date and 50% on the last day of the directors' one year term. For the three months ended March 31, 2024 and 2023, the Company recorded $137 and $101, respectively, in stock-based compensation expense related to these awards.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Depreciation and Amortization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8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Borders>
              <w:bottom w:val="single" w:sz="8" w:color="CFF0FC"/>
            </w:tcBorders>
          </w:tcPr>
          <w:p>
            <w:pPr>
              <w:spacing w:after="0"/>
              <w:rPr>
                <w:sz w:val="18"/>
                <w:szCs w:val="18"/>
                <w:color w:val="auto"/>
              </w:rPr>
            </w:pPr>
          </w:p>
        </w:tc>
        <w:tc>
          <w:tcPr>
            <w:tcW w:w="27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68,316</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1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73,125</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6. Goodwill and Other Intangible Assets</w:t>
            </w: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92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is a summary of intangible assets at March 31, 2024 and December 31, 2023: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24"/>
                <w:szCs w:val="24"/>
                <w:color w:val="auto"/>
              </w:rPr>
            </w:pPr>
          </w:p>
        </w:tc>
        <w:tc>
          <w:tcPr>
            <w:tcW w:w="27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24"/>
                <w:szCs w:val="24"/>
                <w:color w:val="auto"/>
              </w:rPr>
            </w:pPr>
          </w:p>
        </w:tc>
        <w:tc>
          <w:tcPr>
            <w:tcW w:w="260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60" w:type="dxa"/>
            <w:vAlign w:val="bottom"/>
            <w:gridSpan w:val="3"/>
          </w:tcPr>
          <w:p>
            <w:pPr>
              <w:jc w:val="center"/>
              <w:ind w:right="150"/>
              <w:spacing w:after="0" w:line="15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3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center"/>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5"/>
        </w:trPr>
        <w:tc>
          <w:tcPr>
            <w:tcW w:w="292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2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640,635</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28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66,455</w:t>
            </w:r>
          </w:p>
        </w:tc>
        <w:tc>
          <w:tcPr>
            <w:tcW w:w="0" w:type="dxa"/>
            <w:vAlign w:val="bottom"/>
          </w:tcPr>
          <w:p>
            <w:pPr>
              <w:spacing w:after="0"/>
              <w:rPr>
                <w:sz w:val="1"/>
                <w:szCs w:val="1"/>
                <w:color w:val="auto"/>
              </w:rPr>
            </w:pPr>
          </w:p>
        </w:tc>
      </w:tr>
      <w:tr>
        <w:trPr>
          <w:trHeight w:val="230"/>
        </w:trPr>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Site locations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2,968,419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1,918,650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1,891,078</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2—15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41,416</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3,824,149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2,674,068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3,811,018</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2,639,584</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2,288,756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Retirement Obligations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397,991</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settled</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396,539</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March 31, 2024 and December 31, 2023, Lamar Media was permitted under the terms of its outstanding notes to make transfers to Lamar Advertising in the form of cash dividends, loans or advances in amounts up to $4,459,349 and $4,438,406,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Lamar Media’s senior credit facility allows it to make transfers to Lamar Advertising in any taxable year up to the amount of Lamar Advertising’s taxable income (without any deduction for dividends paid). In addition, as of</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March 31, 2024,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March 31, 2024 and December 31, 2023, the total debt ratio was less than 7.0 to 1 and Lamar Media’s secured debt ratio was less than 4.5 to 1, and the available cumulative credit was $3,209,829 and $3,188,886, respectively.</w:t>
      </w:r>
    </w:p>
    <w:p>
      <w:pPr>
        <w:spacing w:after="0" w:line="288"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and LTIP units. There were no dilutive shares excluded from this calculation resulting from their anti-dilutive effect for the three months ended March 31, 2024 or 2023.</w:t>
      </w:r>
    </w:p>
    <w:p>
      <w:pPr>
        <w:spacing w:after="0" w:line="284"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at March 31, 2024 and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6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Senior Notes</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 Senior Notes</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 Senior Notes</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3,429,055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2,842,953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2,815,573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8"/>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6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 Senior Notes</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 Senior Notes</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 Senior Notes</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2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3,370,372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6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3,119,974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(the “senior credit facility”), consists of (i) a $750,000 senior secured revolving credit facility which will mature on July 31, 2028, subject to certain conditions (see description of Amendment No. 4 below) (the “revolving credit facility”), (ii) a $600,000 senior secured Term B loan facility (the “Term B loans”) which will mature on February 6, 2027, (iii) a $350,000 senior secured Term A loan facility (the "Term A loans") which will mature on February 6, 2025, and (iv)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Term Secured Overnight Financing Rate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will mature on February 6, 2025 with no required amortization payments prior to maturity and bear interest at rates based on Term SOFR ("Term SOFR Term A loans") or the Adjusted Base Rate ("Base Rate Term A loans"), at Lamar Media's option. Term SOFR Term A loans bear interest at a rate per annum equal to the Adjusted Term SOFR Rate plus 1.50% (or the Adjusted Term SOFR Rate plus 1.25% at any time the Total Debt Ratio is less than or equal to 3.25 to 1). Base Rate Term A loans bear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$350,000 in Term A loans on July 29, 2022. The entire amount of the Term A loans will be payable at maturity. Proceeds from the Term A loans were used to repay outstanding balances on the revolving credit facility and a portion of the outstanding balance on the Accounts Receivable Securitization Program.</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$750,000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$75,000 swingline as a sublimit of the revolving credit facility, which allows Lamar Media to borrow revolving loans on a same-day basis, in an aggregate outstanding principal amount of up to $75,000.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there were $143,000 in borrowings outstanding under the revolving credit facility. Availability under the revolving credit facility is reduced by the amount of any letters of credit outstanding. Lamar Media had $8,603 in letters of credit outstanding as of March 31, 2024 resulting in $598,397 of availability under its revolving credit facility. Revolving credit loans may be requested under the revolving credit facility at any time prior to its maturity.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and Lamar Media to:</w:t>
      </w:r>
    </w:p>
    <w:p>
      <w:pPr>
        <w:spacing w:after="0" w:line="45"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there was $235,700 outstanding aggregate borrowings under the Accounts Receivable Securitization Program. Lamar Media had no additional availability for borrowing under the Accounts Receivable Securitization Program as of March 31, 2024. The commitment fees based on the amount of unused commitments under the Accounts Receivable Securitization Program were immaterial during the three months ended March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Accounts Receivable Securitization Program will mature on July 21, 2025.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any time prior to February 15, 2025, Lamar Media may redeem some or all of the 4% Notes at a price equal to 100% of the aggregate principal amount, plus accrued and unpaid interest thereon and a make-whole premium. On or after February 15,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Lamar Media to repurchase up to $250,000 in outstanding senior or senior subordinated notes and other indebtedness outstanding from time to time under its Fourth Amended and Restated Credit Agreement. On February 23, 2023, the Board of Directors authorized the extension of the repurchase program through September 30, 2024. There were no repurchases under the program as of March 31, 2024.</w:t>
      </w:r>
    </w:p>
    <w:p>
      <w:pPr>
        <w:spacing w:after="0" w:line="288"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2024 and December 31, 2023,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$3,248,868 which does not exceed the carrying amount of $3,429,055 as of March 31, 2024. The majority of the fair value is determined using observed</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prices of publicly traded debt (level 1 in the fair value hierarchy) and the remaining is valued based on quoted prices for similar debt (level 2 in the fair value hierarchy).</w:t>
      </w:r>
    </w:p>
    <w:p>
      <w:pPr>
        <w:spacing w:after="0" w:line="270" w:lineRule="exact"/>
        <w:rPr>
          <w:sz w:val="20"/>
          <w:szCs w:val="20"/>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Pronouncements</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companies to disclose disaggregated information related to the effective tax rate reconciliation and income taxes paid. This guidance is effective for public entities as of December 15, 2024. We do not anticipate the adoption of this guidance will have a material impact on the Company's consolidated financial statements.</w:t>
      </w:r>
    </w:p>
    <w:p>
      <w:pPr>
        <w:spacing w:after="0" w:line="283"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Dividends/Distributions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declared and paid cash distributions in an aggregate amount of $133,028 or $1.30 per share and $127,460 or $1.25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months ended March 31, 2024 and 2023, the Company paid cash dividend distributions to holders of its Series AA Preferred Stock in an aggregate amount of $91 or $15.95 per share for each period.</w:t>
      </w:r>
    </w:p>
    <w:p>
      <w:pPr>
        <w:spacing w:after="0" w:line="296"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about Geographic Areas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$7,704 and $6,076 for the three months ended March 31, 2024 and 2023, respectively. Net carrying value of long-lived assets located in foreign countries totaled $13,065 and $13,930 as of March 31, 2024 and December 31, 2023, respectively. All other revenues from external customers and long-lived assets relate to domestic operations.</w:t>
      </w:r>
    </w:p>
    <w:p>
      <w:pPr>
        <w:spacing w:after="0" w:line="284"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 Equity</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June 21, 2021, the Company entered into an equity distribution agreement (the "2021 Sales Agreement") with J.P. Morgan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2021 Sales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no shares of our Class A common stock have been sold under the 2021 Sales Agreement and accordingly $400,000 remained available to be sold under the 2021 Sales Agreement as of March 31, 2024.</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June 21, 2021, the Company filed an automatically effective shelf registration statement that allows Lamar Advertising to offer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an indeterminate amount of additional shares of its Class A common stock. During the three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March 31, 2024 and the year ended December 31, 2023, the Company did not issue any shares under this shelf registration.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On March 16, 2020, the Company’s Board of Directors authorized the repurchase of up to $250,000 of the Company’s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On February 23, 2023, the Board of Directors authorized the extension of the repurchase program through September 30, 2024. There were no repurchases under the program as of March 31,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44,105</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$11,952 and $12,477 in 2024 and 2023, respectively</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301,189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27,392</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375,576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372,686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4,289,440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4,274,831</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(2,731,409)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(2,708,361)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1,558,031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1,566,470</w:t>
            </w:r>
          </w:p>
        </w:tc>
        <w:tc>
          <w:tcPr>
            <w:tcW w:w="0" w:type="dxa"/>
            <w:vAlign w:val="bottom"/>
          </w:tcPr>
          <w:p>
            <w:pPr>
              <w:spacing w:after="0"/>
              <w:rPr>
                <w:sz w:val="1"/>
                <w:szCs w:val="1"/>
                <w:color w:val="auto"/>
              </w:rPr>
            </w:pP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1,302,629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1,315,433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11,184</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2,025,068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2,025,119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1,149,613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1,170,967</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85,021</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6,508,325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6,546,880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$339 and $380 in 2024 and 2023, respectively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250,018</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210,568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97,464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126,547</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982,652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704,166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$27,380 and $28,865 in 2024 and 2023, respectively</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2,815,573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3,091,109</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1,075,285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14,614</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397,991</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5,331,471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5,337,103</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2024 and 2023</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3,200,451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3,173,789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(2,024,005)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(1,963,998)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1,176,854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1,209,777</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6,508,325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6,546,880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471,332</w:t>
            </w: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168,432</w:t>
            </w:r>
          </w:p>
        </w:tc>
      </w:tr>
      <w:tr>
        <w:trPr>
          <w:trHeight w:val="229"/>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85,135</w:t>
            </w:r>
          </w:p>
        </w:tc>
      </w:tr>
      <w:tr>
        <w:trPr>
          <w:trHeight w:val="229"/>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28,391</w:t>
            </w:r>
          </w:p>
        </w:tc>
      </w:tr>
      <w:tr>
        <w:trPr>
          <w:trHeight w:val="230"/>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73,125</w:t>
            </w:r>
          </w:p>
        </w:tc>
      </w:tr>
      <w:tr>
        <w:trPr>
          <w:trHeight w:val="229"/>
        </w:trPr>
        <w:tc>
          <w:tcPr>
            <w:tcW w:w="8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23"/>
        </w:trPr>
        <w:tc>
          <w:tcPr>
            <w:tcW w:w="8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352,395</w:t>
            </w: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118,937</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41,444</w:t>
            </w: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84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40,805</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76,332</w:t>
            </w:r>
          </w:p>
        </w:tc>
      </w:tr>
      <w:tr>
        <w:trPr>
          <w:trHeight w:val="229"/>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980" w:type="dxa"/>
            <w:vAlign w:val="bottom"/>
            <w:vMerge w:val="restart"/>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98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Reallocation of capital</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(138,848)</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1,176,854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2860" w:type="dxa"/>
            <w:vAlign w:val="bottom"/>
          </w:tcPr>
          <w:p>
            <w:pPr>
              <w:spacing w:after="0"/>
              <w:rPr>
                <w:sz w:val="24"/>
                <w:szCs w:val="24"/>
                <w:color w:val="auto"/>
              </w:rPr>
            </w:pPr>
          </w:p>
        </w:tc>
        <w:tc>
          <w:tcPr>
            <w:tcW w:w="980" w:type="dxa"/>
            <w:vAlign w:val="bottom"/>
            <w:vMerge w:val="restart"/>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98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3,132,178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Reallocation of capital</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76,334</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(133,620)</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1,153,041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84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78,637</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76,334</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73,125</w:t>
            </w: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Non-cash compensation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8,040</w:t>
            </w: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w:t>
            </w: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Gain on disposition of assets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(2,688)</w:t>
            </w: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Equity in loss (earnings) of investee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r>
      <w:tr>
        <w:trPr>
          <w:trHeight w:val="181"/>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Deferred tax expense (benefit)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w:t>
            </w: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84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Decrease (increase) in:</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Receivables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24,208</w:t>
            </w:r>
          </w:p>
        </w:tc>
      </w:tr>
      <w:tr>
        <w:trPr>
          <w:trHeight w:val="170"/>
        </w:trPr>
        <w:tc>
          <w:tcPr>
            <w:tcW w:w="84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Prepaid expenses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(10,833)</w:t>
            </w:r>
          </w:p>
        </w:tc>
      </w:tr>
      <w:tr>
        <w:trPr>
          <w:trHeight w:val="181"/>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(7,523)</w:t>
            </w:r>
          </w:p>
        </w:tc>
      </w:tr>
      <w:tr>
        <w:trPr>
          <w:trHeight w:val="170"/>
        </w:trPr>
        <w:tc>
          <w:tcPr>
            <w:tcW w:w="844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Trade accounts payable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w:t>
            </w:r>
          </w:p>
        </w:tc>
      </w:tr>
      <w:tr>
        <w:trPr>
          <w:trHeight w:val="170"/>
        </w:trPr>
        <w:tc>
          <w:tcPr>
            <w:tcW w:w="844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Accrued expenses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(24,010)</w:t>
            </w:r>
          </w:p>
        </w:tc>
      </w:tr>
      <w:tr>
        <w:trPr>
          <w:trHeight w:val="181"/>
        </w:trPr>
        <w:tc>
          <w:tcPr>
            <w:tcW w:w="8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(40,801)</w:t>
            </w:r>
          </w:p>
        </w:tc>
      </w:tr>
      <w:tr>
        <w:trPr>
          <w:trHeight w:val="170"/>
        </w:trPr>
        <w:tc>
          <w:tcPr>
            <w:tcW w:w="84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3"/>
                <w:szCs w:val="13"/>
                <w:color w:val="auto"/>
              </w:rPr>
              <w:t>Other liabilities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(16,145)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(6,269)</w:t>
            </w:r>
          </w:p>
        </w:tc>
      </w:tr>
      <w:tr>
        <w:trPr>
          <w:trHeight w:val="175"/>
        </w:trPr>
        <w:tc>
          <w:tcPr>
            <w:tcW w:w="8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89,858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89,381</w:t>
            </w:r>
          </w:p>
        </w:tc>
      </w:tr>
      <w:tr>
        <w:trPr>
          <w:trHeight w:val="150"/>
        </w:trPr>
        <w:tc>
          <w:tcPr>
            <w:tcW w:w="84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Acquisitions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(13,627)</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Capital expenditures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(42,285)</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from disposition of assets and investments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3,248</w:t>
            </w:r>
          </w:p>
        </w:tc>
      </w:tr>
      <w:tr>
        <w:trPr>
          <w:trHeight w:val="163"/>
        </w:trPr>
        <w:tc>
          <w:tcPr>
            <w:tcW w:w="8440" w:type="dxa"/>
            <w:vAlign w:val="bottom"/>
            <w:tcBorders>
              <w:bottom w:val="single" w:sz="8" w:color="CCEEFF"/>
            </w:tcBorders>
          </w:tcPr>
          <w:p>
            <w:pPr>
              <w:spacing w:after="0" w:line="144"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(45,016)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(52,664)</w:t>
            </w:r>
          </w:p>
        </w:tc>
      </w:tr>
      <w:tr>
        <w:trPr>
          <w:trHeight w:val="161"/>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9,800</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Debt issuance costs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Contributions from parent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23,447</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Dividend to parent</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(138,369)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(133,406)</w:t>
            </w:r>
          </w:p>
        </w:tc>
      </w:tr>
      <w:tr>
        <w:trPr>
          <w:trHeight w:val="163"/>
        </w:trPr>
        <w:tc>
          <w:tcPr>
            <w:tcW w:w="8440" w:type="dxa"/>
            <w:vAlign w:val="bottom"/>
            <w:tcBorders>
              <w:bottom w:val="single" w:sz="8" w:color="CCEEFF"/>
            </w:tcBorders>
          </w:tcPr>
          <w:p>
            <w:pPr>
              <w:ind w:left="980"/>
              <w:spacing w:after="0" w:line="144"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(55,824)</w:t>
            </w:r>
          </w:p>
        </w:tc>
      </w:tr>
      <w:tr>
        <w:trPr>
          <w:trHeight w:val="175"/>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3"/>
        </w:trPr>
        <w:tc>
          <w:tcPr>
            <w:tcW w:w="8440" w:type="dxa"/>
            <w:vAlign w:val="bottom"/>
          </w:tcPr>
          <w:p>
            <w:pPr>
              <w:ind w:left="980"/>
              <w:spacing w:after="0" w:line="144" w:lineRule="exact"/>
              <w:rPr>
                <w:sz w:val="20"/>
                <w:szCs w:val="20"/>
                <w:color w:val="auto"/>
              </w:rPr>
            </w:pPr>
            <w:r>
              <w:rPr>
                <w:rFonts w:ascii="Times New Roman" w:cs="Times New Roman" w:eastAsia="Times New Roman" w:hAnsi="Times New Roman"/>
                <w:sz w:val="13"/>
                <w:szCs w:val="13"/>
                <w:color w:val="auto"/>
              </w:rPr>
              <w:t>Net decrease in cash and cash equivalents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(19,097)</w:t>
            </w:r>
          </w:p>
        </w:tc>
      </w:tr>
      <w:tr>
        <w:trPr>
          <w:trHeight w:val="181"/>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52,119</w:t>
            </w:r>
          </w:p>
        </w:tc>
      </w:tr>
      <w:tr>
        <w:trPr>
          <w:trHeight w:val="163"/>
        </w:trPr>
        <w:tc>
          <w:tcPr>
            <w:tcW w:w="8440" w:type="dxa"/>
            <w:vAlign w:val="bottom"/>
          </w:tcPr>
          <w:p>
            <w:pPr>
              <w:ind w:left="200"/>
              <w:spacing w:after="0" w:line="144" w:lineRule="exact"/>
              <w:rPr>
                <w:sz w:val="20"/>
                <w:szCs w:val="20"/>
                <w:color w:val="auto"/>
              </w:rPr>
            </w:pPr>
            <w:r>
              <w:rPr>
                <w:rFonts w:ascii="Times New Roman" w:cs="Times New Roman" w:eastAsia="Times New Roman" w:hAnsi="Times New Roman"/>
                <w:sz w:val="13"/>
                <w:szCs w:val="13"/>
                <w:color w:val="auto"/>
              </w:rPr>
              <w:t>Cash and cash equivalents at end of period</w:t>
            </w: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35,905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33,022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8"/>
        </w:trPr>
        <w:tc>
          <w:tcPr>
            <w:tcW w:w="8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0"/>
        </w:trPr>
        <w:tc>
          <w:tcPr>
            <w:tcW w:w="8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w:t>
            </w: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42,520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39,430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4"/>
        </w:trPr>
        <w:tc>
          <w:tcPr>
            <w:tcW w:w="8440" w:type="dxa"/>
            <w:vAlign w:val="bottom"/>
            <w:tcBorders>
              <w:bottom w:val="single" w:sz="8" w:color="CCEEFF"/>
            </w:tcBorders>
            <w:shd w:val="clear" w:color="auto" w:fill="CCEEFF"/>
          </w:tcPr>
          <w:p>
            <w:pPr>
              <w:ind w:left="200"/>
              <w:spacing w:after="0" w:line="144" w:lineRule="exact"/>
              <w:rPr>
                <w:sz w:val="20"/>
                <w:szCs w:val="20"/>
                <w:color w:val="auto"/>
              </w:rPr>
            </w:pPr>
            <w:r>
              <w:rPr>
                <w:rFonts w:ascii="Times New Roman" w:cs="Times New Roman" w:eastAsia="Times New Roman" w:hAnsi="Times New Roman"/>
                <w:sz w:val="13"/>
                <w:szCs w:val="13"/>
                <w:color w:val="auto"/>
              </w:rPr>
              <w:t>Cash paid for foreign, state and federal income taxes</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31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2023 Combined Form 10-K.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10, 11, 12, 14 and 15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88"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March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3,157,772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3,174,681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4,619,892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(5,102,123)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4,647,556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6,359,722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(5,102,123)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383,531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344,507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254,614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(572,092)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3,471,930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1,811,129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5,331,471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4,548,593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4,647,556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6,359,722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(5,102,123)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December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Corp.</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0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309,906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372,686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1,566,470</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1,281,503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1,315,433</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3,196,086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4,596,516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349,680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249,662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96,205</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6,388,141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6,546,880</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210,568</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243,580</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387,408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271,533</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704,166</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3,089,874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1,075,285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285,929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424,532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343,253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(587,171)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466,543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3,421,028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1,863,505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639,741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(587,171)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5,337,103</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1,209,363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4,524,636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(4,512,482)</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6,388,141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6,546,880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498,150</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175,645</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89,161</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35,566</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362,143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373,412</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55"/>
        </w:trPr>
        <w:tc>
          <w:tcPr>
            <w:tcW w:w="42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controlling</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77,970</w:t>
            </w:r>
          </w:p>
        </w:tc>
        <w:tc>
          <w:tcPr>
            <w:tcW w:w="0" w:type="dxa"/>
            <w:vAlign w:val="bottom"/>
          </w:tcPr>
          <w:p>
            <w:pPr>
              <w:spacing w:after="0"/>
              <w:rPr>
                <w:sz w:val="1"/>
                <w:szCs w:val="1"/>
                <w:color w:val="auto"/>
              </w:rPr>
            </w:pPr>
          </w:p>
        </w:tc>
      </w:tr>
      <w:tr>
        <w:trPr>
          <w:trHeight w:val="236"/>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471,332</w:t>
            </w: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Direct advertising expenses</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168,432</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7"/>
                <w:szCs w:val="17"/>
                <w:color w:val="auto"/>
              </w:rPr>
              <w:t>Corporate expenses</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28,391</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341,808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352,395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121,319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Income tax expense</w:t>
            </w:r>
            <w:r>
              <w:rPr>
                <w:rFonts w:ascii="Times New Roman" w:cs="Times New Roman" w:eastAsia="Times New Roman" w:hAnsi="Times New Roman"/>
                <w:sz w:val="26"/>
                <w:szCs w:val="26"/>
                <w:color w:val="auto"/>
                <w:vertAlign w:val="superscript"/>
              </w:rPr>
              <w:t>(2)</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119,612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119,592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shd w:val="clear" w:color="auto" w:fill="CCEEFF"/>
          </w:tcPr>
          <w:p>
            <w:pPr>
              <w:ind w:left="720"/>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119,612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55"/>
        </w:trPr>
        <w:tc>
          <w:tcPr>
            <w:tcW w:w="4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controlling</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76,177</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119,592</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(114,235)</w:t>
            </w:r>
          </w:p>
        </w:tc>
        <w:tc>
          <w:tcPr>
            <w:tcW w:w="12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76,175</w:t>
            </w:r>
          </w:p>
        </w:tc>
        <w:tc>
          <w:tcPr>
            <w:tcW w:w="0" w:type="dxa"/>
            <w:vAlign w:val="bottom"/>
          </w:tcPr>
          <w:p>
            <w:pPr>
              <w:spacing w:after="0"/>
              <w:rPr>
                <w:sz w:val="1"/>
                <w:szCs w:val="1"/>
                <w:color w:val="auto"/>
              </w:rPr>
            </w:pPr>
          </w:p>
        </w:tc>
      </w:tr>
      <w:tr>
        <w:trPr>
          <w:trHeight w:val="221"/>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Three Months Ended March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decrease in intercompany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Payment on accounts receivable securitization</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securitization program</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(97,182)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in cash and cash</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Three Months Ended March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decrease in intercompany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Payment on accounts receivable securitization</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securitization program</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proceeds (payments)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200" w:type="dxa"/>
            <w:vAlign w:val="bottom"/>
            <w:shd w:val="clear" w:color="auto" w:fill="CCEEFF"/>
          </w:tcPr>
          <w:p>
            <w:pPr>
              <w:ind w:left="280"/>
              <w:spacing w:after="0" w:line="156" w:lineRule="exact"/>
              <w:rPr>
                <w:sz w:val="20"/>
                <w:szCs w:val="20"/>
                <w:color w:val="auto"/>
              </w:rPr>
            </w:pPr>
            <w:r>
              <w:rPr>
                <w:rFonts w:ascii="Times New Roman" w:cs="Times New Roman" w:eastAsia="Times New Roman" w:hAnsi="Times New Roman"/>
                <w:sz w:val="18"/>
                <w:szCs w:val="18"/>
                <w:color w:val="auto"/>
              </w:rPr>
              <w:t>Effect of exchange rate changes in cash and cash</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2023 Combined Form 10-K filed on February 23, 2024, and as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months ended March 31, 2024 and 2023. This discussion should be read in conjunction with the condensed consolidated financial statements of the Company and the related notes thereto.</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 </w:t>
      </w:r>
      <w:r>
        <w:rPr>
          <w:rFonts w:ascii="Times New Roman" w:cs="Times New Roman" w:eastAsia="Times New Roman" w:hAnsi="Times New Roman"/>
          <w:sz w:val="18"/>
          <w:szCs w:val="18"/>
          <w:i w:val="1"/>
          <w:iCs w:val="1"/>
          <w:color w:val="auto"/>
        </w:rPr>
        <w:t>Sources of Cash</w:t>
      </w:r>
      <w:r>
        <w:rPr>
          <w:rFonts w:ascii="Times New Roman" w:cs="Times New Roman" w:eastAsia="Times New Roman" w:hAnsi="Times New Roman"/>
          <w:sz w:val="18"/>
          <w:szCs w:val="18"/>
          <w:color w:val="auto"/>
        </w:rPr>
        <w:t>” for more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2024, the Company completed multiple acquisitions for a total cash purchase price of approximately $18.3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 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months ended March 31, 2024 and 2023:</w:t>
      </w:r>
    </w:p>
    <w:p>
      <w:pPr>
        <w:spacing w:after="0" w:line="8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Billboard — traditional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 digital</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17,432</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equipment</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42,285</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w:t>
      </w:r>
    </w:p>
    <w:p>
      <w:pPr>
        <w:spacing w:after="0" w:line="27"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portion of tax expense (benefit); (v) non-real estate related depreciation and amortization; (vi) amortization of deferred financing costs;</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(viii) transaction expenses; (ix) non-recurring infrequent or unusual losses (gains); (x) less maintenance capital expenditures; and (xi) an adjustment for unconsolidated affiliates and non-controlling interest.</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w:t>
      </w:r>
    </w:p>
    <w:p>
      <w:pPr>
        <w:spacing w:after="0" w:line="5" w:lineRule="exact"/>
        <w:rPr>
          <w:sz w:val="20"/>
          <w:szCs w:val="20"/>
          <w:color w:val="auto"/>
        </w:rPr>
      </w:pPr>
    </w:p>
    <w:p>
      <w:pPr>
        <w:jc w:val="both"/>
        <w:ind w:firstLine="8"/>
        <w:spacing w:after="0" w:line="252" w:lineRule="auto"/>
        <w:tabs>
          <w:tab w:leader="none" w:pos="2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$26.8 million or 5.7% to $498.2 million for the three months ended March 31, 2024 from $471.3 million for the same period in 2023. This increase was primarily attributable to an increase in billboard net revenues of $22.2 million and an increase in transit net revenues of $4.2 million over the same period in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there was a $25.1 million increase in net revenues as compared to acquisition-adjusted net revenue for the three months ended March 31, 2023, which represents an increase of 5.3%. See "Reconciliations" below. The $25.1 million increase in revenue is primarily due to an increase of $19.6 million in billboard net revenues as well as an increase in transit net revenues of $5.1 million over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$18.4 million, or 6.5%, to $300.5 million for the three months ended March 31, 2024 from $282.1 million for the same period in 2023. The $18.4 million increase over the prior year is comprised of a $12.0 million increase in total direct, general and administrative and corporate expenses (excluding stock-based compensation) primarily related to the operations of our outdoor advertising assets, as well as a $6.4 million increase in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$2.1 million to $75.2 million for the three months ended March 31, 2024 as compared to $73.1 million for the same period in 2023, primarily related to acquisitions and capital expenditures completed during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recognized a gain on disposition of assets of $2.2 million primarily resulting from transactions related to the sale of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$5.8 million to $124.6 million for the three months ended March 31, 2024 as compared to $118.8 million for the same period in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$3.0 million for the three months ended March 31, 2024 to $44.5 million as compared to $41.4 million for the three months ended March 31, 2023 primarily due to the increase in interest rates on the Accounts Receivable Securitization Program and senior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loss (earnings) of investee was $0.6 million and $(0.2) million for the three months ended March 31, 2024 and 2023,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$2.0 million increase in net income before income taxes. The effective tax rate for the three months ended March 31, 2024 was 1.9%,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March 31, 2024 of $78.5 million, as compared to net income of $76.2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three months ended March 31, 2023 by adding to or subtracting from it the net revenue generated by the acquired or divested assets prior to our acquisition or divestiture of these assets for the same time frame that those assets were owned in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three months ended March 31, as well as a comparison of 2023 acquisition-adjusted net revenue to 2024 reported net revenue for the three months ended March 31,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6"/>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498,150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471,332</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498,150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473,026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7"/>
                <w:szCs w:val="17"/>
                <w:color w:val="auto"/>
              </w:rPr>
            </w:pP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7"/>
                <w:szCs w:val="17"/>
                <w:color w:val="auto"/>
              </w:rPr>
            </w:pP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March 31, 2024 increased 7.1% to $211.9 million. The increase in adjusted EBITDA was primarily attributable to an increase in our gross margin (net revenue less direct advertising expense, exclusive of depreciation and amortization and capitalized contract fulfillment costs, net) of $18.7 million, offset by an increase in total general and administrative and corporate expenses of $4.8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158,237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144,072</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1"/>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for the three months ended March 31, 2024 increased from $143.5 million in 2023 to $148.5 million for the same period in 2024, an increase of 3.5%. AFFO for the three months ended March 31, 2024 increased 9.8% to $158.2 million as compared to $144.1 million for the same period in 2023. The increase in AFFO was primarily attributable to an $18.7 million increase in our gross margin (net revenue less direct advertising expense, exclusive of depreciation and amortization and capitalized contract fulfillment costs, net), offset by a $4.8 million increase in total general and administrative and corporate expenses (excluding the effect of stock-based compensation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March 31, 2024 we had $634.8 million of total liquidity, which is comprised of $36.4 million in cash and cash equivalents and $598.4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a working capital deficit of $616.5 million and $340.7 million, respectively. The increase in working capital deficit of $275.8 million is primarily due to an increase in current maturities of long term debt.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Cash Generated by Operations</w:t>
      </w:r>
      <w:r>
        <w:rPr>
          <w:rFonts w:ascii="Times New Roman" w:cs="Times New Roman" w:eastAsia="Times New Roman" w:hAnsi="Times New Roman"/>
          <w:sz w:val="18"/>
          <w:szCs w:val="18"/>
          <w:color w:val="auto"/>
        </w:rPr>
        <w:t>. For the three months ended March 31, 2024 and 2023, our cash provided by operating activities was $110.6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$108.7 million, respectively. The increase in cash provided by operating activities for the three months ended March 31, 2024 over the same period in 2023 primarily relates to an increase in revenue of $26.8 million, offset by an increase in operating expenses (excluding stock-based compensation, gain on disposition of assets, and depreciation and amortization) of $12.0 million and an increase in interest expense of $3.0 million. We expect to generate cash flows from operations during 2024 in excess of our cash needs for operations, capital expenditures and dividends, as described herein. We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 we have sufficient liquidity available under our revolving credit facility to meet our operating cash needs for the next twelve months.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there was $235.7 million in outstanding aggregate borrowings under the Accounts Receivable Securitization Program. Lamar Media had no additional availability under the Accounts Receivable Securitization Program as of March 31, 2024. The Accounts Receivable Securitization Program will mature on July 21, 2025.</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June 21, 2021, the Company entered into an equity distribution agreement (the "2021 Sales Agreement"), with J.P.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March 31, 2024.</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Shelf Registration Statement</w:t>
      </w:r>
      <w:r>
        <w:rPr>
          <w:rFonts w:ascii="Times New Roman" w:cs="Times New Roman" w:eastAsia="Times New Roman" w:hAnsi="Times New Roman"/>
          <w:sz w:val="18"/>
          <w:szCs w:val="18"/>
          <w:b w:val="1"/>
          <w:bCs w:val="1"/>
          <w:color w:val="222222"/>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21, 2021, the Company filed a new automatically effective shelf registration statement that allows Lamar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offer and sell an indeterminate amount of additional shares of its Class A common stock. During the three months ended March 31, 2024 and the year ended December 31, 2023, the Company did not issue any shares under the shelf registration statement.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On February 6, 2020, Lamar Media entered into a Fourth Amended and Restated Credit Agreement (the “Fourth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(the “senior credit facility”), consists of (i) a $750.0 million senior secured revolving credit facility which will mature on July 31, 2028, subject to certain conditions (see description of Amendment No. 4 below) (the “revolving credit facility”), (ii) a $600.0 million senior secured Term B loan facility (the “Term B loans”) which will mature on February 6, 2027, (iii) a $350.0 million senior secured Term A loan facility (the "Term A loans") which will mature on February 6, 2025, and (iv) an incremental facility (the “Incremental Facility”) pursuant to which Lamar Media may incur additional term loan tranches or 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 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will mature on February 6, 2025 and bear interest based on Term SOFR ("Term SOFR Term A loans") or the Adjusted Base Rate ("Base Rate Term A loans"), at Lamar Media's option. Term SOFR Term A loans bear interest at a rate per annum equal to the Adjusted Term SOFR Rate plus 1.50% (or the Adjusted Term SOFR Rate plus 1.25% at any time the Total Debt Ratio is less than or equal to 3.25 to 1). Base Rate Term A loans bear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 million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 million swingline as a sublimit of the revolving credit facility, which allows Lamar Media to borrow revolving loans on a same-day basis, in an aggregate outstanding principal amount of up to $75.0 million.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aggregate balance outstanding under the senior credit facility was $1.09 billion, consisting of $600.0 million in Term B loans aggregate principal balance, $350.0 million in Term A loans aggregate principal balance and $143.0 million outstanding borrowings under our revolving credit facility. Lamar Media had approximately $598.4 million of unused capacity under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 conditions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where the Company conducts its business and overall spending on advertising by advertisers. We expect to generate cash flows from operations during 2024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facility, its outstanding debt securities and its Accounts Receivable Securitization Program.</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Media's outstanding Term A loans will mature on February 6, 2025. The Company expects to pay in full all outstanding Term A loans prior to their maturity date with cash on hand and availability under our revolving credit facility.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to incur indebtedness pursuant to the following baskets:</w:t>
      </w:r>
    </w:p>
    <w:p>
      <w:pPr>
        <w:spacing w:after="0" w:line="99"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 facility.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March 31, 2024 we were, and currently, we are, in compliance with all such tests under the senior credit facility.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Times New Roman" w:cs="Times New Roman" w:eastAsia="Times New Roman" w:hAnsi="Times New Roman"/>
          <w:sz w:val="18"/>
          <w:szCs w:val="18"/>
          <w:i w:val="1"/>
          <w:iCs w:val="1"/>
          <w:color w:val="auto"/>
        </w:rPr>
        <w:t>Sources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Cash – Accounts Receivable Securitization Program</w:t>
      </w:r>
      <w:r>
        <w:rPr>
          <w:rFonts w:ascii="Times New Roman" w:cs="Times New Roman" w:eastAsia="Times New Roman" w:hAnsi="Times New Roman"/>
          <w:sz w:val="18"/>
          <w:szCs w:val="18"/>
          <w:color w:val="auto"/>
        </w:rPr>
        <w:t>)) 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w:t>
      </w:r>
    </w:p>
    <w:p>
      <w:pPr>
        <w:jc w:val="both"/>
        <w:ind w:firstLine="8"/>
        <w:spacing w:after="0" w:line="251" w:lineRule="auto"/>
        <w:tabs>
          <w:tab w:leader="none" w:pos="2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will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us, and our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us or any of our restricted subsidiaries, and (b) the income (or 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$29.5 million for the three months ended March 31, 2024.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our 2024 total capital expenditures will be approximately $125.0 million.</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three months ended March 31, 2024, the Company completed acquisitions for an aggregate purchase price of approximately $18.3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which were financed using available cash on hand and borrowings on the senior credit facility.</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22, 2024, the Company's Board of Directors declared a quarterly cash dividend of $1.30 per share, paid on March 28, 2024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record of its Class A common stock and Class B common stock on March 15, 2024. Subject to approval of the Company's Board of Directors, the Company expects aggregate quarterly distributions to stockholders in 2024 will be at least $5.20 per share of common stock, including the dividend paid on March 28, 2024.</w:t>
      </w:r>
    </w:p>
    <w:p>
      <w:pPr>
        <w:spacing w:after="0" w:line="1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On March 16, 2020, the Company’s Board of Directors authorized the repurchase of up to $250.0 million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On February 23, 2023, the Board of Directors authorized the extension of the repurchase program through September 30, 2024. There were no repurchases under the program as of March 31, 2024. The Company’s management may opt not to make any repurchases under the program, or may make aggregate purchases less than the total amount authorized.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following March 31, 2024 and thereafter are comprised of contractual obligations, required annual distributions and other opportunistic expenditures.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required payments under operating and financing leases as of March 31, 2024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8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Debt maturities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2,815.6</w:t>
            </w:r>
          </w:p>
        </w:tc>
      </w:tr>
      <w:tr>
        <w:trPr>
          <w:trHeight w:val="229"/>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Interest obligations on long-term debt</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4,987.7</w:t>
            </w:r>
          </w:p>
        </w:tc>
      </w:tr>
      <w:tr>
        <w:trPr>
          <w:trHeight w:val="21"/>
        </w:trPr>
        <w:tc>
          <w:tcPr>
            <w:tcW w:w="8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w:t>
      </w:r>
    </w:p>
    <w:p>
      <w:pPr>
        <w:spacing w:after="0" w:line="26"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March 2024 levels.</w:t>
      </w:r>
    </w:p>
    <w:p>
      <w:pPr>
        <w:spacing w:after="0" w:line="200" w:lineRule="exact"/>
        <w:rPr>
          <w:sz w:val="20"/>
          <w:szCs w:val="20"/>
          <w:color w:val="auto"/>
        </w:rPr>
      </w:pP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Lamar Media's outstanding Term A loans will mature on February 6, 2025. The Company expects to pay in full all outstanding Term A loans prior to their maturity date with cash on hand and availability under our revolving credit facility.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Required Annual Distributions</w:t>
      </w:r>
      <w:r>
        <w:rPr>
          <w:rFonts w:ascii="Times New Roman" w:cs="Times New Roman" w:eastAsia="Times New Roman" w:hAnsi="Times New Roman"/>
          <w:sz w:val="18"/>
          <w:szCs w:val="18"/>
          <w:color w:val="auto"/>
        </w:rPr>
        <w:t>. As a REIT, the Company must annually distribute to its stockholders an amount equal to at least 90% of its REIT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(determined before the deduction for distributed earnings and excluding any net capital gain). On February 22, 2024, the Company's Board of Directors declared a quarterly cash dividend of $1.30 per share, paid on March 28, 2024 to its stockholders of record of its Class A common stock and Class B common stock on March 15, 2024. Subject to approval of the Company's Board of Directors, the Company expects aggregate quarterly distributions to stockholders in 2024 will be at least $5.20 per share of common stock, including the dividend paid on March 28,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Opportunistic Expenditures</w:t>
      </w:r>
      <w:r>
        <w:rPr>
          <w:rFonts w:ascii="Times New Roman" w:cs="Times New Roman" w:eastAsia="Times New Roman" w:hAnsi="Times New Roman"/>
          <w:sz w:val="18"/>
          <w:szCs w:val="18"/>
          <w:color w:val="auto"/>
        </w:rPr>
        <w:t>. As part of our capital allocation strategy, we plan to continue to allocate our available capital among investment alternatives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$1.9 million from $108.7 million for the three months ended March 31, 2023 to $110.6 million for the three months ended March 31, 2024, primarily resulting from an increase in revenues of $26.8 million, offset by an increase in operating expenses (excluding stock-based compensation, gain on disposition of assets, and depreciation and amortization) of $12.0 million and an increase in interest expense of $3.0 million, as compared to the same period in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decreased $7.6 million from $52.7 million for the three months ended March 31, 2023 to $45.0 million for the three months ended March 31, 2024 primarily due to a net decrease in the amount of assets acquired through acquisitions, investments and capital expenditures of $8.2 million, as compared to the same period in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flows used in financing activities were $73.6 million for the three months ended March 31, 2024 as compared to $75.2 million for the three months ended March 31, 2023. The cash flows used in financing activities of $73.6 million for the three months ended March 31, 2024 is primarily due to cash paid for dividends and distributions offset by net borrowings on the senior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2023 Combined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and Regulatory Update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12, "New Accounting Pronouncements" to our condensed consolidated financial statements included in Part 1, Item 1 of this report for a discussion of our Accounting Standards and Regulatory Update.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months ended March 31, 2024 and 2023. This discussion should be read in conjunction with the consolidated financial statements of Lamar Media and the related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increased $26.8 million or 5.7% to $498.2 million for the three months ended March 31, 2024 from $471.3 million for the same period in 2023. This increase was primarily attributable to an increase in billboard net revenues of $22.2 million and an increase in transit net revenues of $4.2 million over the same period in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there was a $25.1 million increase in net revenues as compared to acquisition-adjusted net revenue for the three months ended March 31, 2023, which represents an increase of 5.3%. See "Reconciliations" below. The $25.1 million increase in revenue is primarily due to an increase of $19.6 million in billboard net revenues as well as an increase in transit net revenues of $5.1 million over the same period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$18.4 million, or 6.5%, to $300.4 million for the three months ended March 31, 2024 from $282.0 million for the same period in 2023. The $18.4 million increase over the prior year is comprised of a $12.0 million increase in total direct, general and administrative and corporate expenses (excluding stock-based compensation) primarily related to the operations of our outdoor advertising assets, as well as a $6.4 million increase in stock-based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$2.1 million to $75.2 million for the three months ended March 31, 2024 as compared to $73.1 million for the same period in 2023, primarily related to acquisitions and capital expenditures completed during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Lamar Media recognized a gain on disposition of assets of $2.2 million, primarily resulting from transactions related to the sale of billboard locations and displays.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$5.8 million to $124.7 million for the three months ended March 31, 2024 as compared to $118.9 million for the same period in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$3.0 million for the three months ended March 31, 2024 to $44.5 million as compared to $41.4 million for the three months ended March 31, 2023 primarily due to the increase in interest rates on the Accounts Receivable Securitization Program and senior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loss (earnings) of investee was $0.6 million and $(0.2) million for the three months ended March 31, 2024 and 2023,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offset by the increase in interest expense, resulted in a $2.0 million increase in net income before income taxes. The effective tax rate for the three months ended March 31, 2024 was 1.9%, which differs from the federal statutory rate primarily due to our qualification for taxation as a REIT and adjustments for foreign items.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March 31, 2024 of $78.6 million, as compared to net income of $76.3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three months ended March 31, 2023 by adding to or subtracting from it the net revenue generated by the acquired or divested assets prior to our acquisition or divestiture of these assets for the same time frame that those assets were owned in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three months ended March 31, as well as a comparison of 2023 acquisition-adjusted net revenue to 2024 reported net revenue for the three months ended March 31,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26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498,150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471,332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498,150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473,026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32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7"/>
                <w:szCs w:val="17"/>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March 31, 2024 increased 7.1% to $212.1 million. The increase in adjusted EBITDA was primarily attributable to an increase in our gross margin (net revenue less direct advertising expense, exclusive of depreciation and amortization and capitalized contract fulfillment costs, net) of $19.5 million, offset by an increase in total general and administrative and corporate expenses of $4.8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95"/>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r>
      <w:tr>
        <w:trPr>
          <w:trHeight w:val="196"/>
        </w:trPr>
        <w:tc>
          <w:tcPr>
            <w:tcW w:w="5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158,375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for the three months ended March 31, 2024 increased from $143.9 million in 2023 to $148.6 million for the same period in 2024, an increase of 3.3%. AFFO for the three months ended March 31, 2024 increased 9.8% to $158.4 million as compared to $144.2 million for the same period in 2023. The increase in AFFO was primarily attributable to a $19.5 million increase in our gross margin (net revenue less direct advertising expense, exclusive of depreciation and amortization and capitalized contract fulfillment costs, net), offset by a $4.8 million increase in total general and administrative and corporate expenses (excluding the effect of stock-based compensation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9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Lamar Advertising Company and Lamar Media Corp.</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March 31, 2024, and should be read in conjunction with Note 10 of the Notes to the Company’s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2024 there was approximately $1.33 billion of indebtedness outstanding under the senior credit facility and the Accounts Receivable Securitization Program, or approximately 38.7% of the Company’s outstanding long-term debt on that date, bearing interest at variable rates. The aggregate interest expense for 2024 with respect to borrowings under the senior credit facility and the Accounts Receivable Securitization Program was $22.1 million, and the weighted average interest rate applicable to these borrowings during 2024 was 6.7%. Assuming that the weighted average interest rate was 200 basis points higher (that is 8.7% rather than 6.7%), then the Company’s 2024 interest expense would have increased by approximately $6.3 million for the three months ended March 31, 2024.</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93"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2023,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2023.</w:t>
      </w:r>
    </w:p>
    <w:p>
      <w:pPr>
        <w:spacing w:after="0" w:line="284" w:lineRule="exact"/>
        <w:rPr>
          <w:sz w:val="20"/>
          <w:szCs w:val="20"/>
          <w:color w:val="auto"/>
        </w:rPr>
      </w:pPr>
    </w:p>
    <w:p>
      <w:pPr>
        <w:ind w:right="4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20" w:type="dxa"/>
            <w:vAlign w:val="bottom"/>
            <w:gridSpan w:val="17"/>
            <w:vMerge w:val="restart"/>
          </w:tcPr>
          <w:p>
            <w:pPr>
              <w:ind w:left="13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20" w:type="dxa"/>
            <w:vAlign w:val="bottom"/>
            <w:gridSpan w:val="1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000" w:type="dxa"/>
            <w:vAlign w:val="bottom"/>
            <w:tcBorders>
              <w:top w:val="single" w:sz="8" w:color="auto"/>
            </w:tcBorders>
            <w:gridSpan w:val="20"/>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State of Delaware effective as of November 18, 2014. Previously filed as Exhibit 3.1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(File No. 1-36756) filed on November 19, 2014 and incorporated herein by reference.</w:t>
              </w:r>
            </w:hyperlink>
          </w:p>
        </w:tc>
        <w:tc>
          <w:tcPr>
            <w:tcW w:w="380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000" w:type="dxa"/>
            <w:vAlign w:val="bottom"/>
            <w:gridSpan w:val="20"/>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K (File No. 1-36756) filed on November 19, 2014 and incorporated herein by reference.</w:t>
              </w:r>
            </w:hyperlink>
          </w:p>
        </w:tc>
        <w:tc>
          <w:tcPr>
            <w:tcW w:w="34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10000" w:type="dxa"/>
            <w:vAlign w:val="bottom"/>
            <w:gridSpan w:val="20"/>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Company’s Quarterly Report on Form 10-Q for the period ended March 31, 2007 (File No. 0-30242) filed on May 10, 2007 and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incorporated herein by reference.</w:t>
              </w:r>
            </w:hyperlink>
          </w:p>
        </w:tc>
        <w:tc>
          <w:tcPr>
            <w:tcW w:w="752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10000" w:type="dxa"/>
            <w:vAlign w:val="bottom"/>
            <w:gridSpan w:val="20"/>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Current Report on Form 8-K (File No. 1-36756) filed on November 19, 2014 and incorporated herein by reference.</w:t>
              </w:r>
            </w:hyperlink>
          </w:p>
        </w:tc>
        <w:tc>
          <w:tcPr>
            <w:tcW w:w="154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10000" w:type="dxa"/>
            <w:vAlign w:val="bottom"/>
            <w:gridSpan w:val="20"/>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the period ended September 30, 1999 (File No. 1-12407) filed on November 12, 1999 and incorporated herein by reference.</w:t>
              </w:r>
            </w:hyperlink>
          </w:p>
        </w:tc>
        <w:tc>
          <w:tcPr>
            <w:tcW w:w="10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3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Form of 2024 LTIP Unit Award Agreement.</w:t>
            </w:r>
          </w:p>
        </w:tc>
        <w:tc>
          <w:tcPr>
            <w:tcW w:w="68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and Lamar Media pursuant to Securities Exchange Act Rules 13a-14(a)</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and 15d-14(a) as adopted pursuant to Section 302 of the Sarbanes-Oxley Act of 2002. Filed herewith.</w:t>
            </w:r>
          </w:p>
        </w:tc>
        <w:tc>
          <w:tcPr>
            <w:tcW w:w="264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the Company and Lamar Media pursuant to Securities Exchange Act Rules 13a-14(a) and</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15d-14(a) as adopted pursuant to Section 302 of the Sarbanes-Oxley Act of 2002. Filed herewith.</w:t>
            </w:r>
          </w:p>
        </w:tc>
        <w:tc>
          <w:tcPr>
            <w:tcW w:w="2860" w:type="dxa"/>
            <w:vAlign w:val="bottom"/>
            <w:tcBorders>
              <w:top w:val="single" w:sz="8" w:color="0000FF"/>
            </w:tcBorders>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Filed</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herewith.</w:t>
            </w: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380" w:right="20" w:hanging="879"/>
        <w:spacing w:after="0" w:line="224"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March 31, 2024,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05" w:lineRule="exact"/>
        <w:rPr>
          <w:sz w:val="20"/>
          <w:szCs w:val="20"/>
          <w:color w:val="auto"/>
        </w:rPr>
      </w:pPr>
    </w:p>
    <w:p>
      <w:pPr>
        <w:ind w:left="1380" w:hanging="879"/>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Times New Roman" w:cs="Times New Roman" w:eastAsia="Times New Roman" w:hAnsi="Times New Roman"/>
          <w:sz w:val="18"/>
          <w:szCs w:val="18"/>
          <w:color w:val="auto"/>
        </w:rPr>
        <w:t>DATED: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21"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86"/>
        </w:trPr>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20" w:type="dxa"/>
            <w:vAlign w:val="bottom"/>
            <w:gridSpan w:val="2"/>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LAMAR ADVERTISING LIMITED PARTNERSHIP</w:t>
            </w:r>
          </w:p>
        </w:tc>
      </w:tr>
      <w:tr>
        <w:trPr>
          <w:trHeight w:val="688"/>
        </w:trPr>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6"/>
              </w:rPr>
              <w:t>LTIP Unit Award Agreement</w:t>
            </w:r>
          </w:p>
        </w:tc>
      </w:tr>
      <w:tr>
        <w:trPr>
          <w:trHeight w:val="66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w w:val="97"/>
              </w:rPr>
              <w:t>Name of Grantee:</w:t>
            </w:r>
          </w:p>
        </w:tc>
        <w:tc>
          <w:tcPr>
            <w:tcW w:w="480" w:type="dxa"/>
            <w:vAlign w:val="bottom"/>
          </w:tcPr>
          <w:p>
            <w:pPr>
              <w:spacing w:after="0"/>
              <w:rPr>
                <w:sz w:val="24"/>
                <w:szCs w:val="24"/>
                <w:color w:val="auto"/>
              </w:rPr>
            </w:pPr>
          </w:p>
        </w:tc>
        <w:tc>
          <w:tcPr>
            <w:tcW w:w="60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(the “Grantee”)</w:t>
            </w:r>
          </w:p>
        </w:tc>
      </w:tr>
      <w:tr>
        <w:trPr>
          <w:trHeight w:val="20"/>
        </w:trPr>
        <w:tc>
          <w:tcPr>
            <w:tcW w:w="2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518"/>
        </w:trPr>
        <w:tc>
          <w:tcPr>
            <w:tcW w:w="2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 of LTIP Units:</w:t>
            </w:r>
          </w:p>
        </w:tc>
        <w:tc>
          <w:tcPr>
            <w:tcW w:w="6080" w:type="dxa"/>
            <w:vAlign w:val="bottom"/>
            <w:gridSpan w:val="4"/>
          </w:tcPr>
          <w:p>
            <w:pPr>
              <w:ind w:left="340"/>
              <w:spacing w:after="0"/>
              <w:rPr>
                <w:sz w:val="20"/>
                <w:szCs w:val="20"/>
                <w:color w:val="auto"/>
              </w:rPr>
            </w:pPr>
            <w:r>
              <w:rPr>
                <w:rFonts w:ascii="Times New Roman" w:cs="Times New Roman" w:eastAsia="Times New Roman" w:hAnsi="Times New Roman"/>
                <w:sz w:val="22"/>
                <w:szCs w:val="22"/>
                <w:color w:val="auto"/>
              </w:rPr>
              <w:t>(represents total achievable at 120% vesting)</w:t>
            </w:r>
          </w:p>
        </w:tc>
      </w:tr>
      <w:tr>
        <w:trPr>
          <w:trHeight w:val="420"/>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Grant Date:</w:t>
            </w:r>
          </w:p>
        </w:tc>
        <w:tc>
          <w:tcPr>
            <w:tcW w:w="65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(the “Grant Date”)</w:t>
            </w:r>
          </w:p>
        </w:tc>
      </w:tr>
      <w:tr>
        <w:trPr>
          <w:trHeight w:val="20"/>
        </w:trPr>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22"/>
          <w:szCs w:val="22"/>
          <w:color w:val="auto"/>
        </w:rPr>
        <w:t>Vesting Date: The date when the Company’s financial results from fiscal 2024 are approved by the Audit Committee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expected to occur in February 2025</w:t>
      </w:r>
    </w:p>
    <w:p>
      <w:pPr>
        <w:spacing w:after="0" w:line="2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Pursuant to the Lamar Advertising Company 1996 Equity Incentive Plan (as amended from time and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Agreement of Limited Partnership of Lamar Advertising Limited Partnership, dated as of July 1, 2022 (as amended from time to time, the “</w:t>
      </w:r>
      <w:r>
        <w:rPr>
          <w:rFonts w:ascii="Times New Roman" w:cs="Times New Roman" w:eastAsia="Times New Roman" w:hAnsi="Times New Roman"/>
          <w:sz w:val="22"/>
          <w:szCs w:val="22"/>
          <w:u w:val="single" w:color="auto"/>
          <w:color w:val="auto"/>
        </w:rPr>
        <w:t>LP Agreement</w:t>
      </w:r>
      <w:r>
        <w:rPr>
          <w:rFonts w:ascii="Times New Roman" w:cs="Times New Roman" w:eastAsia="Times New Roman" w:hAnsi="Times New Roman"/>
          <w:sz w:val="22"/>
          <w:szCs w:val="22"/>
          <w:color w:val="auto"/>
        </w:rPr>
        <w:t>”), Lamar Advertising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an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to the Grantee and hereby causes Lamar Advertising Limited Partnership (the “</w:t>
      </w:r>
      <w:r>
        <w:rPr>
          <w:rFonts w:ascii="Times New Roman" w:cs="Times New Roman" w:eastAsia="Times New Roman" w:hAnsi="Times New Roman"/>
          <w:sz w:val="22"/>
          <w:szCs w:val="22"/>
          <w:u w:val="single" w:color="auto"/>
          <w:color w:val="auto"/>
        </w:rPr>
        <w:t>Operating Partnership</w:t>
      </w:r>
      <w:r>
        <w:rPr>
          <w:rFonts w:ascii="Times New Roman" w:cs="Times New Roman" w:eastAsia="Times New Roman" w:hAnsi="Times New Roman"/>
          <w:sz w:val="22"/>
          <w:szCs w:val="22"/>
          <w:color w:val="auto"/>
        </w:rPr>
        <w:t>”) to issue to the Grantee the number of LTIP Units (as defined in the LP Agreement) set forth above (the “</w:t>
      </w:r>
      <w:r>
        <w:rPr>
          <w:rFonts w:ascii="Times New Roman" w:cs="Times New Roman" w:eastAsia="Times New Roman" w:hAnsi="Times New Roman"/>
          <w:sz w:val="22"/>
          <w:szCs w:val="22"/>
          <w:u w:val="single" w:color="auto"/>
          <w:color w:val="auto"/>
        </w:rPr>
        <w:t>Award LTIP Units</w:t>
      </w:r>
      <w:r>
        <w:rPr>
          <w:rFonts w:ascii="Times New Roman" w:cs="Times New Roman" w:eastAsia="Times New Roman" w:hAnsi="Times New Roman"/>
          <w:sz w:val="22"/>
          <w:szCs w:val="22"/>
          <w:color w:val="auto"/>
        </w:rPr>
        <w:t>”) having the rights, voting powers, restrictions, limitations as to distributions, qualifications and terms and conditions of redemption and conversion set forth herein and in the LP Agreement. Upon the close of business on the Grant Date pursuant to this LTIP Unit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the Grantee shall receive the number of Award LTIP Units, subject to the restrictions and conditions set forth herein, in the Plan and in the LP Agreement. Capitalized terms in this Agreement shall have the meaning specified in the Plan, unless a different meaning is specified herein.</w:t>
      </w:r>
    </w:p>
    <w:p>
      <w:pPr>
        <w:spacing w:after="0" w:line="183"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of Award; Rights as Partner.</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129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have no rights with respect to the Award unless he or she shall have accepted the Award by signing and delivering a copy of this Agreement to the Operating Partnership.</w:t>
      </w:r>
    </w:p>
    <w:p>
      <w:pPr>
        <w:spacing w:after="0" w:line="14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acceptance of the Award by the Grantee and subject to the restrictions and conditions herein, in the Plan and in the LP Agreement, the books and records of the Operating Partnership shall reflect the issuance of the Award LTIP Units. Thereupon, the Grantee shall have all the rights of a Limited Partner of the Operating Partnership with respect to the number of Award LTIP Units, as set forth in the LP Agreement, subject to the restrictions and conditions set forth herein and the Grantee signing, as a Limited Partner, and delivering to the Operating Partnership, a counterpart signature page to the LP Agreement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04" w:right="339" w:bottom="1440" w:gutter="0" w:footer="0" w:header="0"/>
        </w:sectPr>
      </w:pPr>
    </w:p>
    <w:bookmarkStart w:id="49" w:name="page50"/>
    <w:bookmarkEnd w:id="49"/>
    <w:p>
      <w:pPr>
        <w:jc w:val="both"/>
        <w:ind w:left="-8" w:firstLine="8"/>
        <w:spacing w:after="0" w:line="256" w:lineRule="auto"/>
        <w:tabs>
          <w:tab w:leader="none" w:pos="6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83(b) Election</w:t>
      </w:r>
      <w:r>
        <w:rPr>
          <w:rFonts w:ascii="Times New Roman" w:cs="Times New Roman" w:eastAsia="Times New Roman" w:hAnsi="Times New Roman"/>
          <w:sz w:val="22"/>
          <w:szCs w:val="22"/>
          <w:color w:val="auto"/>
        </w:rPr>
        <w:t>. The Grantee may make an election under Section 83(b) of the Code (the “</w:t>
      </w:r>
      <w:r>
        <w:rPr>
          <w:rFonts w:ascii="Times New Roman" w:cs="Times New Roman" w:eastAsia="Times New Roman" w:hAnsi="Times New Roman"/>
          <w:sz w:val="22"/>
          <w:szCs w:val="22"/>
          <w:u w:val="single" w:color="auto"/>
          <w:color w:val="auto"/>
        </w:rPr>
        <w:t>83(b) Election</w:t>
      </w:r>
      <w:r>
        <w:rPr>
          <w:rFonts w:ascii="Times New Roman" w:cs="Times New Roman" w:eastAsia="Times New Roman" w:hAnsi="Times New Roman"/>
          <w:sz w:val="22"/>
          <w:szCs w:val="22"/>
          <w:color w:val="auto"/>
        </w:rPr>
        <w:t>”) with respect to the Award LTIP Units. The Grantee may use the form of election attached as Exhibit B hereto but shall be solely responsible for preparing and timely filing such election with the Internal Revenue Service. The Grantee shall provide an executed copy of such election to the Company promptly after the Grantee’s filing of such election if Grantee makes such a filing.</w:t>
      </w:r>
    </w:p>
    <w:p>
      <w:pPr>
        <w:spacing w:after="0" w:line="176" w:lineRule="exact"/>
        <w:rPr>
          <w:rFonts w:ascii="Times New Roman" w:cs="Times New Roman" w:eastAsia="Times New Roman" w:hAnsi="Times New Roman"/>
          <w:sz w:val="22"/>
          <w:szCs w:val="22"/>
          <w:color w:val="auto"/>
        </w:rPr>
      </w:pPr>
    </w:p>
    <w:p>
      <w:pPr>
        <w:jc w:val="both"/>
        <w:ind w:left="-8" w:firstLine="8"/>
        <w:spacing w:after="0" w:line="249" w:lineRule="auto"/>
        <w:tabs>
          <w:tab w:leader="none" w:pos="6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Distributions on the Award LTIP Units shall be paid to the Grantee to the extent provided for in the LP Agreement. If any portion of the Award LTIP Units are forfeited pursuant to the terms of this Agreement, Grantee shall, immediately following the determination of the number of Award LTIP Units which became vested under Section 4 of this Agreement, forfeit an additional portion of such Award LTIP Units in an amount equal to the dollar value of distributions during the term of this Agreement received on Award LTIP Units that are forfeited, less any taxes paid by the Grantee on such distributions. For purposes of calculating the number of Award LTIP Units to be forfeited, the dollar value of each Award LTIP Unit shall be equivalent to the closing price of the REIT Shares on the Vesting Date (or such earlier date if all of the Award LTIP Units are forfeited prior to the Vesting Date, if applicable).</w:t>
      </w:r>
    </w:p>
    <w:p>
      <w:pPr>
        <w:spacing w:after="0" w:line="181"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 w:firstLine="656"/>
        <w:spacing w:after="0" w:line="266" w:lineRule="auto"/>
        <w:tabs>
          <w:tab w:leader="none" w:pos="128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Award LTIP Units shall become vested as of the close of business on the Vesting Date if (i) the Grantee remains continuously employed by the Company, or one of its Affiliates (including the Operating Partnership) between the Grant Date and the Vesting Date, and (ii) the performance criteria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have been satisfied. To the extent only a portion of the performance criteria are satisfied on the Vesting Date, the portion of the Award LTIP Units for which the performance criteria are not satisfied shall automatically and without notice or payment of any consideration by the Company or the Operating Partnership, terminate, be forfeited and be and become null and void and neither the Grantee nor any of his or her successors, heirs, assigns, or personal representatives will thereafter have any further rights or interests in the Award LTIP Units.</w:t>
      </w:r>
    </w:p>
    <w:p>
      <w:pPr>
        <w:spacing w:after="0" w:line="165" w:lineRule="exact"/>
        <w:rPr>
          <w:rFonts w:ascii="Times New Roman" w:cs="Times New Roman" w:eastAsia="Times New Roman" w:hAnsi="Times New Roman"/>
          <w:sz w:val="21"/>
          <w:szCs w:val="21"/>
          <w:color w:val="auto"/>
        </w:rPr>
      </w:pPr>
    </w:p>
    <w:p>
      <w:pPr>
        <w:jc w:val="both"/>
        <w:ind w:left="-8" w:firstLine="656"/>
        <w:spacing w:after="0" w:line="251" w:lineRule="auto"/>
        <w:tabs>
          <w:tab w:leader="none" w:pos="128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the LP Agreement, upon termination of the Grantee’s employment, any Award LTIP Units which have not yet then vested (after giving effect to any acceleration of vesting upon such termination of the Grantee’s employment) shall automatically and without notice or payment of any consideration by the Company or the Operating Partnership, terminate, be forfeited and be and become null and void and neither the Grantee nor any of his or her successors, heirs, assigns, or personal representatives will thereafter have any further rights or interests in the Award LTIP Units.</w:t>
      </w:r>
    </w:p>
    <w:p>
      <w:pPr>
        <w:spacing w:after="0" w:line="181"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in its sole discretion, at any time accelerate the vesting of Award LTIP Units.</w:t>
      </w:r>
    </w:p>
    <w:p>
      <w:pPr>
        <w:spacing w:after="0" w:line="219" w:lineRule="exact"/>
        <w:rPr>
          <w:rFonts w:ascii="Times New Roman" w:cs="Times New Roman" w:eastAsia="Times New Roman" w:hAnsi="Times New Roman"/>
          <w:sz w:val="22"/>
          <w:szCs w:val="22"/>
          <w:color w:val="auto"/>
        </w:rPr>
      </w:pPr>
    </w:p>
    <w:p>
      <w:pPr>
        <w:jc w:val="both"/>
        <w:ind w:left="-8" w:firstLine="656"/>
        <w:spacing w:after="0" w:line="257" w:lineRule="auto"/>
        <w:tabs>
          <w:tab w:leader="none" w:pos="128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or in the LP Agreement, the terms of any severance or employment agreement between the Company and the Grantee shall determine whether, and to what extent, any unvested Award LTIP Units held by the Grantee shall accelerate in connection with the occurrence of certain termination of employment events</w:t>
      </w:r>
    </w:p>
    <w:p>
      <w:pPr>
        <w:sectPr>
          <w:pgSz w:w="11900" w:h="16838" w:orient="portrait"/>
          <w:cols w:equalWidth="0" w:num="1">
            <w:col w:w="11232"/>
          </w:cols>
          <w:pgMar w:left="328" w:top="1422"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22"/>
          <w:szCs w:val="22"/>
          <w:color w:val="auto"/>
        </w:rPr>
        <w:t>including, without limitation, in the event of a termination of employment in connection with a Change in Control (as such term is defined in any such severance or employment agreement). In addition, upon a Change in Control, if the Award is not assumed, converted or replaced by the continuing entity, all Award LTIP Units which are not vested shall be deemed to have vested immediately prior to the such Change in Control based on the greater of (i) actual performance through the closing date, or (ii) the target (maximum) performance level.</w:t>
      </w:r>
    </w:p>
    <w:p>
      <w:pPr>
        <w:spacing w:after="0" w:line="179" w:lineRule="exact"/>
        <w:rPr>
          <w:sz w:val="20"/>
          <w:szCs w:val="20"/>
          <w:color w:val="auto"/>
        </w:rPr>
      </w:pPr>
    </w:p>
    <w:p>
      <w:pPr>
        <w:jc w:val="both"/>
        <w:ind w:firstLine="8"/>
        <w:spacing w:after="0" w:line="259" w:lineRule="auto"/>
        <w:tabs>
          <w:tab w:leader="none" w:pos="64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Capitalization</w:t>
      </w:r>
      <w:r>
        <w:rPr>
          <w:rFonts w:ascii="Times New Roman" w:cs="Times New Roman" w:eastAsia="Times New Roman" w:hAnsi="Times New Roman"/>
          <w:sz w:val="21"/>
          <w:szCs w:val="21"/>
          <w:color w:val="auto"/>
        </w:rPr>
        <w:t>. Without duplication with the provisions of Section 3(c) of the Plan, if (i) the Company shall at any time be involved in a merger, consolidation, dissolution, liquidation, reorganization, exchange of shares, sale of all or substantially all of the assets or stock of the Company or other transaction similar thereto, (ii) any reorganization, recapitalization, reclassification, stock dividend, stock split, reverse stock split, significant repurchases of stock, or other similar change in the capital stock of the Company shall occur, (iii) any cash dividend or other distribution to holders of shares of stock or Partnership Units (as defined in the LP Agreement) shall be declared and paid other than in the ordinary course, or (iv) any other extraordinary corporate event shall occur that in each case in the good faith judgment of the Administrator necessitates action by way of equitable or proportionate adjustment in the terms of this Agreement or the Award LTIP Units to avoid distortion in the value of this Award, then the Administrator shall make equitable or proportionate adjustment and take such other action as it deems necessary to maintain the Grantee’s rights hereunder so that they are substantially proportionate to the rights existing under this Award and the terms of the Award LTIP Units prior to such event, including, without limitation: (A) interpretations of or modifications to any defined term in this Agreement; (B) adjustments in any calculations provided for in this Agreement, and</w:t>
      </w:r>
    </w:p>
    <w:p>
      <w:pPr>
        <w:spacing w:after="0" w:line="1" w:lineRule="exact"/>
        <w:rPr>
          <w:rFonts w:ascii="Times New Roman" w:cs="Times New Roman" w:eastAsia="Times New Roman" w:hAnsi="Times New Roman"/>
          <w:sz w:val="21"/>
          <w:szCs w:val="21"/>
          <w:color w:val="auto"/>
        </w:rPr>
      </w:pPr>
    </w:p>
    <w:p>
      <w:pPr>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substitution of other awards under the Plan or otherwise. All adjustments made by the Administrator shall be final, binding and conclusive.</w:t>
      </w:r>
    </w:p>
    <w:p>
      <w:pPr>
        <w:spacing w:after="0" w:line="195" w:lineRule="exact"/>
        <w:rPr>
          <w:rFonts w:ascii="Times New Roman" w:cs="Times New Roman" w:eastAsia="Times New Roman" w:hAnsi="Times New Roman"/>
          <w:sz w:val="21"/>
          <w:szCs w:val="21"/>
          <w:color w:val="auto"/>
        </w:rPr>
      </w:pPr>
    </w:p>
    <w:p>
      <w:pPr>
        <w:jc w:val="both"/>
        <w:ind w:firstLine="8"/>
        <w:spacing w:after="0" w:line="257" w:lineRule="auto"/>
        <w:tabs>
          <w:tab w:leader="none" w:pos="6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Agreement shall be subject to, and governed by, all the terms and conditions of the Plan, including the powers of the Administrator set forth in Section 2(b) of the Plan. In the event of any discrepancies between the Plan and this Agreement, the Plan shall control.</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Redemption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8"/>
        <w:spacing w:after="0" w:line="250" w:lineRule="auto"/>
        <w:tabs>
          <w:tab w:leader="none" w:pos="32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Vesting Date, none of the Award LTIP Units nor any of the Common Units (as defined in the LP Agreement) into which such Award LTIP Units may be converted shall be sold, assigned, transferred, pledged or otherwise encumbered or disposed of by the Grantee (each such action,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At any time after the Vesting Date, Award LTIP Units or Common Units may be Transferred to a single transferee that is the Grantee’s Family Member (as defined below) by gift or domestic relations order, provided that the transferee agrees in writing with the Company and the Operating Partnership to be bound by all the terms and conditions of this Agreement and that subsequent Transfers shall be prohibited except those in accordance with this Section 7. Notwithstanding anything to the contrary contained herein, in the event Grantee seeks to transfer all or any portion of its Award LTIP Units or Common Units to multiple transferees (or to a limited liability company, joint venture, partnership, grantor trust, S-corporation or other flow through entity created with a purpose of circumventing this Section</w:t>
      </w:r>
    </w:p>
    <w:p>
      <w:pPr>
        <w:sectPr>
          <w:pgSz w:w="11900" w:h="16838" w:orient="portrait"/>
          <w:cols w:equalWidth="0" w:num="1">
            <w:col w:w="11240"/>
          </w:cols>
          <w:pgMar w:left="320" w:top="142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7(a)) that are Grantee’s Family Members, such transfer shall be subject to the consent of the General Partner of the Partnership.</w:t>
      </w:r>
    </w:p>
    <w:p>
      <w:pPr>
        <w:spacing w:after="0" w:line="220" w:lineRule="exact"/>
        <w:rPr>
          <w:sz w:val="20"/>
          <w:szCs w:val="20"/>
          <w:color w:val="auto"/>
        </w:rPr>
      </w:pPr>
    </w:p>
    <w:p>
      <w:pPr>
        <w:jc w:val="both"/>
        <w:ind w:firstLine="656"/>
        <w:spacing w:after="0" w:line="256" w:lineRule="auto"/>
        <w:tabs>
          <w:tab w:leader="none" w:pos="129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Vesting Date, the Redemption Right (as defined in the LP Agreement) may not be exercised with respect to the Common Units. At any time after the Vesting Date, the Redemption Right may be exercised with respect to Common Units, and Common Units may be Transferred to the Operating Partnership or the Company in connection with the exercise of the Redemption Right, in accordance with and to the extent otherwise permitted by the terms of the LP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Transfers of Award LTIP Units or Common Units must be in compliance with all applicable securities laws (including, without limitation,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and the applicable terms and conditions of the LP Agreement. In connection with any Transfer of Award LTIP Units or Common Units, the Operating Partnership may require the Grantee to provide an opinion of counsel, satisfactory to the Operating Partnership, that such Transfer is in compliance with all federal and state securities laws (including, without limitation, the Securities Act). Any attempted Transfer of Award LTIP Units or Common Units not in accordance with the terms and conditions of this Section 7 shall be null and void, and the Operating Partnership shall not reflect on its records any change in record ownership of any Award LTIP Units or Common Units as a result of any such Transfer, shall otherwise refuse to recognize any such Transfer and shall not in any way give effect to any such Transfer of any Award LTIP Units or Common Units.</w:t>
      </w:r>
    </w:p>
    <w:p>
      <w:pPr>
        <w:spacing w:after="0" w:line="198" w:lineRule="exact"/>
        <w:rPr>
          <w:rFonts w:ascii="Times New Roman" w:cs="Times New Roman" w:eastAsia="Times New Roman" w:hAnsi="Times New Roman"/>
          <w:sz w:val="22"/>
          <w:szCs w:val="22"/>
          <w:color w:val="auto"/>
        </w:rPr>
      </w:pPr>
    </w:p>
    <w:p>
      <w:pPr>
        <w:ind w:right="20" w:firstLine="656"/>
        <w:spacing w:after="0" w:line="271" w:lineRule="auto"/>
        <w:tabs>
          <w:tab w:leader="none" w:pos="129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this Agreement is personal to the Grantee, is non-assignable and is not transferable in any manner, by operation of law or otherwise, other than by will or the laws of descent and distribution.</w:t>
      </w:r>
    </w:p>
    <w:p>
      <w:pPr>
        <w:spacing w:after="0" w:line="15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of a Grantee, means the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own more than fifty (50) percent of the beneficial interest, a foundation in which these persons (or the Grantee) control the management of assets, and any other entity in which these persons (or the Grantee) own more than fifty (50) percent of the voting interests.</w:t>
      </w:r>
    </w:p>
    <w:p>
      <w:pPr>
        <w:spacing w:after="0" w:line="181" w:lineRule="exact"/>
        <w:rPr>
          <w:rFonts w:ascii="Times New Roman" w:cs="Times New Roman" w:eastAsia="Times New Roman" w:hAnsi="Times New Roman"/>
          <w:sz w:val="22"/>
          <w:szCs w:val="22"/>
          <w:color w:val="auto"/>
        </w:rPr>
      </w:pPr>
    </w:p>
    <w:p>
      <w:pPr>
        <w:jc w:val="both"/>
        <w:ind w:firstLine="8"/>
        <w:spacing w:after="0" w:line="263" w:lineRule="auto"/>
        <w:tabs>
          <w:tab w:leader="none" w:pos="64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w:t>
      </w:r>
      <w:r>
        <w:rPr>
          <w:rFonts w:ascii="Times New Roman" w:cs="Times New Roman" w:eastAsia="Times New Roman" w:hAnsi="Times New Roman"/>
          <w:sz w:val="22"/>
          <w:szCs w:val="22"/>
          <w:color w:val="auto"/>
        </w:rPr>
        <w:t>. The records of the Operating Partnership and any other documentation evidencing the Award LTIP Units shall bear an appropriate legend, as determined by the Operating Partnership in its sole discretion, to the effect that such LTIP Units are subject to restrictions as set forth herein, in the Plan and in the LP Agreement.</w:t>
      </w:r>
    </w:p>
    <w:p>
      <w:pPr>
        <w:spacing w:after="0" w:line="167" w:lineRule="exact"/>
        <w:rPr>
          <w:rFonts w:ascii="Times New Roman" w:cs="Times New Roman" w:eastAsia="Times New Roman" w:hAnsi="Times New Roman"/>
          <w:sz w:val="22"/>
          <w:szCs w:val="22"/>
          <w:color w:val="auto"/>
        </w:rPr>
      </w:pPr>
    </w:p>
    <w:p>
      <w:pPr>
        <w:jc w:val="both"/>
        <w:ind w:firstLine="8"/>
        <w:spacing w:after="0" w:line="257" w:lineRule="auto"/>
        <w:tabs>
          <w:tab w:leader="none" w:pos="64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If and to the extent the Award becomes a taxable event for Federal income tax purposes, the Grantee will pay the Company or make arrangements satisfactory to the Company regarding the payment of, any withholding amount due. The obligations of the Company under this Agreement will be conditional on such payment or arrangements, and the</w:t>
      </w:r>
    </w:p>
    <w:p>
      <w:pPr>
        <w:sectPr>
          <w:pgSz w:w="11900" w:h="16838" w:orient="portrait"/>
          <w:cols w:equalWidth="0" w:num="1">
            <w:col w:w="11240"/>
          </w:cols>
          <w:pgMar w:left="320" w:top="1422" w:right="339" w:bottom="1440" w:gutter="0" w:footer="0" w:header="0"/>
        </w:sectPr>
      </w:pPr>
    </w:p>
    <w:bookmarkStart w:id="52" w:name="page53"/>
    <w:bookmarkEnd w:id="52"/>
    <w:p>
      <w:pPr>
        <w:spacing w:after="0" w:line="271" w:lineRule="auto"/>
        <w:rPr>
          <w:sz w:val="20"/>
          <w:szCs w:val="20"/>
          <w:color w:val="auto"/>
        </w:rPr>
      </w:pPr>
      <w:r>
        <w:rPr>
          <w:rFonts w:ascii="Times New Roman" w:cs="Times New Roman" w:eastAsia="Times New Roman" w:hAnsi="Times New Roman"/>
          <w:sz w:val="22"/>
          <w:szCs w:val="22"/>
          <w:color w:val="auto"/>
        </w:rPr>
        <w:t>Company shall, to the extent permitted by law, have the right to deduct any such taxes from any payment otherwise due to the Grantee.</w:t>
      </w:r>
    </w:p>
    <w:p>
      <w:pPr>
        <w:spacing w:after="0" w:line="158" w:lineRule="exact"/>
        <w:rPr>
          <w:sz w:val="20"/>
          <w:szCs w:val="20"/>
          <w:color w:val="auto"/>
        </w:rPr>
      </w:pPr>
    </w:p>
    <w:p>
      <w:pPr>
        <w:jc w:val="both"/>
        <w:ind w:firstLine="8"/>
        <w:spacing w:after="0" w:line="249" w:lineRule="auto"/>
        <w:tabs>
          <w:tab w:leader="none" w:pos="64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the Operating Partnership and any of their Subsidiaries (the “</w:t>
      </w:r>
      <w:r>
        <w:rPr>
          <w:rFonts w:ascii="Times New Roman" w:cs="Times New Roman" w:eastAsia="Times New Roman" w:hAnsi="Times New Roman"/>
          <w:sz w:val="22"/>
          <w:szCs w:val="22"/>
          <w:u w:val="single" w:color="auto"/>
          <w:color w:val="auto"/>
        </w:rPr>
        <w:t>Relevant Companies</w:t>
      </w:r>
      <w:r>
        <w:rPr>
          <w:rFonts w:ascii="Times New Roman" w:cs="Times New Roman" w:eastAsia="Times New Roman" w:hAnsi="Times New Roman"/>
          <w:sz w:val="22"/>
          <w:szCs w:val="22"/>
          <w:color w:val="auto"/>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 w:cs="Times New Roman" w:eastAsia="Times New Roman" w:hAnsi="Times New Roman"/>
          <w:sz w:val="22"/>
          <w:szCs w:val="22"/>
          <w:u w:val="single" w:color="auto"/>
          <w:color w:val="auto"/>
        </w:rPr>
        <w:t>Relevant Information</w:t>
      </w:r>
      <w:r>
        <w:rPr>
          <w:rFonts w:ascii="Times New Roman" w:cs="Times New Roman" w:eastAsia="Times New Roman" w:hAnsi="Times New Roman"/>
          <w:sz w:val="22"/>
          <w:szCs w:val="22"/>
          <w:color w:val="auto"/>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3" w:lineRule="exact"/>
        <w:rPr>
          <w:rFonts w:ascii="Times New Roman" w:cs="Times New Roman" w:eastAsia="Times New Roman" w:hAnsi="Times New Roman"/>
          <w:sz w:val="22"/>
          <w:szCs w:val="22"/>
          <w:color w:val="auto"/>
        </w:rPr>
      </w:pPr>
    </w:p>
    <w:p>
      <w:pPr>
        <w:jc w:val="both"/>
        <w:ind w:firstLine="8"/>
        <w:spacing w:after="0" w:line="250" w:lineRule="auto"/>
        <w:tabs>
          <w:tab w:leader="none" w:pos="6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Representation; Registration</w:t>
      </w:r>
      <w:r>
        <w:rPr>
          <w:rFonts w:ascii="Times New Roman" w:cs="Times New Roman" w:eastAsia="Times New Roman" w:hAnsi="Times New Roman"/>
          <w:sz w:val="22"/>
          <w:szCs w:val="22"/>
          <w:color w:val="auto"/>
        </w:rPr>
        <w:t>. The Grantee hereby makes the covenants, representations and warranties set forth on Exhibit C attached hereto as of the Grant Date and as of each Vesting Date. All of such covenants, warranties and representations shall survive the execution and delivery of this Agreement by the Grantee. The Grantee shall immediately notify the Operating Partnership upon discovering that any of the representations or warranties set forth on Exhibit C was false when made or have, as a result of changes in circumstances, become false. The Operating Partnership will have no obligation to register under the Securities Act any of the LTIP Units or any other securities issued pursuant to this Agreement or upon conversion or exchange of the Award LTIP Units into other limited partnership interests of the Operating Partnership or shares of capital stock of the Company.</w:t>
      </w:r>
    </w:p>
    <w:p>
      <w:pPr>
        <w:spacing w:after="0" w:line="18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hereunder shall be given to the Company at its principal place of business, and shall be given to the Grantee at the most recent address on file with the Company, or in either case at such other address as one party may subsequently furnish to the other party in writing.</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does not confer upon the Grantee any rights with respect to continuation of employment by the Relevant Companies, and neither the Plan nor this Agreement shall interfere in any way with the right of the Relevant Companies to terminate the employment of the Grantee at any time.</w:t>
      </w:r>
    </w:p>
    <w:p>
      <w:pPr>
        <w:spacing w:after="0" w:line="172"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only be modified or amended in a writing signed by the parties hereto, provided that the Grantee acknowledges that the Plan may be amended or discontinued in accordance with Section 10(f) thereof and that this Agreement may be amended or canceled by the Administrator, on behalf of the Company and the Operating Partnership, in each case for the purpose of satisfying changes in law or for any other lawful purpose, so long as no such action shall adversely affect the Grantee’s rights under this Agreement without the</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51" w:lineRule="auto"/>
        <w:rPr>
          <w:sz w:val="20"/>
          <w:szCs w:val="20"/>
          <w:color w:val="auto"/>
        </w:rPr>
      </w:pPr>
      <w:r>
        <w:rPr>
          <w:rFonts w:ascii="Times New Roman" w:cs="Times New Roman" w:eastAsia="Times New Roman" w:hAnsi="Times New Roman"/>
          <w:sz w:val="22"/>
          <w:szCs w:val="22"/>
          <w:color w:val="auto"/>
        </w:rPr>
        <w:t>Grantee’s written consent. No promises, assurances, commitments, agreements, undertakings or representations, whether oral, written, electronic or otherwise, and whether express or implied, with respect to the subject matter hereof, have been made by the parties which are not set forth expressly in this Agreement. The failure of the Grantee or the Company or the Operating Partnership to insist upon strict compliance with any provision of this Agreement, or to assert any right the Grantee or the Company or the Operating Partnership, respectively, may have under this Agreement, shall not be deemed to be a waiver of such provision or right or any other provision or right of this Agreement.</w:t>
      </w:r>
    </w:p>
    <w:p>
      <w:pPr>
        <w:spacing w:after="0" w:line="181" w:lineRule="exact"/>
        <w:rPr>
          <w:sz w:val="20"/>
          <w:szCs w:val="20"/>
          <w:color w:val="auto"/>
        </w:rPr>
      </w:pPr>
    </w:p>
    <w:p>
      <w:pPr>
        <w:jc w:val="both"/>
        <w:ind w:firstLine="656"/>
        <w:spacing w:after="0" w:line="250"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specifically stated herein or as otherwise set forth in any employment, change in control or other agreement or arrangement to which the Grantee is a party which specifically refers to the Award LTIP Units or to the treatment of compensatory equity held by the Grantee generally, 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80"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shall preclude the Company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LTIP Units are both issued as equity securities of the Operating Partnership and granted as “Other Stock Based Awards”, which are convertible into Common Stock, under the Plan.</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term or provision of this Agreement is or becomes or is deemed to be invalid, illegal or 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Award LTIP Units hereunder, such provision shall be stricken as to such jurisdiction and the remainder of this Agreement and the award hereunder shall remain in full force and effect).</w:t>
      </w:r>
    </w:p>
    <w:p>
      <w:pPr>
        <w:spacing w:after="0" w:line="178"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paragraph and other headings and captions are provided solely as a convenience to facilitate reference. Such headings and captions shall not be deemed in any way material or relevant to the construction, meaning or interpretation of this Agreement or any term or provision hereof.</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8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two or more separate counterparts, each of which shall be an original, and all of which together shall constitute one and the same agreement.</w:t>
      </w:r>
    </w:p>
    <w:p>
      <w:pPr>
        <w:sectPr>
          <w:pgSz w:w="11900" w:h="16838" w:orient="portrait"/>
          <w:cols w:equalWidth="0" w:num="1">
            <w:col w:w="11240"/>
          </w:cols>
          <w:pgMar w:left="320" w:top="1422" w:right="339" w:bottom="1440" w:gutter="0" w:footer="0" w:header="0"/>
        </w:sectPr>
      </w:pPr>
    </w:p>
    <w:bookmarkStart w:id="54" w:name="page55"/>
    <w:bookmarkEnd w:id="54"/>
    <w:p>
      <w:pPr>
        <w:ind w:firstLine="656"/>
        <w:spacing w:after="0" w:line="271" w:lineRule="auto"/>
        <w:tabs>
          <w:tab w:leader="none" w:pos="12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obligations created hereunder shall be binding on the Grantee and his or her heirs and legal representatives and on the successors and assigns of the Operating Partnership.</w:t>
      </w:r>
    </w:p>
    <w:p>
      <w:pPr>
        <w:spacing w:after="0" w:line="157"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accepting this Agreement, the Grantee (i) consents to the electronic delivery of this Agreement, all information with respect to the Plan and any reports of the Company provided generally to the Company’s stockholders; (ii) acknowledges that he or she may receive from the Company a paper copy of any documents delivered electronically at no cost to the Grantee by contacting the Company by telephone or in writing; (iii) further acknowledges that he or she may revoke his or her consent to electronic delivery of documents at any time by notifying the Company of such revoked consent by telephone, postal service or electronic mail; and (iv) further acknowledges that he or she is not required to consent to electronic delivery of documents.</w:t>
      </w:r>
    </w:p>
    <w:p>
      <w:pPr>
        <w:spacing w:after="0" w:line="182" w:lineRule="exact"/>
        <w:rPr>
          <w:sz w:val="20"/>
          <w:szCs w:val="20"/>
          <w:color w:val="auto"/>
        </w:rPr>
      </w:pPr>
    </w:p>
    <w:p>
      <w:pPr>
        <w:jc w:val="both"/>
        <w:ind w:firstLine="8"/>
        <w:spacing w:after="0" w:line="257" w:lineRule="auto"/>
        <w:tabs>
          <w:tab w:leader="none" w:pos="64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Delaware, without regard to any principles of conflicts of law which could cause the application of the laws of any jurisdiction other than the State of Delaware.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2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as of the day and year first above written.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Lamar Advertising Limited Partnership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Lamar Media Corp., its sole member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Grantee’s Signature: ______________________________</w:t>
      </w:r>
    </w:p>
    <w:p>
      <w:pPr>
        <w:sectPr>
          <w:pgSz w:w="11900" w:h="16838" w:orient="portrait"/>
          <w:cols w:equalWidth="0" w:num="1">
            <w:col w:w="10340"/>
          </w:cols>
          <w:pgMar w:left="320" w:top="1422" w:right="1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2024__ Performance Criteria</w:t>
      </w:r>
    </w:p>
    <w:p>
      <w:pPr>
        <w:spacing w:after="0" w:line="224" w:lineRule="exact"/>
        <w:rPr>
          <w:sz w:val="20"/>
          <w:szCs w:val="20"/>
          <w:color w:val="auto"/>
        </w:rPr>
      </w:pPr>
    </w:p>
    <w:p>
      <w:pPr>
        <w:jc w:val="both"/>
        <w:ind w:firstLine="268"/>
        <w:spacing w:after="0" w:line="253" w:lineRule="auto"/>
        <w:rPr>
          <w:sz w:val="20"/>
          <w:szCs w:val="20"/>
          <w:color w:val="auto"/>
        </w:rPr>
      </w:pPr>
      <w:r>
        <w:rPr>
          <w:rFonts w:ascii="Times New Roman" w:cs="Times New Roman" w:eastAsia="Times New Roman" w:hAnsi="Times New Roman"/>
          <w:sz w:val="22"/>
          <w:szCs w:val="22"/>
          <w:color w:val="auto"/>
        </w:rPr>
        <w:t xml:space="preserve">The Grantee’s Awared LTIP Units shall become vested based on the satisfaction of both the (i) the time vesting requirement described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of the Agreement, and (ii) the Performance Criteria described in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initial number of Award LTIP Units specified in Section 1 of the Agreement shall be the full award of LTIP Units that may be delivered upon settlement of this Agreement. This initial number of Award LTIP Units shall be adjusted based on the attainment of the Performance Criteria described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below.</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The performance period shall be the period between January 1, 2024 and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w:t>
      </w:r>
    </w:p>
    <w:p>
      <w:pPr>
        <w:spacing w:after="0" w:line="196" w:lineRule="exact"/>
        <w:rPr>
          <w:sz w:val="20"/>
          <w:szCs w:val="20"/>
          <w:color w:val="auto"/>
        </w:rPr>
      </w:pPr>
    </w:p>
    <w:p>
      <w:pPr>
        <w:jc w:val="both"/>
        <w:ind w:firstLine="656"/>
        <w:spacing w:after="0" w:line="256"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Value</w:t>
      </w:r>
      <w:r>
        <w:rPr>
          <w:rFonts w:ascii="Times New Roman" w:cs="Times New Roman" w:eastAsia="Times New Roman" w:hAnsi="Times New Roman"/>
          <w:sz w:val="22"/>
          <w:szCs w:val="22"/>
          <w:color w:val="auto"/>
        </w:rPr>
        <w:t>: The Award LTIP Units subject to this Agreement will be earned based on the Company’s performance for the Performance Period, subject to the exercise of any discretion by the Compensation Committee. Following the end of the Performance Period, the Committee shall determine the number of Award LTIP Units earned for the Performance Period.</w:t>
      </w:r>
    </w:p>
    <w:p>
      <w:pPr>
        <w:spacing w:after="0" w:line="176"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xml:space="preserve">: Fifty percent (50%) of the Award LTIP Units shall be earned based on the Company’s attainment of the Revenue factor described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below. The remaining fifty percent (50%) of the Award LTIP Units shall be earned based on the Company’s attainment of the EBITDA factor described in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below. In each case, such amounts may be subject to adjustment by the Compensation Committee.</w:t>
      </w:r>
    </w:p>
    <w:p>
      <w:pPr>
        <w:spacing w:after="0" w:line="17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Revenue Factor</w:t>
      </w:r>
      <w:r>
        <w:rPr>
          <w:rFonts w:ascii="Times New Roman" w:cs="Times New Roman" w:eastAsia="Times New Roman" w:hAnsi="Times New Roman"/>
          <w:sz w:val="22"/>
          <w:szCs w:val="22"/>
          <w:color w:val="auto"/>
        </w:rPr>
        <w:t xml:space="preserve"> – Revenue growth is the Company’s adjusted pro forma growth in annual revenue, as described in the Company’s annual proxy statement and the Form 10-K filed for each fiscal year, as determined by the Company and certified by the Audit Committee in their discretion. The Award Level for the Revenue Factor for the Performance Period shall be determined based on the following table:</w:t>
      </w:r>
    </w:p>
    <w:p>
      <w:pPr>
        <w:spacing w:after="0" w:line="197" w:lineRule="exact"/>
        <w:rPr>
          <w:sz w:val="20"/>
          <w:szCs w:val="20"/>
          <w:color w:val="auto"/>
        </w:rPr>
      </w:pPr>
    </w:p>
    <w:tbl>
      <w:tblPr>
        <w:tblLayout w:type="fixed"/>
        <w:tblInd w:w="1470" w:type="dxa"/>
        <w:tblCellMar>
          <w:top w:w="0" w:type="dxa"/>
          <w:left w:w="0" w:type="dxa"/>
          <w:bottom w:w="0" w:type="dxa"/>
          <w:right w:w="0" w:type="dxa"/>
        </w:tblCellMar>
      </w:tblPr>
      <w:tr>
        <w:trPr>
          <w:trHeight w:val="230"/>
        </w:trPr>
        <w:tc>
          <w:tcPr>
            <w:tcW w:w="2560" w:type="dxa"/>
            <w:vAlign w:val="bottom"/>
            <w:tcBorders>
              <w:top w:val="single" w:sz="8" w:color="auto"/>
              <w:left w:val="single" w:sz="8" w:color="auto"/>
              <w:right w:val="single" w:sz="8" w:color="auto"/>
            </w:tcBorders>
            <w:gridSpan w:val="6"/>
          </w:tcPr>
          <w:p>
            <w:pPr>
              <w:ind w:left="500"/>
              <w:spacing w:after="0" w:line="229" w:lineRule="exact"/>
              <w:rPr>
                <w:sz w:val="20"/>
                <w:szCs w:val="20"/>
                <w:color w:val="auto"/>
              </w:rPr>
            </w:pPr>
            <w:r>
              <w:rPr>
                <w:rFonts w:ascii="Times New Roman" w:cs="Times New Roman" w:eastAsia="Times New Roman" w:hAnsi="Times New Roman"/>
                <w:sz w:val="22"/>
                <w:szCs w:val="22"/>
                <w:b w:val="1"/>
                <w:bCs w:val="1"/>
                <w:color w:val="auto"/>
              </w:rPr>
              <w:t>Revenue Growth</w:t>
            </w:r>
          </w:p>
        </w:tc>
        <w:tc>
          <w:tcPr>
            <w:tcW w:w="580" w:type="dxa"/>
            <w:vAlign w:val="bottom"/>
            <w:tcBorders>
              <w:top w:val="single" w:sz="8" w:color="auto"/>
            </w:tcBorders>
          </w:tcPr>
          <w:p>
            <w:pPr>
              <w:spacing w:after="0"/>
              <w:rPr>
                <w:sz w:val="19"/>
                <w:szCs w:val="19"/>
                <w:color w:val="auto"/>
              </w:rPr>
            </w:pPr>
          </w:p>
        </w:tc>
        <w:tc>
          <w:tcPr>
            <w:tcW w:w="2360" w:type="dxa"/>
            <w:vAlign w:val="bottom"/>
            <w:tcBorders>
              <w:top w:val="single" w:sz="8" w:color="auto"/>
              <w:right w:val="single" w:sz="8" w:color="auto"/>
            </w:tcBorders>
            <w:gridSpan w:val="6"/>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Vesting Percentage</w:t>
            </w: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3.70%</w:t>
            </w:r>
          </w:p>
        </w:tc>
        <w:tc>
          <w:tcPr>
            <w:tcW w:w="500" w:type="dxa"/>
            <w:vAlign w:val="bottom"/>
            <w:tcBorders>
              <w:right w:val="single" w:sz="8" w:color="auto"/>
            </w:tcBorders>
          </w:tcPr>
          <w:p>
            <w:pPr>
              <w:spacing w:after="0"/>
              <w:rPr>
                <w:sz w:val="15"/>
                <w:szCs w:val="15"/>
                <w:color w:val="auto"/>
              </w:rPr>
            </w:pPr>
          </w:p>
        </w:tc>
        <w:tc>
          <w:tcPr>
            <w:tcW w:w="2320" w:type="dxa"/>
            <w:vAlign w:val="bottom"/>
            <w:gridSpan w:val="6"/>
          </w:tcPr>
          <w:p>
            <w:pPr>
              <w:jc w:val="center"/>
              <w:ind w:left="490"/>
              <w:spacing w:after="0" w:line="182" w:lineRule="exact"/>
              <w:rPr>
                <w:sz w:val="20"/>
                <w:szCs w:val="20"/>
                <w:color w:val="auto"/>
              </w:rPr>
            </w:pPr>
            <w:r>
              <w:rPr>
                <w:rFonts w:ascii="Arial" w:cs="Arial" w:eastAsia="Arial" w:hAnsi="Arial"/>
                <w:sz w:val="18"/>
                <w:szCs w:val="18"/>
                <w:color w:val="auto"/>
                <w:w w:val="99"/>
              </w:rPr>
              <w:t>120%</w:t>
            </w:r>
          </w:p>
        </w:tc>
        <w:tc>
          <w:tcPr>
            <w:tcW w:w="620" w:type="dxa"/>
            <w:vAlign w:val="bottom"/>
            <w:tcBorders>
              <w:right w:val="single" w:sz="8" w:color="auto"/>
            </w:tcBorders>
          </w:tcPr>
          <w:p>
            <w:pPr>
              <w:spacing w:after="0"/>
              <w:rPr>
                <w:sz w:val="15"/>
                <w:szCs w:val="15"/>
                <w:color w:val="auto"/>
              </w:rPr>
            </w:pPr>
          </w:p>
        </w:tc>
      </w:tr>
      <w:tr>
        <w:trPr>
          <w:trHeight w:val="20"/>
        </w:trPr>
        <w:tc>
          <w:tcPr>
            <w:tcW w:w="5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3.45%</w:t>
            </w:r>
          </w:p>
        </w:tc>
        <w:tc>
          <w:tcPr>
            <w:tcW w:w="50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30"/>
              <w:spacing w:after="0" w:line="182" w:lineRule="exact"/>
              <w:rPr>
                <w:sz w:val="20"/>
                <w:szCs w:val="20"/>
                <w:color w:val="auto"/>
              </w:rPr>
            </w:pPr>
            <w:r>
              <w:rPr>
                <w:rFonts w:ascii="Arial" w:cs="Arial" w:eastAsia="Arial" w:hAnsi="Arial"/>
                <w:sz w:val="18"/>
                <w:szCs w:val="18"/>
                <w:color w:val="auto"/>
                <w:w w:val="99"/>
              </w:rPr>
              <w:t>110%</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0"/>
        </w:trPr>
        <w:tc>
          <w:tcPr>
            <w:tcW w:w="5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3.20%</w:t>
            </w:r>
          </w:p>
        </w:tc>
        <w:tc>
          <w:tcPr>
            <w:tcW w:w="500" w:type="dxa"/>
            <w:vAlign w:val="bottom"/>
            <w:tcBorders>
              <w:right w:val="single" w:sz="8" w:color="auto"/>
            </w:tcBorders>
          </w:tcPr>
          <w:p>
            <w:pPr>
              <w:spacing w:after="0"/>
              <w:rPr>
                <w:sz w:val="15"/>
                <w:szCs w:val="15"/>
                <w:color w:val="auto"/>
              </w:rPr>
            </w:pPr>
          </w:p>
        </w:tc>
        <w:tc>
          <w:tcPr>
            <w:tcW w:w="2320" w:type="dxa"/>
            <w:vAlign w:val="bottom"/>
            <w:gridSpan w:val="6"/>
          </w:tcPr>
          <w:p>
            <w:pPr>
              <w:jc w:val="center"/>
              <w:ind w:left="490"/>
              <w:spacing w:after="0" w:line="182" w:lineRule="exact"/>
              <w:rPr>
                <w:sz w:val="20"/>
                <w:szCs w:val="20"/>
                <w:color w:val="auto"/>
              </w:rPr>
            </w:pPr>
            <w:r>
              <w:rPr>
                <w:rFonts w:ascii="Arial" w:cs="Arial" w:eastAsia="Arial" w:hAnsi="Arial"/>
                <w:sz w:val="18"/>
                <w:szCs w:val="18"/>
                <w:color w:val="auto"/>
                <w:w w:val="99"/>
              </w:rPr>
              <w:t>100%</w:t>
            </w:r>
          </w:p>
        </w:tc>
        <w:tc>
          <w:tcPr>
            <w:tcW w:w="620" w:type="dxa"/>
            <w:vAlign w:val="bottom"/>
            <w:tcBorders>
              <w:right w:val="single" w:sz="8" w:color="auto"/>
            </w:tcBorders>
          </w:tcPr>
          <w:p>
            <w:pPr>
              <w:spacing w:after="0"/>
              <w:rPr>
                <w:sz w:val="15"/>
                <w:szCs w:val="15"/>
                <w:color w:val="auto"/>
              </w:rPr>
            </w:pPr>
          </w:p>
        </w:tc>
      </w:tr>
      <w:tr>
        <w:trPr>
          <w:trHeight w:val="20"/>
        </w:trPr>
        <w:tc>
          <w:tcPr>
            <w:tcW w:w="5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2.90%</w:t>
            </w:r>
          </w:p>
        </w:tc>
        <w:tc>
          <w:tcPr>
            <w:tcW w:w="50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95%</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0"/>
        </w:trPr>
        <w:tc>
          <w:tcPr>
            <w:tcW w:w="5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2.60%</w:t>
            </w:r>
          </w:p>
        </w:tc>
        <w:tc>
          <w:tcPr>
            <w:tcW w:w="50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90%</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1"/>
        </w:trPr>
        <w:tc>
          <w:tcPr>
            <w:tcW w:w="5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2.30%</w:t>
            </w:r>
          </w:p>
        </w:tc>
        <w:tc>
          <w:tcPr>
            <w:tcW w:w="50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85%</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0"/>
        </w:trPr>
        <w:tc>
          <w:tcPr>
            <w:tcW w:w="5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2.00%</w:t>
            </w:r>
          </w:p>
        </w:tc>
        <w:tc>
          <w:tcPr>
            <w:tcW w:w="50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80%</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0"/>
        </w:trPr>
        <w:tc>
          <w:tcPr>
            <w:tcW w:w="5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1.70%</w:t>
            </w:r>
          </w:p>
        </w:tc>
        <w:tc>
          <w:tcPr>
            <w:tcW w:w="50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75%</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0"/>
        </w:trPr>
        <w:tc>
          <w:tcPr>
            <w:tcW w:w="5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1.40%</w:t>
            </w:r>
          </w:p>
        </w:tc>
        <w:tc>
          <w:tcPr>
            <w:tcW w:w="50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70%</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0"/>
        </w:trPr>
        <w:tc>
          <w:tcPr>
            <w:tcW w:w="5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1.10%</w:t>
            </w:r>
          </w:p>
        </w:tc>
        <w:tc>
          <w:tcPr>
            <w:tcW w:w="50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65%</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0"/>
        </w:trPr>
        <w:tc>
          <w:tcPr>
            <w:tcW w:w="500" w:type="dxa"/>
            <w:vAlign w:val="bottom"/>
            <w:tcBorders>
              <w:left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1304"/>
        <w:spacing w:after="0" w:line="263"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EBITDA Factor</w:t>
      </w:r>
      <w:r>
        <w:rPr>
          <w:rFonts w:ascii="Times New Roman" w:cs="Times New Roman" w:eastAsia="Times New Roman" w:hAnsi="Times New Roman"/>
          <w:sz w:val="22"/>
          <w:szCs w:val="22"/>
          <w:color w:val="auto"/>
        </w:rPr>
        <w:t xml:space="preserve"> – EBITDA growth shall be the Company’s pro forma growth in earnings before interest, taxes, depreciation, and amortization, as reported in the Company’s annual proxy statement, as determined by the Company and certified by the Audit</w:t>
      </w:r>
    </w:p>
    <w:p>
      <w:pPr>
        <w:sectPr>
          <w:pgSz w:w="11900" w:h="16838" w:orient="portrait"/>
          <w:cols w:equalWidth="0" w:num="1">
            <w:col w:w="11240"/>
          </w:cols>
          <w:pgMar w:left="320" w:top="1404" w:right="339" w:bottom="1440" w:gutter="0" w:footer="0" w:header="0"/>
        </w:sectPr>
      </w:pPr>
    </w:p>
    <w:bookmarkStart w:id="57" w:name="page58"/>
    <w:bookmarkEnd w:id="5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Committee in their discretion. The Award Level for the EBITDA Factor for the Performance Period shall be determined based on the following table:</w:t>
      </w:r>
    </w:p>
    <w:p>
      <w:pPr>
        <w:spacing w:after="0" w:line="179" w:lineRule="exact"/>
        <w:rPr>
          <w:sz w:val="20"/>
          <w:szCs w:val="20"/>
          <w:color w:val="auto"/>
        </w:rPr>
      </w:pPr>
    </w:p>
    <w:tbl>
      <w:tblPr>
        <w:tblLayout w:type="fixed"/>
        <w:tblInd w:w="1470" w:type="dxa"/>
        <w:tblCellMar>
          <w:top w:w="0" w:type="dxa"/>
          <w:left w:w="0" w:type="dxa"/>
          <w:bottom w:w="0" w:type="dxa"/>
          <w:right w:w="0" w:type="dxa"/>
        </w:tblCellMar>
      </w:tblPr>
      <w:tr>
        <w:trPr>
          <w:trHeight w:val="230"/>
        </w:trPr>
        <w:tc>
          <w:tcPr>
            <w:tcW w:w="2560" w:type="dxa"/>
            <w:vAlign w:val="bottom"/>
            <w:tcBorders>
              <w:top w:val="single" w:sz="8" w:color="auto"/>
              <w:left w:val="single" w:sz="8" w:color="auto"/>
              <w:right w:val="single" w:sz="8" w:color="auto"/>
            </w:tcBorders>
            <w:gridSpan w:val="6"/>
          </w:tcPr>
          <w:p>
            <w:pPr>
              <w:ind w:left="480"/>
              <w:spacing w:after="0" w:line="229" w:lineRule="exact"/>
              <w:rPr>
                <w:sz w:val="20"/>
                <w:szCs w:val="20"/>
                <w:color w:val="auto"/>
              </w:rPr>
            </w:pPr>
            <w:r>
              <w:rPr>
                <w:rFonts w:ascii="Times New Roman" w:cs="Times New Roman" w:eastAsia="Times New Roman" w:hAnsi="Times New Roman"/>
                <w:sz w:val="22"/>
                <w:szCs w:val="22"/>
                <w:b w:val="1"/>
                <w:bCs w:val="1"/>
                <w:color w:val="auto"/>
              </w:rPr>
              <w:t>EBITDA Growth</w:t>
            </w:r>
          </w:p>
        </w:tc>
        <w:tc>
          <w:tcPr>
            <w:tcW w:w="580" w:type="dxa"/>
            <w:vAlign w:val="bottom"/>
            <w:tcBorders>
              <w:top w:val="single" w:sz="8" w:color="auto"/>
            </w:tcBorders>
          </w:tcPr>
          <w:p>
            <w:pPr>
              <w:spacing w:after="0"/>
              <w:rPr>
                <w:sz w:val="19"/>
                <w:szCs w:val="19"/>
                <w:color w:val="auto"/>
              </w:rPr>
            </w:pPr>
          </w:p>
        </w:tc>
        <w:tc>
          <w:tcPr>
            <w:tcW w:w="2360" w:type="dxa"/>
            <w:vAlign w:val="bottom"/>
            <w:tcBorders>
              <w:top w:val="single" w:sz="8" w:color="auto"/>
              <w:right w:val="single" w:sz="8" w:color="auto"/>
            </w:tcBorders>
            <w:gridSpan w:val="6"/>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Vesting Percentage</w:t>
            </w: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4.10%</w:t>
            </w:r>
          </w:p>
        </w:tc>
        <w:tc>
          <w:tcPr>
            <w:tcW w:w="480" w:type="dxa"/>
            <w:vAlign w:val="bottom"/>
            <w:tcBorders>
              <w:right w:val="single" w:sz="8" w:color="auto"/>
            </w:tcBorders>
          </w:tcPr>
          <w:p>
            <w:pPr>
              <w:spacing w:after="0"/>
              <w:rPr>
                <w:sz w:val="15"/>
                <w:szCs w:val="15"/>
                <w:color w:val="auto"/>
              </w:rPr>
            </w:pPr>
          </w:p>
        </w:tc>
        <w:tc>
          <w:tcPr>
            <w:tcW w:w="2320" w:type="dxa"/>
            <w:vAlign w:val="bottom"/>
            <w:gridSpan w:val="6"/>
          </w:tcPr>
          <w:p>
            <w:pPr>
              <w:jc w:val="center"/>
              <w:ind w:left="490"/>
              <w:spacing w:after="0" w:line="182" w:lineRule="exact"/>
              <w:rPr>
                <w:sz w:val="20"/>
                <w:szCs w:val="20"/>
                <w:color w:val="auto"/>
              </w:rPr>
            </w:pPr>
            <w:r>
              <w:rPr>
                <w:rFonts w:ascii="Arial" w:cs="Arial" w:eastAsia="Arial" w:hAnsi="Arial"/>
                <w:sz w:val="18"/>
                <w:szCs w:val="18"/>
                <w:color w:val="auto"/>
                <w:w w:val="99"/>
              </w:rPr>
              <w:t>120%</w:t>
            </w:r>
          </w:p>
        </w:tc>
        <w:tc>
          <w:tcPr>
            <w:tcW w:w="620" w:type="dxa"/>
            <w:vAlign w:val="bottom"/>
            <w:tcBorders>
              <w:right w:val="single" w:sz="8" w:color="auto"/>
            </w:tcBorders>
          </w:tcPr>
          <w:p>
            <w:pPr>
              <w:spacing w:after="0"/>
              <w:rPr>
                <w:sz w:val="15"/>
                <w:szCs w:val="15"/>
                <w:color w:val="auto"/>
              </w:rPr>
            </w:pPr>
          </w:p>
        </w:tc>
      </w:tr>
      <w:tr>
        <w:trPr>
          <w:trHeight w:val="21"/>
        </w:trPr>
        <w:tc>
          <w:tcPr>
            <w:tcW w:w="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3.60%</w:t>
            </w:r>
          </w:p>
        </w:tc>
        <w:tc>
          <w:tcPr>
            <w:tcW w:w="48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30"/>
              <w:spacing w:after="0" w:line="182" w:lineRule="exact"/>
              <w:rPr>
                <w:sz w:val="20"/>
                <w:szCs w:val="20"/>
                <w:color w:val="auto"/>
              </w:rPr>
            </w:pPr>
            <w:r>
              <w:rPr>
                <w:rFonts w:ascii="Arial" w:cs="Arial" w:eastAsia="Arial" w:hAnsi="Arial"/>
                <w:sz w:val="18"/>
                <w:szCs w:val="18"/>
                <w:color w:val="auto"/>
                <w:w w:val="99"/>
              </w:rPr>
              <w:t>110%</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3.10%</w:t>
            </w:r>
          </w:p>
        </w:tc>
        <w:tc>
          <w:tcPr>
            <w:tcW w:w="480" w:type="dxa"/>
            <w:vAlign w:val="bottom"/>
            <w:tcBorders>
              <w:right w:val="single" w:sz="8" w:color="auto"/>
            </w:tcBorders>
          </w:tcPr>
          <w:p>
            <w:pPr>
              <w:spacing w:after="0"/>
              <w:rPr>
                <w:sz w:val="15"/>
                <w:szCs w:val="15"/>
                <w:color w:val="auto"/>
              </w:rPr>
            </w:pPr>
          </w:p>
        </w:tc>
        <w:tc>
          <w:tcPr>
            <w:tcW w:w="2320" w:type="dxa"/>
            <w:vAlign w:val="bottom"/>
            <w:gridSpan w:val="6"/>
          </w:tcPr>
          <w:p>
            <w:pPr>
              <w:jc w:val="center"/>
              <w:ind w:left="490"/>
              <w:spacing w:after="0" w:line="182" w:lineRule="exact"/>
              <w:rPr>
                <w:sz w:val="20"/>
                <w:szCs w:val="20"/>
                <w:color w:val="auto"/>
              </w:rPr>
            </w:pPr>
            <w:r>
              <w:rPr>
                <w:rFonts w:ascii="Arial" w:cs="Arial" w:eastAsia="Arial" w:hAnsi="Arial"/>
                <w:sz w:val="18"/>
                <w:szCs w:val="18"/>
                <w:color w:val="auto"/>
                <w:w w:val="99"/>
              </w:rPr>
              <w:t>100%</w:t>
            </w:r>
          </w:p>
        </w:tc>
        <w:tc>
          <w:tcPr>
            <w:tcW w:w="620" w:type="dxa"/>
            <w:vAlign w:val="bottom"/>
            <w:tcBorders>
              <w:right w:val="single" w:sz="8" w:color="auto"/>
            </w:tcBorders>
          </w:tcPr>
          <w:p>
            <w:pPr>
              <w:spacing w:after="0"/>
              <w:rPr>
                <w:sz w:val="15"/>
                <w:szCs w:val="15"/>
                <w:color w:val="auto"/>
              </w:rPr>
            </w:pPr>
          </w:p>
        </w:tc>
      </w:tr>
      <w:tr>
        <w:trPr>
          <w:trHeight w:val="21"/>
        </w:trPr>
        <w:tc>
          <w:tcPr>
            <w:tcW w:w="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2.80%</w:t>
            </w:r>
          </w:p>
        </w:tc>
        <w:tc>
          <w:tcPr>
            <w:tcW w:w="48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95%</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1"/>
        </w:trPr>
        <w:tc>
          <w:tcPr>
            <w:tcW w:w="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2.50%</w:t>
            </w:r>
          </w:p>
        </w:tc>
        <w:tc>
          <w:tcPr>
            <w:tcW w:w="48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90%</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2.20%</w:t>
            </w:r>
          </w:p>
        </w:tc>
        <w:tc>
          <w:tcPr>
            <w:tcW w:w="48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85%</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1"/>
        </w:trPr>
        <w:tc>
          <w:tcPr>
            <w:tcW w:w="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1.90%</w:t>
            </w:r>
          </w:p>
        </w:tc>
        <w:tc>
          <w:tcPr>
            <w:tcW w:w="48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80%</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1.60%</w:t>
            </w:r>
          </w:p>
        </w:tc>
        <w:tc>
          <w:tcPr>
            <w:tcW w:w="48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75%</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1"/>
        </w:trPr>
        <w:tc>
          <w:tcPr>
            <w:tcW w:w="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1.30%</w:t>
            </w:r>
          </w:p>
        </w:tc>
        <w:tc>
          <w:tcPr>
            <w:tcW w:w="48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70%</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1"/>
        </w:trPr>
        <w:tc>
          <w:tcPr>
            <w:tcW w:w="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1.00%</w:t>
            </w:r>
          </w:p>
        </w:tc>
        <w:tc>
          <w:tcPr>
            <w:tcW w:w="480" w:type="dxa"/>
            <w:vAlign w:val="bottom"/>
            <w:tcBorders>
              <w:right w:val="single" w:sz="8" w:color="auto"/>
            </w:tcBorders>
          </w:tcPr>
          <w:p>
            <w:pPr>
              <w:spacing w:after="0"/>
              <w:rPr>
                <w:sz w:val="15"/>
                <w:szCs w:val="15"/>
                <w:color w:val="auto"/>
              </w:rPr>
            </w:pPr>
          </w:p>
        </w:tc>
        <w:tc>
          <w:tcPr>
            <w:tcW w:w="1680" w:type="dxa"/>
            <w:vAlign w:val="bottom"/>
            <w:gridSpan w:val="5"/>
          </w:tcPr>
          <w:p>
            <w:pPr>
              <w:jc w:val="center"/>
              <w:ind w:left="1150"/>
              <w:spacing w:after="0" w:line="182" w:lineRule="exact"/>
              <w:rPr>
                <w:sz w:val="20"/>
                <w:szCs w:val="20"/>
                <w:color w:val="auto"/>
              </w:rPr>
            </w:pPr>
            <w:r>
              <w:rPr>
                <w:rFonts w:ascii="Arial" w:cs="Arial" w:eastAsia="Arial" w:hAnsi="Arial"/>
                <w:sz w:val="18"/>
                <w:szCs w:val="18"/>
                <w:color w:val="auto"/>
                <w:w w:val="99"/>
              </w:rPr>
              <w:t>65%</w:t>
            </w:r>
          </w:p>
        </w:tc>
        <w:tc>
          <w:tcPr>
            <w:tcW w:w="64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21"/>
        </w:trPr>
        <w:tc>
          <w:tcPr>
            <w:tcW w:w="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firstLine="1304"/>
        <w:spacing w:after="0" w:line="271" w:lineRule="auto"/>
        <w:tabs>
          <w:tab w:leader="none" w:pos="19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Any portion of the Award LTIP Units which are not earned, as determined by the Compensation Committee shall be deemed forfeited as of the last day of the Performance Period.</w:t>
      </w:r>
    </w:p>
    <w:p>
      <w:pPr>
        <w:sectPr>
          <w:pgSz w:w="11900" w:h="16838" w:orient="portrait"/>
          <w:cols w:equalWidth="0" w:num="1">
            <w:col w:w="11240"/>
          </w:cols>
          <w:pgMar w:left="320" w:top="144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March 31, 2024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4"/>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9"/>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1"/>
    </w:lvl>
  </w:abstractNum>
  <w:abstractNum w:abstractNumId="14">
    <w:nsid w:val="737B8DDC"/>
    <w:multiLevelType w:val="hybridMultilevel"/>
    <w:lvl w:ilvl="0">
      <w:lvlJc w:val="left"/>
      <w:lvlText w:val="%1."/>
      <w:numFmt w:val="decimal"/>
      <w:start w:val="12"/>
    </w:lvl>
  </w:abstractNum>
  <w:abstractNum w:abstractNumId="15">
    <w:nsid w:val="6CEAF087"/>
    <w:multiLevelType w:val="hybridMultilevel"/>
    <w:lvl w:ilvl="0">
      <w:lvlJc w:val="left"/>
      <w:lvlText w:val="%1."/>
      <w:numFmt w:val="decimal"/>
      <w:start w:val="13"/>
    </w:lvl>
  </w:abstractNum>
  <w:abstractNum w:abstractNumId="16">
    <w:nsid w:val="22221A70"/>
    <w:multiLevelType w:val="hybridMultilevel"/>
    <w:lvl w:ilvl="0">
      <w:lvlJc w:val="left"/>
      <w:lvlText w:val="%1."/>
      <w:numFmt w:val="decimal"/>
      <w:start w:val="14"/>
    </w:lvl>
  </w:abstractNum>
  <w:abstractNum w:abstractNumId="17">
    <w:nsid w:val="4516DDE9"/>
    <w:multiLevelType w:val="hybridMultilevel"/>
    <w:lvl w:ilvl="0">
      <w:lvlJc w:val="left"/>
      <w:lvlText w:val="%1."/>
      <w:numFmt w:val="decimal"/>
      <w:start w:val="15"/>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lowerRoman"/>
      <w:start w:val="4"/>
    </w:lvl>
  </w:abstractNum>
  <w:abstractNum w:abstractNumId="23">
    <w:nsid w:val="5072367"/>
    <w:multiLevelType w:val="hybridMultilevel"/>
    <w:lvl w:ilvl="0">
      <w:lvlJc w:val="left"/>
      <w:lvlText w:val="(%1)"/>
      <w:numFmt w:val="lowerRoman"/>
      <w:start w:val="7"/>
    </w:lvl>
  </w:abstractNum>
  <w:abstractNum w:abstractNumId="24">
    <w:nsid w:val="3804823E"/>
    <w:multiLevelType w:val="hybridMultilevel"/>
    <w:lvl w:ilvl="0">
      <w:lvlJc w:val="left"/>
      <w:lvlText w:val="(%1)"/>
      <w:numFmt w:val="decimal"/>
      <w:start w:val="2"/>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lowerRoman"/>
      <w:start w:val="5"/>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2"/>
    </w:lvl>
  </w:abstractNum>
  <w:abstractNum w:abstractNumId="31">
    <w:nsid w:val="2D517796"/>
    <w:multiLevelType w:val="hybridMultilevel"/>
    <w:lvl w:ilvl="0">
      <w:lvlJc w:val="left"/>
      <w:lvlText w:val="%1"/>
      <w:numFmt w:val="decimal"/>
      <w:start w:val="101"/>
    </w:lvl>
  </w:abstractNum>
  <w:abstractNum w:abstractNumId="32">
    <w:nsid w:val="580BD78F"/>
    <w:multiLevelType w:val="hybridMultilevel"/>
    <w:lvl w:ilvl="0">
      <w:lvlJc w:val="left"/>
      <w:lvlText w:val="%1"/>
      <w:numFmt w:val="decimal"/>
      <w:start w:val="104"/>
    </w:lvl>
  </w:abstractNum>
  <w:abstractNum w:abstractNumId="33">
    <w:nsid w:val="153EA438"/>
    <w:multiLevelType w:val="hybridMultilevel"/>
    <w:lvl w:ilvl="0">
      <w:lvlJc w:val="left"/>
      <w:lvlText w:val="%1."/>
      <w:numFmt w:val="decimal"/>
      <w:start w:val="1"/>
    </w:lvl>
    <w:lvl w:ilvl="1">
      <w:lvlJc w:val="left"/>
      <w:lvlText w:val="(%2)"/>
      <w:numFmt w:val="lowerLetter"/>
      <w:start w:val="1"/>
    </w:lvl>
  </w:abstractNum>
  <w:abstractNum w:abstractNumId="34">
    <w:nsid w:val="3855585C"/>
    <w:multiLevelType w:val="hybridMultilevel"/>
    <w:lvl w:ilvl="0">
      <w:lvlJc w:val="left"/>
      <w:lvlText w:val="%1."/>
      <w:numFmt w:val="decimal"/>
      <w:start w:val="2"/>
    </w:lvl>
    <w:lvl w:ilvl="1">
      <w:lvlJc w:val="left"/>
      <w:lvlText w:val="(%2)"/>
      <w:numFmt w:val="lowerLetter"/>
      <w:start w:val="1"/>
    </w:lvl>
  </w:abstractNum>
  <w:abstractNum w:abstractNumId="35">
    <w:nsid w:val="70A64E2A"/>
    <w:multiLevelType w:val="hybridMultilevel"/>
    <w:lvl w:ilvl="0">
      <w:lvlJc w:val="left"/>
      <w:lvlText w:val="%1."/>
      <w:numFmt w:val="decimal"/>
      <w:start w:val="5"/>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decimal"/>
      <w:start w:val="1"/>
    </w:lvl>
    <w:lvl w:ilvl="1">
      <w:lvlJc w:val="left"/>
      <w:lvlText w:val="(%2)"/>
      <w:numFmt w:val="lowerLetter"/>
      <w:start w:val="2"/>
    </w:lvl>
  </w:abstractNum>
  <w:abstractNum w:abstractNumId="38">
    <w:nsid w:val="1D4ED43B"/>
    <w:multiLevelType w:val="hybridMultilevel"/>
    <w:lvl w:ilvl="0">
      <w:lvlJc w:val="left"/>
      <w:lvlText w:val="%1."/>
      <w:numFmt w:val="decimal"/>
      <w:start w:val="8"/>
    </w:lvl>
    <w:lvl w:ilvl="1">
      <w:lvlJc w:val="left"/>
      <w:lvlText w:val="%2"/>
      <w:numFmt w:val="lowerLetter"/>
      <w:start w:val="1"/>
    </w:lvl>
  </w:abstractNum>
  <w:abstractNum w:abstractNumId="39">
    <w:nsid w:val="725A06FB"/>
    <w:multiLevelType w:val="hybridMultilevel"/>
    <w:lvl w:ilvl="0">
      <w:lvlJc w:val="left"/>
      <w:lvlText w:val="%1."/>
      <w:numFmt w:val="decimal"/>
      <w:start w:val="10"/>
    </w:lvl>
    <w:lvl w:ilvl="1">
      <w:lvlJc w:val="left"/>
      <w:lvlText w:val="(%2)"/>
      <w:numFmt w:val="lowerLetter"/>
      <w:start w:val="1"/>
    </w:lvl>
  </w:abstractNum>
  <w:abstractNum w:abstractNumId="40">
    <w:nsid w:val="2CD89A32"/>
    <w:multiLevelType w:val="hybridMultilevel"/>
    <w:lvl w:ilvl="0">
      <w:lvlJc w:val="left"/>
      <w:lvlText w:val="(%1)"/>
      <w:numFmt w:val="lowerLetter"/>
      <w:start w:val="4"/>
    </w:lvl>
  </w:abstractNum>
  <w:abstractNum w:abstractNumId="41">
    <w:nsid w:val="57E4CCAF"/>
    <w:multiLevelType w:val="hybridMultilevel"/>
    <w:lvl w:ilvl="0">
      <w:lvlJc w:val="left"/>
      <w:lvlText w:val="(%1)"/>
      <w:numFmt w:val="lowerLetter"/>
      <w:start w:val="10"/>
    </w:lvl>
  </w:abstractNum>
  <w:abstractNum w:abstractNumId="42">
    <w:nsid w:val="7A6D8D3C"/>
    <w:multiLevelType w:val="hybridMultilevel"/>
    <w:lvl w:ilvl="0">
      <w:lvlJc w:val="left"/>
      <w:lvlText w:val="%1."/>
      <w:numFmt w:val="decimal"/>
      <w:start w:val="13"/>
    </w:lvl>
  </w:abstractNum>
  <w:abstractNum w:abstractNumId="43">
    <w:nsid w:val="4B588F54"/>
    <w:multiLevelType w:val="hybridMultilevel"/>
    <w:lvl w:ilvl="0">
      <w:lvlJc w:val="left"/>
      <w:lvlText w:val="%1."/>
      <w:numFmt w:val="decimal"/>
      <w:start w:val="2"/>
    </w:lvl>
    <w:lvl w:ilvl="1">
      <w:lvlJc w:val="left"/>
      <w:lvlText w:val="(%2)"/>
      <w:numFmt w:val="lowerLetter"/>
      <w:start w:val="1"/>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lowerLetter"/>
      <w:start w:val="3"/>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67" Type="http://schemas.openxmlformats.org/officeDocument/2006/relationships/hyperlink" Target="https://www.sec.gov/Archives/edgar/data/1090425/000119312514417756/d823054dex31.htm" TargetMode="External"/><Relationship Id="rId68" Type="http://schemas.openxmlformats.org/officeDocument/2006/relationships/hyperlink" Target="https://www.sec.gov/Archives/edgar/data/1090425/000119312514417756/d823054dex32.htm" TargetMode="External"/><Relationship Id="rId69" Type="http://schemas.openxmlformats.org/officeDocument/2006/relationships/hyperlink" Target="https://www.sec.gov/Archives/edgar/data/899045/000095013407011105/d46520exv3w2.htm" TargetMode="External"/><Relationship Id="rId70" Type="http://schemas.openxmlformats.org/officeDocument/2006/relationships/hyperlink" Target="https://www.sec.gov/Archives/edgar/data/1090425/000119312514417756/d823054dex33.htm" TargetMode="External"/><Relationship Id="rId71" Type="http://schemas.openxmlformats.org/officeDocument/2006/relationships/hyperlink" Target="https://www.sec.gov/Archives/edgar/data/899045/000095013499009877/0000950134-99-00987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2024-05-02T11:24:28Z</dcterms:created>
  <dcterms:modified xsi:type="dcterms:W3CDTF">2024-05-02T11:24:28Z</dcterms:modified>
</cp:coreProperties>
</file>