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0378d8k.htm"/>
      <w:bookmarkStart w:id="1" w:name="ksd18037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October 1,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LAMAR ADVERTISING COMPANY</w:t>
      </w:r>
    </w:p>
    <w:p>
      <w:pPr>
        <w:pStyle w:val="TextBody"/>
        <w:bidi w:val="0"/>
        <w:spacing w:before="240" w:after="0"/>
        <w:jc w:val="center"/>
        <w:rPr>
          <w:rFonts w:ascii="Times New Roman" w:hAnsi="Times New Roman"/>
          <w:b/>
          <w:sz w:val="48"/>
        </w:rPr>
      </w:pPr>
      <w:r>
        <w:rPr>
          <w:rFonts w:ascii="Times New Roman" w:hAnsi="Times New Roman"/>
          <w:b/>
          <w:sz w:val="48"/>
        </w:rPr>
        <w:t xml:space="preserve">LAMAR MEDIA CORP.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registrants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970" w:type="dxa"/>
        <w:jc w:val="left"/>
        <w:tblInd w:w="0" w:type="dxa"/>
        <w:tblLayout w:type="fixed"/>
        <w:tblCellMar>
          <w:top w:w="0" w:type="dxa"/>
          <w:left w:w="0" w:type="dxa"/>
          <w:bottom w:w="0" w:type="dxa"/>
          <w:right w:w="0" w:type="dxa"/>
        </w:tblCellMar>
      </w:tblPr>
      <w:tblGrid>
        <w:gridCol w:w="2105"/>
        <w:gridCol w:w="60"/>
        <w:gridCol w:w="1775"/>
        <w:gridCol w:w="60"/>
        <w:gridCol w:w="1970"/>
      </w:tblGrid>
      <w:tr>
        <w:trPr/>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Delaware</w:t>
            </w:r>
          </w:p>
          <w:p>
            <w:pPr>
              <w:pStyle w:val="TableContents"/>
              <w:bidi w:val="0"/>
              <w:spacing w:before="0" w:after="20"/>
              <w:jc w:val="center"/>
              <w:rPr>
                <w:rFonts w:ascii="Times New Roman" w:hAnsi="Times New Roman"/>
                <w:b/>
                <w:sz w:val="20"/>
              </w:rPr>
            </w:pPr>
            <w:r>
              <w:rPr>
                <w:rFonts w:ascii="Times New Roman" w:hAnsi="Times New Roman"/>
                <w:b/>
                <w:sz w:val="20"/>
              </w:rPr>
              <w:t>Delaware</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jc w:val="center"/>
              <w:rPr>
                <w:rFonts w:ascii="Times New Roman" w:hAnsi="Times New Roman"/>
                <w:b/>
                <w:spacing w:val="0"/>
                <w:sz w:val="20"/>
              </w:rPr>
            </w:pPr>
            <w:r>
              <w:rPr>
                <w:rFonts w:ascii="Times New Roman" w:hAnsi="Times New Roman"/>
                <w:b/>
                <w:spacing w:val="0"/>
                <w:sz w:val="20"/>
              </w:rPr>
              <w:t>1-36756</w:t>
            </w:r>
          </w:p>
          <w:p>
            <w:pPr>
              <w:pStyle w:val="TableContents"/>
              <w:bidi w:val="0"/>
              <w:spacing w:before="0" w:after="20"/>
              <w:jc w:val="center"/>
              <w:rPr>
                <w:rFonts w:ascii="Times New Roman" w:hAnsi="Times New Roman"/>
                <w:b/>
                <w:spacing w:val="0"/>
                <w:sz w:val="20"/>
              </w:rPr>
            </w:pPr>
            <w:r>
              <w:rPr>
                <w:rFonts w:ascii="Times New Roman" w:hAnsi="Times New Roman"/>
                <w:b/>
                <w:spacing w:val="0"/>
                <w:sz w:val="20"/>
              </w:rPr>
              <w:t>1-12407</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jc w:val="center"/>
              <w:rPr>
                <w:rFonts w:ascii="Times New Roman" w:hAnsi="Times New Roman"/>
                <w:b/>
                <w:spacing w:val="0"/>
                <w:sz w:val="20"/>
              </w:rPr>
            </w:pPr>
            <w:r>
              <w:rPr>
                <w:rFonts w:ascii="Times New Roman" w:hAnsi="Times New Roman"/>
                <w:b/>
                <w:spacing w:val="0"/>
                <w:sz w:val="20"/>
              </w:rPr>
              <w:t>47-0961620</w:t>
            </w:r>
          </w:p>
          <w:p>
            <w:pPr>
              <w:pStyle w:val="TableContents"/>
              <w:bidi w:val="0"/>
              <w:spacing w:before="0" w:after="20"/>
              <w:jc w:val="center"/>
              <w:rPr>
                <w:rFonts w:ascii="Times New Roman" w:hAnsi="Times New Roman"/>
                <w:b/>
                <w:spacing w:val="0"/>
                <w:sz w:val="20"/>
              </w:rPr>
            </w:pPr>
            <w:r>
              <w:rPr>
                <w:rFonts w:ascii="Times New Roman" w:hAnsi="Times New Roman"/>
                <w:b/>
                <w:spacing w:val="0"/>
                <w:sz w:val="20"/>
              </w:rPr>
              <w:t>72-1205791</w:t>
            </w:r>
          </w:p>
        </w:tc>
      </w:tr>
      <w:tr>
        <w:trPr/>
        <w:tc>
          <w:tcPr>
            <w:tcW w:w="2105" w:type="dxa"/>
            <w:tcBorders/>
            <w:vAlign w:val="center"/>
          </w:tcPr>
          <w:p>
            <w:pPr>
              <w:pStyle w:val="TableContents"/>
              <w:bidi w:val="0"/>
              <w:spacing w:before="0" w:after="20"/>
              <w:jc w:val="center"/>
              <w:rPr>
                <w:rFonts w:ascii="Times New Roman" w:hAnsi="Times New Roman"/>
                <w:b/>
                <w:sz w:val="16"/>
              </w:rPr>
            </w:pPr>
            <w:r>
              <w:rPr>
                <w:rFonts w:ascii="Times New Roman" w:hAnsi="Times New Roman"/>
                <w:b/>
                <w:sz w:val="16"/>
              </w:rPr>
              <w:t>(States or other jurisdictions</w:t>
              <w:br/>
              <w:t>of incorporation)</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jc w:val="center"/>
              <w:rPr>
                <w:b/>
                <w:spacing w:val="0"/>
              </w:rPr>
            </w:pPr>
            <w:r>
              <w:rPr>
                <w:b/>
                <w:spacing w:val="0"/>
              </w:rPr>
              <w:t>(Commission File</w:t>
              <w:br/>
              <w:t>Numbers)</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jc w:val="center"/>
              <w:rPr>
                <w:b/>
                <w:spacing w:val="0"/>
              </w:rPr>
            </w:pPr>
            <w:r>
              <w:rPr>
                <w:b/>
                <w:spacing w:val="0"/>
              </w:rPr>
              <w:t>(IRS Employer</w:t>
              <w:br/>
              <w:t>Identification Nos.)</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5321 Corporate Boulevard, Baton Rouge, Louisiana 70808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and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(225)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926-1000</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(see General Instruction A.2. below):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0"/>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0"/>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240" w:after="0"/>
        <w:jc w:val="left"/>
        <w:rPr>
          <w:rFonts w:ascii="Times New Roman" w:hAnsi="Times New Roman"/>
          <w:sz w:val="20"/>
        </w:rPr>
      </w:pPr>
      <w:r>
        <w:rPr>
          <w:rFonts w:ascii="Times New Roman" w:hAnsi="Times New Roman"/>
          <w:sz w:val="20"/>
        </w:rPr>
        <w:t xml:space="preserve">Lamar Advertising Company securities registered pursuant to Section 12(b) of the Act: </w:t>
      </w:r>
    </w:p>
    <w:p>
      <w:pPr>
        <w:pStyle w:val="TextBody"/>
        <w:bidi w:val="0"/>
        <w:spacing w:before="0" w:after="0"/>
        <w:jc w:val="left"/>
        <w:rPr/>
      </w:pPr>
      <w:r>
        <w:rPr/>
        <w:t> </w:t>
      </w:r>
    </w:p>
    <w:tbl>
      <w:tblPr>
        <w:tblW w:w="8640" w:type="dxa"/>
        <w:jc w:val="left"/>
        <w:tblInd w:w="0" w:type="dxa"/>
        <w:tblLayout w:type="fixed"/>
        <w:tblCellMar>
          <w:top w:w="0" w:type="dxa"/>
          <w:left w:w="0" w:type="dxa"/>
          <w:bottom w:w="0" w:type="dxa"/>
          <w:right w:w="0" w:type="dxa"/>
        </w:tblCellMar>
      </w:tblPr>
      <w:tblGrid>
        <w:gridCol w:w="4130"/>
        <w:gridCol w:w="60"/>
        <w:gridCol w:w="770"/>
        <w:gridCol w:w="60"/>
        <w:gridCol w:w="3620"/>
      </w:tblGrid>
      <w:tr>
        <w:trPr/>
        <w:tc>
          <w:tcPr>
            <w:tcW w:w="4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1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62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30" w:type="dxa"/>
            <w:tcBorders/>
            <w:vAlign w:val="center"/>
          </w:tcPr>
          <w:p>
            <w:pPr>
              <w:pStyle w:val="TableContents"/>
              <w:bidi w:val="0"/>
              <w:spacing w:before="0" w:after="0"/>
              <w:jc w:val="center"/>
              <w:rPr>
                <w:b/>
                <w:spacing w:val="0"/>
              </w:rPr>
            </w:pPr>
            <w:r>
              <w:rPr>
                <w:b/>
                <w:spacing w:val="0"/>
              </w:rPr>
              <w:t>Class A common stock, $0.001 par value</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0"/>
              <w:jc w:val="center"/>
              <w:rPr>
                <w:b/>
                <w:spacing w:val="0"/>
              </w:rPr>
            </w:pPr>
            <w:r>
              <w:rPr>
                <w:b/>
                <w:spacing w:val="0"/>
              </w:rPr>
              <w:t>LAMR</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jc w:val="center"/>
              <w:rPr>
                <w:b/>
                <w:spacing w:val="0"/>
              </w:rPr>
            </w:pPr>
            <w:r>
              <w:rPr>
                <w:b/>
                <w:spacing w:val="0"/>
              </w:rPr>
              <w:t>The NASDAQ Stock Market, LLC</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Lamar Media Corp. securities registered pursuant to Section 12(b) of the Act: none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(17 CFR §230.405) or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(17 CFR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0" w:after="0"/>
        <w:jc w:val="left"/>
        <w:rPr/>
      </w:pPr>
      <w:r>
        <w:rPr/>
        <w:t> </w:t>
      </w:r>
    </w:p>
    <w:tbl>
      <w:tblPr>
        <w:tblW w:w="6470" w:type="dxa"/>
        <w:jc w:val="left"/>
        <w:tblInd w:w="0" w:type="dxa"/>
        <w:tblLayout w:type="fixed"/>
        <w:tblCellMar>
          <w:top w:w="0" w:type="dxa"/>
          <w:left w:w="0" w:type="dxa"/>
          <w:bottom w:w="0" w:type="dxa"/>
          <w:right w:w="0" w:type="dxa"/>
        </w:tblCellMar>
      </w:tblPr>
      <w:tblGrid>
        <w:gridCol w:w="2810"/>
        <w:gridCol w:w="60"/>
        <w:gridCol w:w="260"/>
        <w:gridCol w:w="120"/>
        <w:gridCol w:w="2915"/>
        <w:gridCol w:w="60"/>
        <w:gridCol w:w="245"/>
      </w:tblGrid>
      <w:tr>
        <w:trPr/>
        <w:tc>
          <w:tcPr>
            <w:tcW w:w="2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810" w:type="dxa"/>
            <w:tcBorders/>
            <w:vAlign w:val="center"/>
          </w:tcPr>
          <w:p>
            <w:pPr>
              <w:pStyle w:val="TableContents"/>
              <w:bidi w:val="0"/>
              <w:spacing w:before="0" w:after="283"/>
              <w:jc w:val="left"/>
              <w:rPr/>
            </w:pPr>
            <w:r>
              <w:rPr/>
              <w:t>Lamar Advertising Company</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Emerging growth company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810" w:type="dxa"/>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0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810" w:type="dxa"/>
            <w:tcBorders/>
            <w:vAlign w:val="center"/>
          </w:tcPr>
          <w:p>
            <w:pPr>
              <w:pStyle w:val="TableContents"/>
              <w:bidi w:val="0"/>
              <w:spacing w:before="0" w:after="283"/>
              <w:jc w:val="left"/>
              <w:rPr/>
            </w:pPr>
            <w:r>
              <w:rPr/>
              <w:t>Lamar Media Corp.</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jc w:val="left"/>
        <w:rPr/>
      </w:pPr>
      <w:r>
        <w:rPr/>
        <w:t> </w:t>
      </w:r>
    </w:p>
    <w:tbl>
      <w:tblPr>
        <w:tblW w:w="3258" w:type="dxa"/>
        <w:jc w:val="left"/>
        <w:tblInd w:w="0" w:type="dxa"/>
        <w:tblLayout w:type="fixed"/>
        <w:tblCellMar>
          <w:top w:w="0" w:type="dxa"/>
          <w:left w:w="0" w:type="dxa"/>
          <w:bottom w:w="0" w:type="dxa"/>
          <w:right w:w="0" w:type="dxa"/>
        </w:tblCellMar>
      </w:tblPr>
      <w:tblGrid>
        <w:gridCol w:w="2810"/>
        <w:gridCol w:w="60"/>
        <w:gridCol w:w="230"/>
        <w:gridCol w:w="120"/>
        <w:gridCol w:w="38"/>
      </w:tblGrid>
      <w:tr>
        <w:trPr/>
        <w:tc>
          <w:tcPr>
            <w:tcW w:w="2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810" w:type="dxa"/>
            <w:tcBorders/>
            <w:vAlign w:val="center"/>
          </w:tcPr>
          <w:p>
            <w:pPr>
              <w:pStyle w:val="TableContents"/>
              <w:bidi w:val="0"/>
              <w:spacing w:before="0" w:after="283"/>
              <w:jc w:val="left"/>
              <w:rPr/>
            </w:pPr>
            <w:r>
              <w:rPr/>
              <w:t>Lamar Advertising Company</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2810"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2810" w:type="dxa"/>
            <w:tcBorders/>
            <w:vAlign w:val="center"/>
          </w:tcPr>
          <w:p>
            <w:pPr>
              <w:pStyle w:val="TableContents"/>
              <w:bidi w:val="0"/>
              <w:spacing w:before="0" w:after="283"/>
              <w:jc w:val="left"/>
              <w:rPr/>
            </w:pPr>
            <w:r>
              <w:rPr/>
              <w:t>Lamar Media Corp.</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1, 2026, Lamar Advertising Company’s direct wholly owned subsidiary Lamar Media Corp. (“Lamar Media”) and indirect wholly-owned special purpose subsidiaries, Lamar QRS Receivables, LLC and Lamar TRS Receivables, LLC (collectively, the “SPEs”), entered into the Eighth Amendment, dated as of October 1, 2026 (the “Amendment”), to the Receivables Financing Agreement dated December 18, 2018, by and among Lamar Media, as Initial Servicer, the SPEs, as Borrowers, PNC Bank, National Association, as Administrative Agent and a Lender, PNC Capital Markets LLC, as Structuring Agent and Sustainability Agent, and certain lenders from time to time party thereto (such agreement, as amended, the “Receivables Financing Agreement”). Capitalized terms not defined herein shall have the meanings set forth in the Receivables Financing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The Amendment extends the maturity date of accounts receivable securitization program established under the Receivables Financing Agreement (the “Accounts Receivable Securitization Program”) to October 1, 2029. Additionally, the Amendment provides additional flexibility for eligibility of certain receivables under the Accounts Receivable Securitization Program.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and its affiliates perform various financial advisory, investment banking and commercial banking services from time to time for Lamar Media and its affiliates, for which they receive customary fees. The Administrative Agent is a lender under Lamar Media’s senior credit facility, for which they receive customary fees and expense reimbursement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above is qualified in its entirety by the Amendment filed as Exhibit 10.1 to this Current Report on Form 8-K and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2.03. Creation of a Direct Financial Obligation or an Obligation under an Off-Balance Sheet Arrangement of a Registrant.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1.01 above is incorporated by reference into this Item 2.03.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52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80378dex101.htm">
              <w:r>
                <w:rPr>
                  <w:rStyle w:val="InternetLink"/>
                </w:rPr>
                <w:t xml:space="preserve">Eighth Amendment to the Receivables Financing Agreement, dated as of October 1, 2026, among Lamar Media, as Initial Servicer, the SPEs, as Borrowers, and PNC Bank, National Association, as Administrative Agent and a Lender.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registrants have duly caused this report to be signed on their behalf by the undersigned hereunto duly authorized. </w:t>
      </w:r>
    </w:p>
    <w:p>
      <w:pPr>
        <w:pStyle w:val="TextBody"/>
        <w:bidi w:val="0"/>
        <w:spacing w:before="0" w:after="0"/>
        <w:jc w:val="left"/>
        <w:rPr/>
      </w:pPr>
      <w:r>
        <w:rPr/>
        <w:t> </w:t>
      </w:r>
    </w:p>
    <w:tbl>
      <w:tblPr>
        <w:tblW w:w="8873" w:type="dxa"/>
        <w:jc w:val="left"/>
        <w:tblInd w:w="0" w:type="dxa"/>
        <w:tblLayout w:type="fixed"/>
        <w:tblCellMar>
          <w:top w:w="0" w:type="dxa"/>
          <w:left w:w="0" w:type="dxa"/>
          <w:bottom w:w="0" w:type="dxa"/>
          <w:right w:w="0" w:type="dxa"/>
        </w:tblCellMar>
      </w:tblPr>
      <w:tblGrid>
        <w:gridCol w:w="2150"/>
        <w:gridCol w:w="60"/>
        <w:gridCol w:w="23"/>
        <w:gridCol w:w="60"/>
        <w:gridCol w:w="365"/>
        <w:gridCol w:w="60"/>
        <w:gridCol w:w="6155"/>
      </w:tblGrid>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5"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pPr>
            <w:r>
              <w:rPr/>
              <w:t>Date: October 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80" w:type="dxa"/>
            <w:gridSpan w:val="3"/>
            <w:tcBorders/>
            <w:vAlign w:val="center"/>
          </w:tcPr>
          <w:p>
            <w:pPr>
              <w:pStyle w:val="TableContents"/>
              <w:bidi w:val="0"/>
              <w:spacing w:before="0" w:after="283"/>
              <w:jc w:val="left"/>
              <w:rPr>
                <w:b/>
              </w:rPr>
            </w:pPr>
            <w:r>
              <w:rPr>
                <w:b/>
              </w:rPr>
              <w:t>LAMAR ADVERTISING COMPANY</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6215"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155" w:type="dxa"/>
            <w:tcBorders>
              <w:bottom w:val="single" w:sz="6" w:space="0" w:color="000000"/>
            </w:tcBorders>
            <w:tcMar>
              <w:bottom w:w="28" w:type="dxa"/>
            </w:tcMar>
            <w:vAlign w:val="center"/>
          </w:tcPr>
          <w:p>
            <w:pPr>
              <w:pStyle w:val="TableContents"/>
              <w:bidi w:val="0"/>
              <w:spacing w:before="0" w:after="283"/>
              <w:jc w:val="left"/>
              <w:rPr/>
            </w:pPr>
            <w:r>
              <w:rPr/>
              <w:t>/s/ Jay L. Johnson</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Jay L. Johnson</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Executive Vice President, Chief Financial Officer, and Treasurer</w:t>
            </w:r>
          </w:p>
        </w:tc>
      </w:tr>
    </w:tbl>
    <w:p>
      <w:pPr>
        <w:pStyle w:val="TextBody"/>
        <w:bidi w:val="0"/>
        <w:spacing w:before="0" w:after="0"/>
        <w:jc w:val="left"/>
        <w:rPr/>
      </w:pPr>
      <w:r>
        <w:rPr/>
        <w:t> </w:t>
      </w:r>
    </w:p>
    <w:tbl>
      <w:tblPr>
        <w:tblW w:w="8910" w:type="dxa"/>
        <w:jc w:val="left"/>
        <w:tblInd w:w="0" w:type="dxa"/>
        <w:tblLayout w:type="fixed"/>
        <w:tblCellMar>
          <w:top w:w="0" w:type="dxa"/>
          <w:left w:w="0" w:type="dxa"/>
          <w:bottom w:w="0" w:type="dxa"/>
          <w:right w:w="0" w:type="dxa"/>
        </w:tblCellMar>
      </w:tblPr>
      <w:tblGrid>
        <w:gridCol w:w="2150"/>
        <w:gridCol w:w="60"/>
        <w:gridCol w:w="60"/>
        <w:gridCol w:w="60"/>
        <w:gridCol w:w="365"/>
        <w:gridCol w:w="60"/>
        <w:gridCol w:w="6155"/>
      </w:tblGrid>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5"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pPr>
            <w:r>
              <w:rPr/>
              <w:t>Date: October 6,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80" w:type="dxa"/>
            <w:gridSpan w:val="3"/>
            <w:tcBorders/>
            <w:vAlign w:val="center"/>
          </w:tcPr>
          <w:p>
            <w:pPr>
              <w:pStyle w:val="TableContents"/>
              <w:bidi w:val="0"/>
              <w:spacing w:before="0" w:after="283"/>
              <w:jc w:val="left"/>
              <w:rPr>
                <w:b/>
              </w:rPr>
            </w:pPr>
            <w:r>
              <w:rPr>
                <w:b/>
              </w:rPr>
              <w:t>LAMAR MEDIA CORP.</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6215"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155" w:type="dxa"/>
            <w:tcBorders>
              <w:bottom w:val="single" w:sz="6" w:space="0" w:color="000000"/>
            </w:tcBorders>
            <w:tcMar>
              <w:bottom w:w="28" w:type="dxa"/>
            </w:tcMar>
            <w:vAlign w:val="center"/>
          </w:tcPr>
          <w:p>
            <w:pPr>
              <w:pStyle w:val="TableContents"/>
              <w:bidi w:val="0"/>
              <w:spacing w:before="0" w:after="283"/>
              <w:jc w:val="left"/>
              <w:rPr/>
            </w:pPr>
            <w:r>
              <w:rPr/>
              <w:t>/s/ Jay L. Johnson</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Jay L. Johnson</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Executive Vice President, Chief Financial Officer, and Treasurer</w:t>
            </w:r>
          </w:p>
        </w:tc>
      </w:tr>
    </w:tbl>
    <w:p>
      <w:pPr>
        <w:pStyle w:val="TextBody"/>
        <w:bidi w:val="0"/>
        <w:spacing w:before="0" w:after="0"/>
        <w:jc w:val="right"/>
        <w:rPr>
          <w:rFonts w:ascii="Times New Roman" w:hAnsi="Times New Roman"/>
          <w:b/>
          <w:sz w:val="20"/>
        </w:rPr>
      </w:pPr>
      <w:bookmarkStart w:id="2" w:name="d180378dex101.htm"/>
      <w:bookmarkStart w:id="3" w:name="ksd180378dex101"/>
      <w:bookmarkEnd w:id="2"/>
      <w:bookmarkEnd w:id="3"/>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EIGHTH AMENDMENT TO THE </w:t>
      </w:r>
    </w:p>
    <w:p>
      <w:pPr>
        <w:pStyle w:val="TextBody"/>
        <w:bidi w:val="0"/>
        <w:spacing w:before="0" w:after="0"/>
        <w:jc w:val="center"/>
        <w:rPr>
          <w:rFonts w:ascii="Times New Roman" w:hAnsi="Times New Roman"/>
          <w:b/>
          <w:sz w:val="20"/>
        </w:rPr>
      </w:pPr>
      <w:r>
        <w:rPr>
          <w:rFonts w:ascii="Times New Roman" w:hAnsi="Times New Roman"/>
          <w:b/>
          <w:sz w:val="20"/>
        </w:rPr>
        <w:t xml:space="preserve">RECEIVABLES FINANCING AGREEMENT </w:t>
      </w:r>
    </w:p>
    <w:p>
      <w:pPr>
        <w:pStyle w:val="TextBody"/>
        <w:bidi w:val="0"/>
        <w:spacing w:before="240" w:after="0"/>
        <w:jc w:val="left"/>
        <w:rPr>
          <w:rFonts w:ascii="Times New Roman" w:hAnsi="Times New Roman"/>
          <w:sz w:val="20"/>
        </w:rPr>
      </w:pPr>
      <w:r>
        <w:rPr>
          <w:rFonts w:ascii="Times New Roman" w:hAnsi="Times New Roman"/>
          <w:sz w:val="20"/>
        </w:rPr>
        <w:t>This EIGHTH AMENDMENT TO THE RECEIVABLES FINANCING AGREEMENT (this “</w:t>
      </w:r>
      <w:r>
        <w:rPr>
          <w:rFonts w:ascii="Times New Roman" w:hAnsi="Times New Roman"/>
          <w:sz w:val="20"/>
          <w:u w:val="single"/>
        </w:rPr>
        <w:t>Amendment</w:t>
      </w:r>
      <w:r>
        <w:rPr>
          <w:rFonts w:ascii="Times New Roman" w:hAnsi="Times New Roman"/>
          <w:sz w:val="20"/>
        </w:rPr>
        <w:t xml:space="preserve">”), dated as of October 1, 2026, is entered into by and among the following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LAMAR TRS RECEIVABLES, LLC, a Delaware limited liability company, as a Borrower (the “</w:t>
            </w:r>
            <w:r>
              <w:rPr>
                <w:rFonts w:ascii="Times New Roman" w:hAnsi="Times New Roman"/>
                <w:sz w:val="20"/>
                <w:u w:val="single"/>
              </w:rPr>
              <w:t>TRS Borrower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LAMAR QRS RECEIVABLES, LLC, a Delaware limited liability company, as a Borrower (the “</w:t>
            </w:r>
            <w:r>
              <w:rPr>
                <w:rFonts w:ascii="Times New Roman" w:hAnsi="Times New Roman"/>
                <w:sz w:val="20"/>
                <w:u w:val="single"/>
              </w:rPr>
              <w:t>QRS Borrower</w:t>
            </w:r>
            <w:r>
              <w:rPr>
                <w:rFonts w:ascii="Times New Roman" w:hAnsi="Times New Roman"/>
                <w:sz w:val="20"/>
              </w:rPr>
              <w:t>”; together with the TRS Borrower, collectively, the “</w:t>
            </w:r>
            <w:r>
              <w:rPr>
                <w:rFonts w:ascii="Times New Roman" w:hAnsi="Times New Roman"/>
                <w:sz w:val="20"/>
                <w:u w:val="single"/>
              </w:rPr>
              <w:t>Borrowers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LAMAR MEDIA CORP., a Delaware corporation, as initial Servicer;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PNC BANK, NATIONAL ASSOCIATION (“</w:t>
            </w:r>
            <w:r>
              <w:rPr>
                <w:rFonts w:ascii="Times New Roman" w:hAnsi="Times New Roman"/>
                <w:sz w:val="20"/>
                <w:u w:val="single"/>
              </w:rPr>
              <w:t>PNC</w:t>
            </w:r>
            <w:r>
              <w:rPr>
                <w:rFonts w:ascii="Times New Roman" w:hAnsi="Times New Roman"/>
                <w:sz w:val="20"/>
              </w:rPr>
              <w:t xml:space="preserve">”), as Administrative Agent and as Lender.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Capitalized terms used but not otherwise defined herein (including such terms used above) have the respective meanings assigned thereto in the Receivables Financing Agreement described below. </w:t>
      </w:r>
    </w:p>
    <w:p>
      <w:pPr>
        <w:pStyle w:val="TextBody"/>
        <w:bidi w:val="0"/>
        <w:spacing w:before="480" w:after="0"/>
        <w:jc w:val="center"/>
        <w:rPr>
          <w:rFonts w:ascii="Times New Roman" w:hAnsi="Times New Roman"/>
          <w:sz w:val="20"/>
        </w:rPr>
      </w:pPr>
      <w:r>
        <w:rPr>
          <w:rFonts w:ascii="Times New Roman" w:hAnsi="Times New Roman"/>
          <w:sz w:val="20"/>
        </w:rPr>
        <w:t xml:space="preserve">BACKGROUND </w:t>
      </w:r>
    </w:p>
    <w:p>
      <w:pPr>
        <w:pStyle w:val="TextBody"/>
        <w:bidi w:val="0"/>
        <w:spacing w:before="240" w:after="0"/>
        <w:jc w:val="left"/>
        <w:rPr>
          <w:rFonts w:ascii="Times New Roman" w:hAnsi="Times New Roman"/>
          <w:sz w:val="20"/>
        </w:rPr>
      </w:pPr>
      <w:r>
        <w:rPr>
          <w:rFonts w:ascii="Times New Roman" w:hAnsi="Times New Roman"/>
          <w:sz w:val="20"/>
        </w:rPr>
        <w:t>A. The parties hereto have entered into a Receivables Financing Agreement, dated as of December 18, 2018 (as amended, restated, supplemented or otherwise modified through the date hereof, the “</w:t>
      </w:r>
      <w:r>
        <w:rPr>
          <w:rFonts w:ascii="Times New Roman" w:hAnsi="Times New Roman"/>
          <w:sz w:val="20"/>
          <w:u w:val="single"/>
        </w:rPr>
        <w:t>Receivables Financing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Concurrently herewith, the Borrowers, PNC and PNC Capital Markets LLC are entering into that certain Amended and Restated Fee Letter, dated as of the date hereof (the “</w:t>
      </w:r>
      <w:r>
        <w:rPr>
          <w:rFonts w:ascii="Times New Roman" w:hAnsi="Times New Roman"/>
          <w:sz w:val="20"/>
          <w:u w:val="single"/>
        </w:rPr>
        <w:t>Fee Letter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with the intention of being legally bound hereby, and in consideration of the mutual undertakings expressed herein, each party to this Amendment hereby agrees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Amendments to the Receivables Financing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Receivables Financing Agreement is hereby amended to incorporate the changes shown on the marked pages of the Receivables Financing Agreement attached hereto as </w:t>
      </w:r>
      <w:r>
        <w:rPr>
          <w:rFonts w:ascii="Times New Roman" w:hAnsi="Times New Roman"/>
          <w:sz w:val="20"/>
          <w:u w:val="single"/>
        </w:rPr>
        <w:t>Exhibit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Exhibit G to the Agreement is hereby deleted in its entirety and replaced with the Exhibit G attached 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Representations and Warranties of the Borrowers and the Servicer</w:t>
      </w:r>
      <w:r>
        <w:rPr>
          <w:rFonts w:ascii="Times New Roman" w:hAnsi="Times New Roman"/>
          <w:sz w:val="20"/>
        </w:rPr>
        <w:t xml:space="preserve">. Each Borrower and the Servicer hereby represent and warrant to each of the parties hereto as of the date hereof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Representations and Warranties</w:t>
      </w:r>
      <w:r>
        <w:rPr>
          <w:rFonts w:ascii="Times New Roman" w:hAnsi="Times New Roman"/>
          <w:sz w:val="20"/>
        </w:rPr>
        <w:t xml:space="preserve">. The representations and warranties made by it in the Receivables Financing Agreement and each of the other Transaction Documents to which it is a party are true and correct in all material respects as of the date hereof unless such representations and warranties by their terms refer to an earlier date, in which case they are true and correct in all material respects as of such earlier date.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Enforceability</w:t>
      </w:r>
      <w:r>
        <w:rPr>
          <w:rFonts w:ascii="Times New Roman" w:hAnsi="Times New Roman"/>
          <w:sz w:val="20"/>
        </w:rPr>
        <w:t xml:space="preserve">. The execution and delivery by it of this Amendment, and the performance of its obligations under this Amendment, the Fee Letter, the Receivables Financing Agreement (as amended hereby) and the other Transaction Documents to which it is a party are within its organizational powers and have been duly authorized by all necessary action on its part, and this Amendment, the Fee Letter, the Receivables Financing Agreement (as amended hereby) and the other Transaction Documents to which it is a party are (assuming due authorization and execution by the other parties thereto) its valid and legally binding obligations, enforceable in accordance with their terms,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 Event of Default</w:t>
      </w:r>
      <w:r>
        <w:rPr>
          <w:rFonts w:ascii="Times New Roman" w:hAnsi="Times New Roman"/>
          <w:sz w:val="20"/>
        </w:rPr>
        <w:t xml:space="preserve">. No Event of Default or Unmatured Event of Default has occurred and is continuing, or would occur as a result of this Amendment, the Fee Letter or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Effect of Amendment; Ratification</w:t>
      </w:r>
      <w:r>
        <w:rPr>
          <w:rFonts w:ascii="Times New Roman" w:hAnsi="Times New Roman"/>
          <w:sz w:val="20"/>
        </w:rPr>
        <w:t xml:space="preserve">. All provisions of the Receivables Financing Agreement and the other Transaction Documents, as expressly amended and modified by this Amendment, shall remain in full force and effect. After this Amendment becomes effective, all references in the Receivables Financing Agreement (or in any other Transaction Document) to “this Receivables Financing Agreement”, “this Agreement”, “hereof”, “herein” or words of similar effect referring to the Receivables Financing Agreement shall be deemed to be references to the Receivables Financing Agreement as amended by this Amendment. This Amendment shall not be deemed, either expressly or impliedly, to waive, amend or supplement any provision of the Receivables Financing Agreement other than as set forth herein. The Receivables Financing Agreement, as amended by this Amendment, is hereby ratified and confirmed in all respects.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Effectiveness</w:t>
      </w:r>
      <w:r>
        <w:rPr>
          <w:rFonts w:ascii="Times New Roman" w:hAnsi="Times New Roman"/>
          <w:sz w:val="20"/>
        </w:rPr>
        <w:t xml:space="preserve">. This Amendment shall become effective as of the date hereof, subject to the conditions precedent that the Administrative Agent shall have received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counterparts to this Amendment executed by each of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(b) counterparts to the Fee Letter executed by each of the parties thereto;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confirmation that all fees owing under the Fee Letter have been paid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Severability</w:t>
      </w:r>
      <w:r>
        <w:rPr>
          <w:rFonts w:ascii="Times New Roman" w:hAnsi="Times New Roman"/>
          <w:sz w:val="20"/>
        </w:rPr>
        <w:t xml:space="preserve">. Any provisions of this Amendment which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Transaction Document</w:t>
      </w:r>
      <w:r>
        <w:rPr>
          <w:rFonts w:ascii="Times New Roman" w:hAnsi="Times New Roman"/>
          <w:sz w:val="20"/>
        </w:rPr>
        <w:t xml:space="preserve">. This Amendment shall be a Transaction Document for purposes of the Receivables Financing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Counterparts</w:t>
      </w:r>
      <w:r>
        <w:rPr>
          <w:rFonts w:ascii="Times New Roman" w:hAnsi="Times New Roman"/>
          <w:sz w:val="20"/>
        </w:rPr>
        <w:t xml:space="preserve">. This Amendment may be executed in any number of counterparts, each of which when so executed shall be deemed to be an original and all of which when taken together shall constitute one and the same agreement. Delivery of an executed counterpart hereof by facsimile or other electronic means shall be equally effective as delivery of an originally executed counterpart.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GOVERNING LAW AND JURISDICTION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AMENDMENT, INCLUDING THE RIGHTS AND DUTIES OF THE PARTIES HERETO, SHALL BE GOVERNED BY, AND CONSTRUED IN ACCORDANCE WITH, THE LAWS OF THE STATE OF NEW YORK (INCLUDING SECTIONS 5-1401 AND 5-1402 OF THE GENERAL OBLIGATIONS LAW OF THE STATE OF NEW YORK, BUT WITHOUT REGARD TO ANY OTHER CONFLICTS OF LAW PROVISIONS THEREOF). </w:t>
      </w:r>
    </w:p>
    <w:p>
      <w:pPr>
        <w:pStyle w:val="TextBody"/>
        <w:bidi w:val="0"/>
        <w:spacing w:before="120" w:after="0"/>
        <w:jc w:val="left"/>
        <w:rPr>
          <w:rFonts w:ascii="Times New Roman" w:hAnsi="Times New Roman"/>
          <w:sz w:val="20"/>
        </w:rPr>
      </w:pPr>
      <w:r>
        <w:rPr>
          <w:rFonts w:ascii="Times New Roman" w:hAnsi="Times New Roman"/>
          <w:sz w:val="20"/>
        </w:rPr>
        <w:t xml:space="preserve">(b) EACH PARTY HERETO HEREBY IRREVOCABLY SUBMITS TO (I) WITH RESPECT TO EACH BORROWER AND THE SERVICER, THE EXCLUSIVE JURISDICTION, AND (II) WITH RESPECT TO EACH OF THE OTHER PARTIES HERETO, THE NON-EXCLUSIVE JURISDICTION, IN EACH CASE, OF ANY NEW YORK STATE OR FEDERAL COURT SITTING IN NEW YORK CITY, NEW YORK IN ANY ACTION OR PROCEEDING ARISING OUT OF OR RELATING TO THIS AMENDMENT, AND EACH PARTY HERETO HEREBY IRREVOCABLY AGREES THAT ALL CLAIMS IN RESPECT OF SUCH ACTION OR PROCEEDING (I) IF BROUGHT BY ANY BORROWER, THE SERVICER OR ANY AFFILIATE THEREOF, SHALL BE HEARD AND DETERMINED, AND (II) IF BROUGHT BY ANY OTHER PARTY TO THIS AMENDMENT MAY BE HEARD AND DETERMINED, IN EACH CASE, IN SUCH NEW YORK STATE COURT OR, TO THE EXTENT PERMITTED BY LAW, IN SUCH FEDERAL COURT. NOTHING IN THIS </w:t>
      </w:r>
      <w:r>
        <w:rPr>
          <w:rFonts w:ascii="Times New Roman" w:hAnsi="Times New Roman"/>
          <w:sz w:val="20"/>
          <w:u w:val="single"/>
        </w:rPr>
        <w:t>SECTION 9</w:t>
      </w:r>
      <w:r>
        <w:rPr>
          <w:rFonts w:ascii="Times New Roman" w:hAnsi="Times New Roman"/>
          <w:sz w:val="20"/>
        </w:rPr>
        <w:t xml:space="preserve"> SHALL AFFECT THE RIGHT OF THE ADMINISTRATIVE AGENT OR ANY OTHER CREDIT PARTY TO BRING ANY ACTION OR PROCEEDING AGAINST ANY BORROWER OR THE SERVICER OR ANY OF THEIR RESPECTIVE PROPERTY IN THE COURTS OF OTHER JURISDICTIONS. EACH BORROWER AND THE SERVICER HEREBY IRREVOCABLY WAIVES, TO THE FULLEST EXTENT IT MAY EFFECTIVELY DO SO, THE DEFENSE OF AN INCONVENIENT FORUM TO THE MAINTENANCE OF SUCH ACTION OR PROCEEDING. THE PARTIES HERETO AGREE THAT A FINAL JUDGMENT IN ANY SUCH ACTION OR PROCEEDING SHALL BE CONCLUSIVE AND MAY BE ENFORCED IN OTHER JURISDICTIONS BY SUIT ON THE JUDGMENT OR IN ANY OTHER MANNER PROVIDED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Section Headings</w:t>
      </w:r>
      <w:r>
        <w:rPr>
          <w:rFonts w:ascii="Times New Roman" w:hAnsi="Times New Roman"/>
          <w:sz w:val="20"/>
        </w:rPr>
        <w:t xml:space="preserve">. The various headings of this Amendment are included for convenience only and shall not affect the meaning or interpretation of this Amendment, the Receivables Financing Agreement or any provision hereof or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Performance Guaranty Ratification</w:t>
      </w:r>
      <w:r>
        <w:rPr>
          <w:rFonts w:ascii="Times New Roman" w:hAnsi="Times New Roman"/>
          <w:sz w:val="20"/>
        </w:rPr>
        <w:t xml:space="preserve">. After giving effect to this Amendment and the Fee Letter and the transactions contemplated hereby and thereby, (i) all of the provisions of the Performance Guaranty shall remain in full force and effect and (ii) the Performance Guarantor hereby ratifies and affirms the Performance Guaranty and acknowledges that the Performance Guaranty has continued and shall continue in full force and effect in accordance with its terms.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Amendment by their duly authorized officers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LAMAR TRS RECEIVABLES, LLC,</w:t>
            </w:r>
          </w:p>
          <w:p>
            <w:pPr>
              <w:pStyle w:val="TableContents"/>
              <w:bidi w:val="0"/>
              <w:spacing w:before="0" w:after="20"/>
              <w:jc w:val="left"/>
              <w:rPr>
                <w:rFonts w:ascii="Times New Roman" w:hAnsi="Times New Roman"/>
                <w:sz w:val="20"/>
              </w:rPr>
            </w:pPr>
            <w:r>
              <w:rPr>
                <w:rFonts w:ascii="Times New Roman" w:hAnsi="Times New Roman"/>
                <w:sz w:val="20"/>
              </w:rPr>
              <w:t>as a Borrower</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4" w:type="dxa"/>
            <w:tcBorders>
              <w:bottom w:val="single" w:sz="2" w:space="0" w:color="000000"/>
            </w:tcBorders>
            <w:tcMar>
              <w:bottom w:w="28" w:type="dxa"/>
            </w:tcMar>
          </w:tcPr>
          <w:p>
            <w:pPr>
              <w:pStyle w:val="TableContents"/>
              <w:bidi w:val="0"/>
              <w:spacing w:before="0" w:after="283"/>
              <w:jc w:val="left"/>
              <w:rPr/>
            </w:pPr>
            <w:r>
              <w:rPr/>
              <w:t>/s/ Jay L. Johnson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Jay L. Johnson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Executive Vice President, Chief Financial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LAMAR QRS RECEIVABLES, LLC,</w:t>
            </w:r>
          </w:p>
          <w:p>
            <w:pPr>
              <w:pStyle w:val="TableContents"/>
              <w:bidi w:val="0"/>
              <w:spacing w:before="0" w:after="20"/>
              <w:jc w:val="left"/>
              <w:rPr>
                <w:rFonts w:ascii="Times New Roman" w:hAnsi="Times New Roman"/>
                <w:sz w:val="20"/>
              </w:rPr>
            </w:pPr>
            <w:r>
              <w:rPr>
                <w:rFonts w:ascii="Times New Roman" w:hAnsi="Times New Roman"/>
                <w:sz w:val="20"/>
              </w:rPr>
              <w:t>as a Borrower</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4" w:type="dxa"/>
            <w:tcBorders>
              <w:bottom w:val="single" w:sz="2" w:space="0" w:color="000000"/>
            </w:tcBorders>
            <w:tcMar>
              <w:bottom w:w="28" w:type="dxa"/>
            </w:tcMar>
          </w:tcPr>
          <w:p>
            <w:pPr>
              <w:pStyle w:val="TableContents"/>
              <w:bidi w:val="0"/>
              <w:spacing w:before="0" w:after="283"/>
              <w:jc w:val="left"/>
              <w:rPr/>
            </w:pPr>
            <w:r>
              <w:rPr/>
              <w:t>/s/ Jay L. Johnson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Jay L. Johnson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Executive Vice President, Chief Financial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LAMAR MEDIA CORP.,</w:t>
            </w:r>
          </w:p>
          <w:p>
            <w:pPr>
              <w:pStyle w:val="TableContents"/>
              <w:bidi w:val="0"/>
              <w:spacing w:before="0" w:after="20"/>
              <w:jc w:val="left"/>
              <w:rPr>
                <w:rFonts w:ascii="Times New Roman" w:hAnsi="Times New Roman"/>
                <w:sz w:val="20"/>
              </w:rPr>
            </w:pPr>
            <w:r>
              <w:rPr>
                <w:rFonts w:ascii="Times New Roman" w:hAnsi="Times New Roman"/>
                <w:sz w:val="20"/>
              </w:rPr>
              <w:t>as the Servicer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Jay L. Johnson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Jay L. Johnson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Executive Vice President, Chief Financial Officer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23"/>
        <w:gridCol w:w="3216"/>
        <w:gridCol w:w="123"/>
        <w:gridCol w:w="3273"/>
      </w:tblGrid>
      <w:tr>
        <w:trPr/>
        <w:tc>
          <w:tcPr>
            <w:tcW w:w="347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73"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center"/>
              <w:rPr/>
            </w:pPr>
            <w:r>
              <w:rPr/>
              <w:t>S-1</w:t>
            </w:r>
          </w:p>
        </w:tc>
        <w:tc>
          <w:tcPr>
            <w:tcW w:w="123" w:type="dxa"/>
            <w:tcBorders/>
            <w:vAlign w:val="bottom"/>
          </w:tcPr>
          <w:p>
            <w:pPr>
              <w:pStyle w:val="TableContents"/>
              <w:bidi w:val="0"/>
              <w:spacing w:before="0" w:after="283"/>
              <w:jc w:val="left"/>
              <w:rPr/>
            </w:pPr>
            <w:r>
              <w:rPr/>
              <w:t>  </w:t>
            </w:r>
          </w:p>
        </w:tc>
        <w:tc>
          <w:tcPr>
            <w:tcW w:w="3273" w:type="dxa"/>
            <w:tcBorders/>
          </w:tcPr>
          <w:p>
            <w:pPr>
              <w:pStyle w:val="TableContents"/>
              <w:bidi w:val="0"/>
              <w:spacing w:before="0" w:after="0"/>
              <w:jc w:val="right"/>
              <w:rPr>
                <w:rFonts w:ascii="Times New Roman" w:hAnsi="Times New Roman"/>
                <w:i/>
                <w:sz w:val="20"/>
              </w:rPr>
            </w:pPr>
            <w:r>
              <w:rPr>
                <w:rFonts w:ascii="Times New Roman" w:hAnsi="Times New Roman"/>
                <w:i/>
                <w:sz w:val="20"/>
              </w:rPr>
              <w:t>Eighth Amendment to the Receivables</w:t>
            </w:r>
          </w:p>
          <w:p>
            <w:pPr>
              <w:pStyle w:val="TableContents"/>
              <w:bidi w:val="0"/>
              <w:spacing w:before="0" w:after="20"/>
              <w:jc w:val="right"/>
              <w:rPr>
                <w:rFonts w:ascii="Times New Roman" w:hAnsi="Times New Roman"/>
                <w:i/>
                <w:sz w:val="20"/>
              </w:rPr>
            </w:pPr>
            <w:r>
              <w:rPr>
                <w:rFonts w:ascii="Times New Roman" w:hAnsi="Times New Roman"/>
                <w:i/>
                <w:sz w:val="20"/>
              </w:rPr>
              <w:t>Financing Agreement</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PNC BANK, NATIONAL ASSOCIATION,</w:t>
            </w:r>
          </w:p>
          <w:p>
            <w:pPr>
              <w:pStyle w:val="TableContents"/>
              <w:bidi w:val="0"/>
              <w:spacing w:before="0" w:after="20"/>
              <w:jc w:val="left"/>
              <w:rPr>
                <w:rFonts w:ascii="Times New Roman" w:hAnsi="Times New Roman"/>
                <w:sz w:val="20"/>
              </w:rPr>
            </w:pPr>
            <w:r>
              <w:rPr>
                <w:rFonts w:ascii="Times New Roman" w:hAnsi="Times New Roman"/>
                <w:sz w:val="20"/>
              </w:rPr>
              <w:t>as Administrative Agent</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1" w:type="dxa"/>
            <w:tcBorders>
              <w:bottom w:val="single" w:sz="2" w:space="0" w:color="000000"/>
            </w:tcBorders>
            <w:tcMar>
              <w:bottom w:w="28" w:type="dxa"/>
            </w:tcMar>
          </w:tcPr>
          <w:p>
            <w:pPr>
              <w:pStyle w:val="TableContents"/>
              <w:bidi w:val="0"/>
              <w:spacing w:before="0" w:after="283"/>
              <w:jc w:val="left"/>
              <w:rPr/>
            </w:pPr>
            <w:r>
              <w:rPr/>
              <w:t>/s/ Imad Naja</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Imad Naja</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Senior Vice President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PNC BANK, NATIONAL ASSOCIATION,</w:t>
            </w:r>
          </w:p>
          <w:p>
            <w:pPr>
              <w:pStyle w:val="TableContents"/>
              <w:bidi w:val="0"/>
              <w:spacing w:before="0" w:after="20"/>
              <w:jc w:val="left"/>
              <w:rPr>
                <w:rFonts w:ascii="Times New Roman" w:hAnsi="Times New Roman"/>
                <w:sz w:val="20"/>
              </w:rPr>
            </w:pPr>
            <w:r>
              <w:rPr>
                <w:rFonts w:ascii="Times New Roman" w:hAnsi="Times New Roman"/>
                <w:sz w:val="20"/>
              </w:rPr>
              <w:t>as a Lender</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1" w:type="dxa"/>
            <w:tcBorders>
              <w:bottom w:val="single" w:sz="2" w:space="0" w:color="000000"/>
            </w:tcBorders>
            <w:tcMar>
              <w:bottom w:w="28" w:type="dxa"/>
            </w:tcMar>
          </w:tcPr>
          <w:p>
            <w:pPr>
              <w:pStyle w:val="TableContents"/>
              <w:bidi w:val="0"/>
              <w:spacing w:before="0" w:after="283"/>
              <w:jc w:val="left"/>
              <w:rPr/>
            </w:pPr>
            <w:r>
              <w:rPr/>
              <w:t>/s/ Imad Naja</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Imad Naja</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Senior Vice President</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23"/>
        <w:gridCol w:w="3216"/>
        <w:gridCol w:w="123"/>
        <w:gridCol w:w="3273"/>
      </w:tblGrid>
      <w:tr>
        <w:trPr/>
        <w:tc>
          <w:tcPr>
            <w:tcW w:w="347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73"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center"/>
              <w:rPr/>
            </w:pPr>
            <w:r>
              <w:rPr/>
              <w:t>S-2</w:t>
            </w:r>
          </w:p>
        </w:tc>
        <w:tc>
          <w:tcPr>
            <w:tcW w:w="123" w:type="dxa"/>
            <w:tcBorders/>
            <w:vAlign w:val="bottom"/>
          </w:tcPr>
          <w:p>
            <w:pPr>
              <w:pStyle w:val="TableContents"/>
              <w:bidi w:val="0"/>
              <w:spacing w:before="0" w:after="283"/>
              <w:jc w:val="left"/>
              <w:rPr/>
            </w:pPr>
            <w:r>
              <w:rPr/>
              <w:t>  </w:t>
            </w:r>
          </w:p>
        </w:tc>
        <w:tc>
          <w:tcPr>
            <w:tcW w:w="3273" w:type="dxa"/>
            <w:tcBorders/>
          </w:tcPr>
          <w:p>
            <w:pPr>
              <w:pStyle w:val="TableContents"/>
              <w:bidi w:val="0"/>
              <w:spacing w:before="0" w:after="0"/>
              <w:jc w:val="right"/>
              <w:rPr>
                <w:rFonts w:ascii="Times New Roman" w:hAnsi="Times New Roman"/>
                <w:i/>
                <w:sz w:val="20"/>
              </w:rPr>
            </w:pPr>
            <w:r>
              <w:rPr>
                <w:rFonts w:ascii="Times New Roman" w:hAnsi="Times New Roman"/>
                <w:i/>
                <w:sz w:val="20"/>
              </w:rPr>
              <w:t>Eighth Amendment to the Receivables</w:t>
            </w:r>
          </w:p>
          <w:p>
            <w:pPr>
              <w:pStyle w:val="TableContents"/>
              <w:bidi w:val="0"/>
              <w:spacing w:before="0" w:after="20"/>
              <w:jc w:val="right"/>
              <w:rPr>
                <w:rFonts w:ascii="Times New Roman" w:hAnsi="Times New Roman"/>
                <w:i/>
                <w:sz w:val="20"/>
              </w:rPr>
            </w:pPr>
            <w:r>
              <w:rPr>
                <w:rFonts w:ascii="Times New Roman" w:hAnsi="Times New Roman"/>
                <w:i/>
                <w:sz w:val="20"/>
              </w:rPr>
              <w:t>Financing Agreement</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Acknowledged and agreed: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LAMAR MEDIA CORP.,</w:t>
            </w:r>
          </w:p>
          <w:p>
            <w:pPr>
              <w:pStyle w:val="TableContents"/>
              <w:bidi w:val="0"/>
              <w:spacing w:before="0" w:after="20"/>
              <w:jc w:val="left"/>
              <w:rPr>
                <w:rFonts w:ascii="Times New Roman" w:hAnsi="Times New Roman"/>
                <w:sz w:val="20"/>
              </w:rPr>
            </w:pPr>
            <w:r>
              <w:rPr>
                <w:rFonts w:ascii="Times New Roman" w:hAnsi="Times New Roman"/>
                <w:sz w:val="20"/>
              </w:rPr>
              <w:t>as Performance Guarantor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Jay L. Johnson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Jay L. Johnson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Executive Vice President, Chief Financial Officer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23"/>
        <w:gridCol w:w="3216"/>
        <w:gridCol w:w="123"/>
        <w:gridCol w:w="3273"/>
      </w:tblGrid>
      <w:tr>
        <w:trPr/>
        <w:tc>
          <w:tcPr>
            <w:tcW w:w="347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73"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center"/>
              <w:rPr/>
            </w:pPr>
            <w:r>
              <w:rPr/>
              <w:t>S-3</w:t>
            </w:r>
          </w:p>
        </w:tc>
        <w:tc>
          <w:tcPr>
            <w:tcW w:w="123" w:type="dxa"/>
            <w:tcBorders/>
            <w:vAlign w:val="bottom"/>
          </w:tcPr>
          <w:p>
            <w:pPr>
              <w:pStyle w:val="TableContents"/>
              <w:bidi w:val="0"/>
              <w:spacing w:before="0" w:after="283"/>
              <w:jc w:val="left"/>
              <w:rPr/>
            </w:pPr>
            <w:r>
              <w:rPr/>
              <w:t>  </w:t>
            </w:r>
          </w:p>
        </w:tc>
        <w:tc>
          <w:tcPr>
            <w:tcW w:w="3273" w:type="dxa"/>
            <w:tcBorders/>
          </w:tcPr>
          <w:p>
            <w:pPr>
              <w:pStyle w:val="TableContents"/>
              <w:bidi w:val="0"/>
              <w:spacing w:before="0" w:after="0"/>
              <w:jc w:val="right"/>
              <w:rPr>
                <w:rFonts w:ascii="Times New Roman" w:hAnsi="Times New Roman"/>
                <w:i/>
                <w:sz w:val="20"/>
              </w:rPr>
            </w:pPr>
            <w:r>
              <w:rPr>
                <w:rFonts w:ascii="Times New Roman" w:hAnsi="Times New Roman"/>
                <w:i/>
                <w:sz w:val="20"/>
              </w:rPr>
              <w:t>Eighth Amendment to the Receivables</w:t>
            </w:r>
          </w:p>
          <w:p>
            <w:pPr>
              <w:pStyle w:val="TableContents"/>
              <w:bidi w:val="0"/>
              <w:spacing w:before="0" w:after="20"/>
              <w:jc w:val="right"/>
              <w:rPr>
                <w:rFonts w:ascii="Times New Roman" w:hAnsi="Times New Roman"/>
                <w:i/>
                <w:sz w:val="20"/>
              </w:rPr>
            </w:pPr>
            <w:r>
              <w:rPr>
                <w:rFonts w:ascii="Times New Roman" w:hAnsi="Times New Roman"/>
                <w:i/>
                <w:sz w:val="20"/>
              </w:rPr>
              <w:t>Financing Agreement</w:t>
            </w:r>
          </w:p>
        </w:tc>
      </w:tr>
    </w:tbl>
    <w:p>
      <w:pPr>
        <w:pStyle w:val="HorizontalLine"/>
        <w:pBdr>
          <w:bottom w:val="double" w:sz="6" w:space="0" w:color="808080"/>
        </w:pBdr>
        <w:bidi w:val="0"/>
        <w:jc w:val="left"/>
        <w:rPr/>
      </w:pPr>
      <w:r>
        <w:br w:type="page"/>
      </w:r>
      <w:r>
        <w:rPr/>
      </w:r>
    </w:p>
    <w:p>
      <w:pPr>
        <w:pStyle w:val="TextBody"/>
        <w:bidi w:val="0"/>
        <w:spacing w:before="48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TO </w:t>
      </w:r>
    </w:p>
    <w:p>
      <w:pPr>
        <w:pStyle w:val="TextBody"/>
        <w:bidi w:val="0"/>
        <w:spacing w:before="0" w:after="0"/>
        <w:jc w:val="right"/>
        <w:rPr>
          <w:rFonts w:ascii="Times New Roman" w:hAnsi="Times New Roman"/>
          <w:b/>
          <w:sz w:val="20"/>
        </w:rPr>
      </w:pPr>
      <w:r>
        <w:rPr>
          <w:rFonts w:ascii="Times New Roman" w:hAnsi="Times New Roman"/>
          <w:b/>
          <w:strike/>
          <w:color w:val="FF0000"/>
          <w:sz w:val="20"/>
        </w:rPr>
        <w:t>Seventh</w:t>
      </w:r>
      <w:r>
        <w:rPr>
          <w:rFonts w:ascii="Times New Roman" w:hAnsi="Times New Roman"/>
          <w:b/>
          <w:color w:val="0000FF"/>
          <w:sz w:val="20"/>
          <w:u w:val="single"/>
          <w:bdr w:val="double" w:sz="2" w:space="1" w:color="000000"/>
        </w:rPr>
        <w:t>Eighth</w:t>
      </w:r>
      <w:r>
        <w:rPr>
          <w:rFonts w:ascii="Times New Roman" w:hAnsi="Times New Roman"/>
          <w:b/>
          <w:sz w:val="20"/>
        </w:rPr>
        <w:t xml:space="preserve"> Amendment to Receivables Financing Agreement, dated as of October </w:t>
      </w:r>
      <w:r>
        <w:rPr>
          <w:rFonts w:ascii="Times New Roman" w:hAnsi="Times New Roman"/>
          <w:b/>
          <w:strike/>
          <w:color w:val="FF0000"/>
          <w:sz w:val="20"/>
        </w:rPr>
        <w:t>15</w:t>
      </w:r>
      <w:r>
        <w:rPr>
          <w:rFonts w:ascii="Times New Roman" w:hAnsi="Times New Roman"/>
          <w:b/>
          <w:color w:val="0000FF"/>
          <w:sz w:val="20"/>
          <w:u w:val="single"/>
          <w:bdr w:val="double" w:sz="2" w:space="1" w:color="000000"/>
        </w:rPr>
        <w:t>1</w:t>
      </w:r>
      <w:r>
        <w:rPr>
          <w:rFonts w:ascii="Times New Roman" w:hAnsi="Times New Roman"/>
          <w:b/>
          <w:sz w:val="20"/>
        </w:rPr>
        <w:t xml:space="preserve">, </w:t>
      </w:r>
      <w:r>
        <w:rPr>
          <w:rFonts w:ascii="Times New Roman" w:hAnsi="Times New Roman"/>
          <w:b/>
          <w:strike/>
          <w:color w:val="FF0000"/>
          <w:sz w:val="20"/>
        </w:rPr>
        <w:t>2024</w:t>
      </w:r>
      <w:r>
        <w:rPr>
          <w:rFonts w:ascii="Times New Roman" w:hAnsi="Times New Roman"/>
          <w:b/>
          <w:color w:val="0000FF"/>
          <w:sz w:val="20"/>
          <w:u w:val="single"/>
          <w:bdr w:val="double" w:sz="2" w:space="1" w:color="000000"/>
        </w:rPr>
        <w:t>2026</w:t>
      </w:r>
      <w:r>
        <w:rPr>
          <w:rFonts w:ascii="Times New Roman" w:hAnsi="Times New Roman"/>
          <w:b/>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RECEIVABLES FINANCING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December 18, 2018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sz w:val="20"/>
        </w:rPr>
      </w:pPr>
      <w:r>
        <w:rPr>
          <w:rFonts w:ascii="Times New Roman" w:hAnsi="Times New Roman"/>
          <w:sz w:val="20"/>
        </w:rPr>
        <w:t xml:space="preserve">THE PERSONS FROM TIME TO TIME PARTY HERETO, </w:t>
      </w:r>
    </w:p>
    <w:p>
      <w:pPr>
        <w:pStyle w:val="TextBody"/>
        <w:bidi w:val="0"/>
        <w:spacing w:before="0" w:after="0"/>
        <w:jc w:val="center"/>
        <w:rPr>
          <w:rFonts w:ascii="Times New Roman" w:hAnsi="Times New Roman"/>
          <w:sz w:val="20"/>
        </w:rPr>
      </w:pPr>
      <w:r>
        <w:rPr>
          <w:rFonts w:ascii="Times New Roman" w:hAnsi="Times New Roman"/>
          <w:sz w:val="20"/>
        </w:rPr>
        <w:t xml:space="preserve">as Borrowers, </w:t>
      </w:r>
    </w:p>
    <w:p>
      <w:pPr>
        <w:pStyle w:val="TextBody"/>
        <w:bidi w:val="0"/>
        <w:spacing w:before="240" w:after="0"/>
        <w:jc w:val="center"/>
        <w:rPr>
          <w:rFonts w:ascii="Times New Roman" w:hAnsi="Times New Roman"/>
          <w:sz w:val="20"/>
        </w:rPr>
      </w:pPr>
      <w:r>
        <w:rPr>
          <w:rFonts w:ascii="Times New Roman" w:hAnsi="Times New Roman"/>
          <w:sz w:val="20"/>
        </w:rPr>
        <w:t xml:space="preserve">THE PERSONS FROM TIME TO TIME PARTY HERETO, </w:t>
      </w:r>
    </w:p>
    <w:p>
      <w:pPr>
        <w:pStyle w:val="TextBody"/>
        <w:bidi w:val="0"/>
        <w:spacing w:before="0" w:after="0"/>
        <w:jc w:val="center"/>
        <w:rPr>
          <w:rFonts w:ascii="Times New Roman" w:hAnsi="Times New Roman"/>
          <w:sz w:val="20"/>
        </w:rPr>
      </w:pPr>
      <w:r>
        <w:rPr>
          <w:rFonts w:ascii="Times New Roman" w:hAnsi="Times New Roman"/>
          <w:sz w:val="20"/>
        </w:rPr>
        <w:t xml:space="preserve">as Lenders, </w:t>
      </w:r>
    </w:p>
    <w:p>
      <w:pPr>
        <w:pStyle w:val="TextBody"/>
        <w:bidi w:val="0"/>
        <w:spacing w:before="240" w:after="0"/>
        <w:jc w:val="center"/>
        <w:rPr>
          <w:rFonts w:ascii="Times New Roman" w:hAnsi="Times New Roman"/>
          <w:sz w:val="20"/>
        </w:rPr>
      </w:pPr>
      <w:r>
        <w:rPr>
          <w:rFonts w:ascii="Times New Roman" w:hAnsi="Times New Roman"/>
          <w:sz w:val="20"/>
        </w:rPr>
        <w:t xml:space="preserve">PNC 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w:t>
      </w:r>
    </w:p>
    <w:p>
      <w:pPr>
        <w:pStyle w:val="TextBody"/>
        <w:bidi w:val="0"/>
        <w:spacing w:before="240" w:after="0"/>
        <w:jc w:val="center"/>
        <w:rPr>
          <w:rFonts w:ascii="Times New Roman" w:hAnsi="Times New Roman"/>
          <w:sz w:val="20"/>
        </w:rPr>
      </w:pPr>
      <w:r>
        <w:rPr>
          <w:rFonts w:ascii="Times New Roman" w:hAnsi="Times New Roman"/>
          <w:sz w:val="20"/>
        </w:rPr>
        <w:t xml:space="preserve">LAMAR MEDIA CORP., </w:t>
      </w:r>
    </w:p>
    <w:p>
      <w:pPr>
        <w:pStyle w:val="TextBody"/>
        <w:bidi w:val="0"/>
        <w:spacing w:before="0" w:after="0"/>
        <w:jc w:val="center"/>
        <w:rPr>
          <w:rFonts w:ascii="Times New Roman" w:hAnsi="Times New Roman"/>
          <w:sz w:val="20"/>
        </w:rPr>
      </w:pPr>
      <w:r>
        <w:rPr>
          <w:rFonts w:ascii="Times New Roman" w:hAnsi="Times New Roman"/>
          <w:sz w:val="20"/>
        </w:rPr>
        <w:t xml:space="preserve">as initial Servicer,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PNC CAPITAL MARKETS LLC, </w:t>
      </w:r>
    </w:p>
    <w:p>
      <w:pPr>
        <w:pStyle w:val="TextBody"/>
        <w:bidi w:val="0"/>
        <w:spacing w:before="0" w:after="0"/>
        <w:jc w:val="center"/>
        <w:rPr>
          <w:rFonts w:ascii="Times New Roman" w:hAnsi="Times New Roman"/>
          <w:sz w:val="20"/>
        </w:rPr>
      </w:pPr>
      <w:r>
        <w:rPr>
          <w:rFonts w:ascii="Times New Roman" w:hAnsi="Times New Roman"/>
          <w:sz w:val="20"/>
        </w:rPr>
        <w:t xml:space="preserve">as Structuring Agent and Sustainability Agent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07"/>
        <w:gridCol w:w="123"/>
        <w:gridCol w:w="7422"/>
        <w:gridCol w:w="173"/>
        <w:gridCol w:w="96"/>
        <w:gridCol w:w="421"/>
        <w:gridCol w:w="63"/>
      </w:tblGrid>
      <w:tr>
        <w:trPr/>
        <w:tc>
          <w:tcPr>
            <w:tcW w:w="190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422"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907"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42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52" w:type="dxa"/>
            <w:gridSpan w:val="3"/>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945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90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23" w:type="dxa"/>
            <w:tcBorders/>
            <w:vAlign w:val="bottom"/>
          </w:tcPr>
          <w:p>
            <w:pPr>
              <w:pStyle w:val="TableContents"/>
              <w:bidi w:val="0"/>
              <w:spacing w:before="0" w:after="283"/>
              <w:jc w:val="left"/>
              <w:rPr/>
            </w:pPr>
            <w:r>
              <w:rPr/>
              <w:t> </w:t>
            </w:r>
          </w:p>
        </w:tc>
        <w:tc>
          <w:tcPr>
            <w:tcW w:w="7422" w:type="dxa"/>
            <w:tcBorders/>
          </w:tcPr>
          <w:p>
            <w:pPr>
              <w:pStyle w:val="TableContents"/>
              <w:bidi w:val="0"/>
              <w:spacing w:before="0" w:after="0"/>
              <w:jc w:val="left"/>
              <w:rPr>
                <w:rFonts w:ascii="Times New Roman" w:hAnsi="Times New Roman"/>
                <w:sz w:val="20"/>
              </w:rPr>
            </w:pPr>
            <w:r>
              <w:rPr>
                <w:rFonts w:ascii="Times New Roman" w:hAnsi="Times New Roman"/>
                <w:sz w:val="20"/>
              </w:rPr>
              <w:t>Certain Defined Terms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907"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23" w:type="dxa"/>
            <w:tcBorders/>
            <w:vAlign w:val="bottom"/>
          </w:tcPr>
          <w:p>
            <w:pPr>
              <w:pStyle w:val="TableContents"/>
              <w:bidi w:val="0"/>
              <w:spacing w:before="0" w:after="283"/>
              <w:jc w:val="left"/>
              <w:rPr/>
            </w:pPr>
            <w:r>
              <w:rPr/>
              <w:t> </w:t>
            </w:r>
          </w:p>
        </w:tc>
        <w:tc>
          <w:tcPr>
            <w:tcW w:w="7422" w:type="dxa"/>
            <w:tcBorders/>
          </w:tcPr>
          <w:p>
            <w:pPr>
              <w:pStyle w:val="TableContents"/>
              <w:bidi w:val="0"/>
              <w:spacing w:before="0" w:after="0"/>
              <w:jc w:val="left"/>
              <w:rPr>
                <w:rFonts w:ascii="Times New Roman" w:hAnsi="Times New Roman"/>
                <w:sz w:val="20"/>
              </w:rPr>
            </w:pPr>
            <w:r>
              <w:rPr>
                <w:rFonts w:ascii="Times New Roman" w:hAnsi="Times New Roman"/>
                <w:sz w:val="20"/>
              </w:rPr>
              <w:t>Other Interpretative Matters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9452" w:type="dxa"/>
            <w:gridSpan w:val="3"/>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945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TERMS OF THE LOANS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907"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23" w:type="dxa"/>
            <w:tcBorders/>
            <w:vAlign w:val="bottom"/>
          </w:tcPr>
          <w:p>
            <w:pPr>
              <w:pStyle w:val="TableContents"/>
              <w:bidi w:val="0"/>
              <w:spacing w:before="0" w:after="283"/>
              <w:jc w:val="left"/>
              <w:rPr/>
            </w:pPr>
            <w:r>
              <w:rPr/>
              <w:t> </w:t>
            </w:r>
          </w:p>
        </w:tc>
        <w:tc>
          <w:tcPr>
            <w:tcW w:w="7422" w:type="dxa"/>
            <w:tcBorders/>
          </w:tcPr>
          <w:p>
            <w:pPr>
              <w:pStyle w:val="TableContents"/>
              <w:bidi w:val="0"/>
              <w:spacing w:before="0" w:after="0"/>
              <w:jc w:val="left"/>
              <w:rPr>
                <w:rFonts w:ascii="Times New Roman" w:hAnsi="Times New Roman"/>
                <w:sz w:val="20"/>
              </w:rPr>
            </w:pPr>
            <w:r>
              <w:rPr>
                <w:rFonts w:ascii="Times New Roman" w:hAnsi="Times New Roman"/>
                <w:sz w:val="20"/>
              </w:rPr>
              <w:t>Loan Facility</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907"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23" w:type="dxa"/>
            <w:tcBorders/>
            <w:vAlign w:val="bottom"/>
          </w:tcPr>
          <w:p>
            <w:pPr>
              <w:pStyle w:val="TableContents"/>
              <w:bidi w:val="0"/>
              <w:spacing w:before="0" w:after="283"/>
              <w:jc w:val="left"/>
              <w:rPr/>
            </w:pPr>
            <w:r>
              <w:rPr/>
              <w:t> </w:t>
            </w:r>
          </w:p>
        </w:tc>
        <w:tc>
          <w:tcPr>
            <w:tcW w:w="7422" w:type="dxa"/>
            <w:tcBorders/>
          </w:tcPr>
          <w:p>
            <w:pPr>
              <w:pStyle w:val="TableContents"/>
              <w:bidi w:val="0"/>
              <w:spacing w:before="0" w:after="0"/>
              <w:jc w:val="left"/>
              <w:rPr>
                <w:rFonts w:ascii="Times New Roman" w:hAnsi="Times New Roman"/>
                <w:sz w:val="20"/>
              </w:rPr>
            </w:pPr>
            <w:r>
              <w:rPr>
                <w:rFonts w:ascii="Times New Roman" w:hAnsi="Times New Roman"/>
                <w:sz w:val="20"/>
              </w:rPr>
              <w:t>Making Loans; Repayment of Loans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907"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23" w:type="dxa"/>
            <w:tcBorders/>
            <w:vAlign w:val="bottom"/>
          </w:tcPr>
          <w:p>
            <w:pPr>
              <w:pStyle w:val="TableContents"/>
              <w:bidi w:val="0"/>
              <w:spacing w:before="0" w:after="283"/>
              <w:jc w:val="left"/>
              <w:rPr/>
            </w:pPr>
            <w:r>
              <w:rPr/>
              <w:t> </w:t>
            </w:r>
          </w:p>
        </w:tc>
        <w:tc>
          <w:tcPr>
            <w:tcW w:w="7422"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Fees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907"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23" w:type="dxa"/>
            <w:tcBorders/>
            <w:vAlign w:val="bottom"/>
          </w:tcPr>
          <w:p>
            <w:pPr>
              <w:pStyle w:val="TableContents"/>
              <w:bidi w:val="0"/>
              <w:spacing w:before="0" w:after="283"/>
              <w:jc w:val="left"/>
              <w:rPr/>
            </w:pPr>
            <w:r>
              <w:rPr/>
              <w:t> </w:t>
            </w:r>
          </w:p>
        </w:tc>
        <w:tc>
          <w:tcPr>
            <w:tcW w:w="7422" w:type="dxa"/>
            <w:tcBorders/>
          </w:tcPr>
          <w:p>
            <w:pPr>
              <w:pStyle w:val="TableContents"/>
              <w:bidi w:val="0"/>
              <w:spacing w:before="0" w:after="0"/>
              <w:jc w:val="left"/>
              <w:rPr>
                <w:rFonts w:ascii="Times New Roman" w:hAnsi="Times New Roman"/>
                <w:sz w:val="20"/>
              </w:rPr>
            </w:pPr>
            <w:r>
              <w:rPr>
                <w:rFonts w:ascii="Times New Roman" w:hAnsi="Times New Roman"/>
                <w:sz w:val="20"/>
              </w:rPr>
              <w:t>Records of Loans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907"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23" w:type="dxa"/>
            <w:tcBorders/>
            <w:vAlign w:val="bottom"/>
          </w:tcPr>
          <w:p>
            <w:pPr>
              <w:pStyle w:val="TableContents"/>
              <w:bidi w:val="0"/>
              <w:spacing w:before="0" w:after="283"/>
              <w:jc w:val="left"/>
              <w:rPr/>
            </w:pPr>
            <w:r>
              <w:rPr/>
              <w:t> </w:t>
            </w:r>
          </w:p>
        </w:tc>
        <w:tc>
          <w:tcPr>
            <w:tcW w:w="7422" w:type="dxa"/>
            <w:tcBorders/>
          </w:tcPr>
          <w:p>
            <w:pPr>
              <w:pStyle w:val="TableContents"/>
              <w:bidi w:val="0"/>
              <w:spacing w:before="0" w:after="0"/>
              <w:jc w:val="left"/>
              <w:rPr>
                <w:rFonts w:ascii="Times New Roman" w:hAnsi="Times New Roman"/>
                <w:sz w:val="20"/>
              </w:rPr>
            </w:pPr>
            <w:r>
              <w:rPr>
                <w:rFonts w:ascii="Times New Roman" w:hAnsi="Times New Roman"/>
                <w:sz w:val="20"/>
              </w:rPr>
              <w:t>Selection of Daily 1M SOFR and Term SOFR Rate; Rate Quotations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907"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23" w:type="dxa"/>
            <w:tcBorders/>
            <w:vAlign w:val="bottom"/>
          </w:tcPr>
          <w:p>
            <w:pPr>
              <w:pStyle w:val="TableContents"/>
              <w:bidi w:val="0"/>
              <w:spacing w:before="0" w:after="283"/>
              <w:jc w:val="left"/>
              <w:rPr/>
            </w:pPr>
            <w:r>
              <w:rPr/>
              <w:t> </w:t>
            </w:r>
          </w:p>
        </w:tc>
        <w:tc>
          <w:tcPr>
            <w:tcW w:w="7422" w:type="dxa"/>
            <w:tcBorders/>
          </w:tcPr>
          <w:p>
            <w:pPr>
              <w:pStyle w:val="TableContents"/>
              <w:bidi w:val="0"/>
              <w:spacing w:before="0" w:after="0"/>
              <w:jc w:val="left"/>
              <w:rPr>
                <w:rFonts w:ascii="Times New Roman" w:hAnsi="Times New Roman"/>
                <w:sz w:val="20"/>
              </w:rPr>
            </w:pPr>
            <w:r>
              <w:rPr>
                <w:rFonts w:ascii="Times New Roman" w:hAnsi="Times New Roman"/>
                <w:sz w:val="20"/>
              </w:rPr>
              <w:t>Borrowers Jointly and Severally Liable for Obligations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907"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23" w:type="dxa"/>
            <w:tcBorders/>
            <w:vAlign w:val="bottom"/>
          </w:tcPr>
          <w:p>
            <w:pPr>
              <w:pStyle w:val="TableContents"/>
              <w:bidi w:val="0"/>
              <w:spacing w:before="0" w:after="283"/>
              <w:jc w:val="left"/>
              <w:rPr/>
            </w:pPr>
            <w:r>
              <w:rPr/>
              <w:t> </w:t>
            </w:r>
          </w:p>
        </w:tc>
        <w:tc>
          <w:tcPr>
            <w:tcW w:w="7422" w:type="dxa"/>
            <w:tcBorders/>
          </w:tcPr>
          <w:p>
            <w:pPr>
              <w:pStyle w:val="TableContents"/>
              <w:bidi w:val="0"/>
              <w:spacing w:before="0" w:after="0"/>
              <w:jc w:val="left"/>
              <w:rPr>
                <w:rFonts w:ascii="Times New Roman" w:hAnsi="Times New Roman"/>
                <w:sz w:val="20"/>
              </w:rPr>
            </w:pPr>
            <w:r>
              <w:rPr>
                <w:rFonts w:ascii="Times New Roman" w:hAnsi="Times New Roman"/>
                <w:sz w:val="20"/>
              </w:rPr>
              <w:t>Defaulting Lenders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907"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123" w:type="dxa"/>
            <w:tcBorders/>
            <w:vAlign w:val="bottom"/>
          </w:tcPr>
          <w:p>
            <w:pPr>
              <w:pStyle w:val="TableContents"/>
              <w:bidi w:val="0"/>
              <w:spacing w:before="0" w:after="283"/>
              <w:jc w:val="left"/>
              <w:rPr/>
            </w:pPr>
            <w:r>
              <w:rPr/>
              <w:t> </w:t>
            </w:r>
          </w:p>
        </w:tc>
        <w:tc>
          <w:tcPr>
            <w:tcW w:w="7422" w:type="dxa"/>
            <w:tcBorders/>
          </w:tcPr>
          <w:p>
            <w:pPr>
              <w:pStyle w:val="TableContents"/>
              <w:bidi w:val="0"/>
              <w:spacing w:before="0" w:after="0"/>
              <w:jc w:val="left"/>
              <w:rPr>
                <w:rFonts w:ascii="Times New Roman" w:hAnsi="Times New Roman"/>
                <w:sz w:val="20"/>
              </w:rPr>
            </w:pPr>
            <w:r>
              <w:rPr>
                <w:rFonts w:ascii="Times New Roman" w:hAnsi="Times New Roman"/>
                <w:sz w:val="20"/>
              </w:rPr>
              <w:t>Conforming Changes Relating to Daily 1M SOFR and the Term SOFR Rate</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1907" w:type="dxa"/>
            <w:tcBorders/>
            <w:vAlign w:val="center"/>
          </w:tcPr>
          <w:p>
            <w:pPr>
              <w:pStyle w:val="TableContents"/>
              <w:bidi w:val="0"/>
              <w:spacing w:before="0" w:after="283"/>
              <w:jc w:val="left"/>
              <w:rPr>
                <w:sz w:val="4"/>
                <w:szCs w:val="4"/>
              </w:rPr>
            </w:pPr>
            <w:r>
              <w:rPr>
                <w:sz w:val="4"/>
                <w:szCs w:val="4"/>
              </w:rPr>
            </w:r>
          </w:p>
        </w:tc>
        <w:tc>
          <w:tcPr>
            <w:tcW w:w="7545"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907" w:type="dxa"/>
            <w:tcBorders/>
          </w:tcPr>
          <w:p>
            <w:pPr>
              <w:pStyle w:val="TableContents"/>
              <w:bidi w:val="0"/>
              <w:spacing w:before="0" w:after="0"/>
              <w:jc w:val="left"/>
              <w:rPr>
                <w:rFonts w:ascii="Times New Roman" w:hAnsi="Times New Roman"/>
                <w:sz w:val="20"/>
              </w:rPr>
            </w:pPr>
            <w:r>
              <w:rPr>
                <w:rFonts w:ascii="Times New Roman" w:hAnsi="Times New Roman"/>
                <w:sz w:val="20"/>
              </w:rPr>
              <w:t>ARTICLE III</w:t>
            </w:r>
          </w:p>
        </w:tc>
        <w:tc>
          <w:tcPr>
            <w:tcW w:w="123" w:type="dxa"/>
            <w:tcBorders/>
            <w:vAlign w:val="bottom"/>
          </w:tcPr>
          <w:p>
            <w:pPr>
              <w:pStyle w:val="TableContents"/>
              <w:bidi w:val="0"/>
              <w:spacing w:before="0" w:after="283"/>
              <w:jc w:val="left"/>
              <w:rPr/>
            </w:pPr>
            <w:r>
              <w:rPr/>
              <w:t> </w:t>
            </w:r>
          </w:p>
        </w:tc>
        <w:tc>
          <w:tcPr>
            <w:tcW w:w="7422"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1907" w:type="dxa"/>
            <w:tcBorders/>
            <w:vAlign w:val="center"/>
          </w:tcPr>
          <w:p>
            <w:pPr>
              <w:pStyle w:val="TableContents"/>
              <w:bidi w:val="0"/>
              <w:spacing w:before="0" w:after="283"/>
              <w:jc w:val="left"/>
              <w:rPr>
                <w:sz w:val="4"/>
                <w:szCs w:val="4"/>
              </w:rPr>
            </w:pPr>
            <w:r>
              <w:rPr>
                <w:sz w:val="4"/>
                <w:szCs w:val="4"/>
              </w:rPr>
            </w:r>
          </w:p>
        </w:tc>
        <w:tc>
          <w:tcPr>
            <w:tcW w:w="7545"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907" w:type="dxa"/>
            <w:tcBorders/>
          </w:tcPr>
          <w:p>
            <w:pPr>
              <w:pStyle w:val="TableContents"/>
              <w:bidi w:val="0"/>
              <w:spacing w:before="0" w:after="0"/>
              <w:jc w:val="left"/>
              <w:rPr>
                <w:rFonts w:ascii="Times New Roman" w:hAnsi="Times New Roman"/>
                <w:sz w:val="20"/>
              </w:rPr>
            </w:pPr>
            <w:r>
              <w:rPr>
                <w:rFonts w:ascii="Times New Roman" w:hAnsi="Times New Roman"/>
                <w:sz w:val="20"/>
              </w:rPr>
              <w:t>ARTICLE IV</w:t>
            </w:r>
          </w:p>
        </w:tc>
        <w:tc>
          <w:tcPr>
            <w:tcW w:w="123" w:type="dxa"/>
            <w:tcBorders/>
            <w:vAlign w:val="bottom"/>
          </w:tcPr>
          <w:p>
            <w:pPr>
              <w:pStyle w:val="TableContents"/>
              <w:bidi w:val="0"/>
              <w:spacing w:before="0" w:after="283"/>
              <w:jc w:val="left"/>
              <w:rPr/>
            </w:pPr>
            <w:r>
              <w:rPr/>
              <w:t> </w:t>
            </w:r>
          </w:p>
        </w:tc>
        <w:tc>
          <w:tcPr>
            <w:tcW w:w="7422" w:type="dxa"/>
            <w:tcBorders/>
          </w:tcPr>
          <w:p>
            <w:pPr>
              <w:pStyle w:val="TableContents"/>
              <w:bidi w:val="0"/>
              <w:spacing w:before="0" w:after="0"/>
              <w:jc w:val="left"/>
              <w:rPr>
                <w:rFonts w:ascii="Times New Roman" w:hAnsi="Times New Roman"/>
                <w:sz w:val="20"/>
              </w:rPr>
            </w:pPr>
            <w:r>
              <w:rPr>
                <w:rFonts w:ascii="Times New Roman" w:hAnsi="Times New Roman"/>
                <w:sz w:val="20"/>
              </w:rPr>
              <w:t>SETTLEMENT PROCEDURES AND PAYMENT PROVISIONS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907"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23" w:type="dxa"/>
            <w:tcBorders/>
            <w:vAlign w:val="bottom"/>
          </w:tcPr>
          <w:p>
            <w:pPr>
              <w:pStyle w:val="TableContents"/>
              <w:bidi w:val="0"/>
              <w:spacing w:before="0" w:after="283"/>
              <w:jc w:val="left"/>
              <w:rPr/>
            </w:pPr>
            <w:r>
              <w:rPr/>
              <w:t> </w:t>
            </w:r>
          </w:p>
        </w:tc>
        <w:tc>
          <w:tcPr>
            <w:tcW w:w="7422" w:type="dxa"/>
            <w:tcBorders/>
          </w:tcPr>
          <w:p>
            <w:pPr>
              <w:pStyle w:val="TableContents"/>
              <w:bidi w:val="0"/>
              <w:spacing w:before="0" w:after="0"/>
              <w:jc w:val="left"/>
              <w:rPr>
                <w:rFonts w:ascii="Times New Roman" w:hAnsi="Times New Roman"/>
                <w:sz w:val="20"/>
              </w:rPr>
            </w:pPr>
            <w:r>
              <w:rPr>
                <w:rFonts w:ascii="Times New Roman" w:hAnsi="Times New Roman"/>
                <w:sz w:val="20"/>
              </w:rPr>
              <w:t>Settlement Procedures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907"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23" w:type="dxa"/>
            <w:tcBorders/>
            <w:vAlign w:val="bottom"/>
          </w:tcPr>
          <w:p>
            <w:pPr>
              <w:pStyle w:val="TableContents"/>
              <w:bidi w:val="0"/>
              <w:spacing w:before="0" w:after="283"/>
              <w:jc w:val="left"/>
              <w:rPr/>
            </w:pPr>
            <w:r>
              <w:rPr/>
              <w:t> </w:t>
            </w:r>
          </w:p>
        </w:tc>
        <w:tc>
          <w:tcPr>
            <w:tcW w:w="7422" w:type="dxa"/>
            <w:tcBorders/>
          </w:tcPr>
          <w:p>
            <w:pPr>
              <w:pStyle w:val="TableContents"/>
              <w:bidi w:val="0"/>
              <w:spacing w:before="0" w:after="0"/>
              <w:jc w:val="left"/>
              <w:rPr>
                <w:rFonts w:ascii="Times New Roman" w:hAnsi="Times New Roman"/>
                <w:sz w:val="20"/>
              </w:rPr>
            </w:pPr>
            <w:r>
              <w:rPr>
                <w:rFonts w:ascii="Times New Roman" w:hAnsi="Times New Roman"/>
                <w:sz w:val="20"/>
              </w:rPr>
              <w:t>Payments and Computations, Etc</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rHeight w:val="120" w:hRule="atLeast"/>
        </w:trPr>
        <w:tc>
          <w:tcPr>
            <w:tcW w:w="1907" w:type="dxa"/>
            <w:tcBorders/>
            <w:vAlign w:val="center"/>
          </w:tcPr>
          <w:p>
            <w:pPr>
              <w:pStyle w:val="TableContents"/>
              <w:bidi w:val="0"/>
              <w:spacing w:before="0" w:after="283"/>
              <w:jc w:val="left"/>
              <w:rPr>
                <w:sz w:val="4"/>
                <w:szCs w:val="4"/>
              </w:rPr>
            </w:pPr>
            <w:r>
              <w:rPr>
                <w:sz w:val="4"/>
                <w:szCs w:val="4"/>
              </w:rPr>
            </w:r>
          </w:p>
        </w:tc>
        <w:tc>
          <w:tcPr>
            <w:tcW w:w="7545"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907" w:type="dxa"/>
            <w:tcBorders/>
          </w:tcPr>
          <w:p>
            <w:pPr>
              <w:pStyle w:val="TableContents"/>
              <w:bidi w:val="0"/>
              <w:spacing w:before="0" w:after="0"/>
              <w:jc w:val="left"/>
              <w:rPr>
                <w:rFonts w:ascii="Times New Roman" w:hAnsi="Times New Roman"/>
                <w:sz w:val="20"/>
              </w:rPr>
            </w:pPr>
            <w:r>
              <w:rPr>
                <w:rFonts w:ascii="Times New Roman" w:hAnsi="Times New Roman"/>
                <w:sz w:val="20"/>
              </w:rPr>
              <w:t>ARTICLE V</w:t>
            </w:r>
          </w:p>
        </w:tc>
        <w:tc>
          <w:tcPr>
            <w:tcW w:w="123" w:type="dxa"/>
            <w:tcBorders/>
            <w:vAlign w:val="bottom"/>
          </w:tcPr>
          <w:p>
            <w:pPr>
              <w:pStyle w:val="TableContents"/>
              <w:bidi w:val="0"/>
              <w:spacing w:before="0" w:after="283"/>
              <w:jc w:val="left"/>
              <w:rPr/>
            </w:pPr>
            <w:r>
              <w:rPr/>
              <w:t> </w:t>
            </w:r>
          </w:p>
        </w:tc>
        <w:tc>
          <w:tcPr>
            <w:tcW w:w="7422" w:type="dxa"/>
            <w:tcBorders/>
          </w:tcPr>
          <w:p>
            <w:pPr>
              <w:pStyle w:val="TableContents"/>
              <w:bidi w:val="0"/>
              <w:spacing w:before="0" w:after="0"/>
              <w:jc w:val="left"/>
              <w:rPr>
                <w:rFonts w:ascii="Times New Roman" w:hAnsi="Times New Roman"/>
                <w:sz w:val="20"/>
              </w:rPr>
            </w:pPr>
            <w:r>
              <w:rPr>
                <w:rFonts w:ascii="Times New Roman" w:hAnsi="Times New Roman"/>
                <w:sz w:val="20"/>
              </w:rPr>
              <w:t>INCREASED COSTS; FUNDING LOSSES; TAXES; ILLEGALITY AND SECURITY INTEREST</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907"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23" w:type="dxa"/>
            <w:tcBorders/>
            <w:vAlign w:val="bottom"/>
          </w:tcPr>
          <w:p>
            <w:pPr>
              <w:pStyle w:val="TableContents"/>
              <w:bidi w:val="0"/>
              <w:spacing w:before="0" w:after="283"/>
              <w:jc w:val="left"/>
              <w:rPr/>
            </w:pPr>
            <w:r>
              <w:rPr/>
              <w:t> </w:t>
            </w:r>
          </w:p>
        </w:tc>
        <w:tc>
          <w:tcPr>
            <w:tcW w:w="7422" w:type="dxa"/>
            <w:tcBorders/>
          </w:tcPr>
          <w:p>
            <w:pPr>
              <w:pStyle w:val="TableContents"/>
              <w:bidi w:val="0"/>
              <w:spacing w:before="0" w:after="0"/>
              <w:jc w:val="left"/>
              <w:rPr>
                <w:rFonts w:ascii="Times New Roman" w:hAnsi="Times New Roman"/>
                <w:sz w:val="20"/>
              </w:rPr>
            </w:pPr>
            <w:r>
              <w:rPr>
                <w:rFonts w:ascii="Times New Roman" w:hAnsi="Times New Roman"/>
                <w:sz w:val="20"/>
              </w:rPr>
              <w:t>Increased Costs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907"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23" w:type="dxa"/>
            <w:tcBorders/>
            <w:vAlign w:val="bottom"/>
          </w:tcPr>
          <w:p>
            <w:pPr>
              <w:pStyle w:val="TableContents"/>
              <w:bidi w:val="0"/>
              <w:spacing w:before="0" w:after="283"/>
              <w:jc w:val="left"/>
              <w:rPr/>
            </w:pPr>
            <w:r>
              <w:rPr/>
              <w:t> </w:t>
            </w:r>
          </w:p>
        </w:tc>
        <w:tc>
          <w:tcPr>
            <w:tcW w:w="7422" w:type="dxa"/>
            <w:tcBorders/>
          </w:tcPr>
          <w:p>
            <w:pPr>
              <w:pStyle w:val="TableContents"/>
              <w:bidi w:val="0"/>
              <w:spacing w:before="0" w:after="0"/>
              <w:jc w:val="left"/>
              <w:rPr>
                <w:rFonts w:ascii="Times New Roman" w:hAnsi="Times New Roman"/>
                <w:sz w:val="20"/>
              </w:rPr>
            </w:pPr>
            <w:r>
              <w:rPr>
                <w:rFonts w:ascii="Times New Roman" w:hAnsi="Times New Roman"/>
                <w:sz w:val="20"/>
              </w:rPr>
              <w:t>Funding Losses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907"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123" w:type="dxa"/>
            <w:tcBorders/>
            <w:vAlign w:val="bottom"/>
          </w:tcPr>
          <w:p>
            <w:pPr>
              <w:pStyle w:val="TableContents"/>
              <w:bidi w:val="0"/>
              <w:spacing w:before="0" w:after="283"/>
              <w:jc w:val="left"/>
              <w:rPr/>
            </w:pPr>
            <w:r>
              <w:rPr/>
              <w:t> </w:t>
            </w:r>
          </w:p>
        </w:tc>
        <w:tc>
          <w:tcPr>
            <w:tcW w:w="7422"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907"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123" w:type="dxa"/>
            <w:tcBorders/>
            <w:vAlign w:val="bottom"/>
          </w:tcPr>
          <w:p>
            <w:pPr>
              <w:pStyle w:val="TableContents"/>
              <w:bidi w:val="0"/>
              <w:spacing w:before="0" w:after="283"/>
              <w:jc w:val="left"/>
              <w:rPr/>
            </w:pPr>
            <w:r>
              <w:rPr/>
              <w:t> </w:t>
            </w:r>
          </w:p>
        </w:tc>
        <w:tc>
          <w:tcPr>
            <w:tcW w:w="7422" w:type="dxa"/>
            <w:tcBorders/>
          </w:tcPr>
          <w:p>
            <w:pPr>
              <w:pStyle w:val="TableContents"/>
              <w:bidi w:val="0"/>
              <w:spacing w:before="0" w:after="0"/>
              <w:jc w:val="left"/>
              <w:rPr>
                <w:rFonts w:ascii="Times New Roman" w:hAnsi="Times New Roman"/>
                <w:sz w:val="20"/>
              </w:rPr>
            </w:pPr>
            <w:r>
              <w:rPr>
                <w:rFonts w:ascii="Times New Roman" w:hAnsi="Times New Roman"/>
                <w:sz w:val="20"/>
              </w:rPr>
              <w:t>Daily 1M SOFR or Term SOFR Rate Unascertainable; Increased Costs; Illegality</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907"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123" w:type="dxa"/>
            <w:tcBorders/>
            <w:vAlign w:val="bottom"/>
          </w:tcPr>
          <w:p>
            <w:pPr>
              <w:pStyle w:val="TableContents"/>
              <w:bidi w:val="0"/>
              <w:spacing w:before="0" w:after="283"/>
              <w:jc w:val="left"/>
              <w:rPr/>
            </w:pPr>
            <w:r>
              <w:rPr/>
              <w:t> </w:t>
            </w:r>
          </w:p>
        </w:tc>
        <w:tc>
          <w:tcPr>
            <w:tcW w:w="7422" w:type="dxa"/>
            <w:tcBorders/>
          </w:tcPr>
          <w:p>
            <w:pPr>
              <w:pStyle w:val="TableContents"/>
              <w:bidi w:val="0"/>
              <w:spacing w:before="0" w:after="0"/>
              <w:jc w:val="left"/>
              <w:rPr>
                <w:rFonts w:ascii="Times New Roman" w:hAnsi="Times New Roman"/>
                <w:sz w:val="20"/>
              </w:rPr>
            </w:pPr>
            <w:r>
              <w:rPr>
                <w:rFonts w:ascii="Times New Roman" w:hAnsi="Times New Roman"/>
                <w:sz w:val="20"/>
              </w:rPr>
              <w:t>Security Interest</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907"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123" w:type="dxa"/>
            <w:tcBorders/>
            <w:vAlign w:val="bottom"/>
          </w:tcPr>
          <w:p>
            <w:pPr>
              <w:pStyle w:val="TableContents"/>
              <w:bidi w:val="0"/>
              <w:spacing w:before="0" w:after="283"/>
              <w:jc w:val="left"/>
              <w:rPr/>
            </w:pPr>
            <w:r>
              <w:rPr/>
              <w:t> </w:t>
            </w:r>
          </w:p>
        </w:tc>
        <w:tc>
          <w:tcPr>
            <w:tcW w:w="7422" w:type="dxa"/>
            <w:tcBorders/>
          </w:tcPr>
          <w:p>
            <w:pPr>
              <w:pStyle w:val="TableContents"/>
              <w:bidi w:val="0"/>
              <w:spacing w:before="0" w:after="0"/>
              <w:jc w:val="left"/>
              <w:rPr>
                <w:rFonts w:ascii="Times New Roman" w:hAnsi="Times New Roman"/>
                <w:sz w:val="20"/>
              </w:rPr>
            </w:pPr>
            <w:r>
              <w:rPr>
                <w:rFonts w:ascii="Times New Roman" w:hAnsi="Times New Roman"/>
                <w:sz w:val="20"/>
              </w:rPr>
              <w:t>Benchmark Replacement Setting</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rHeight w:val="120" w:hRule="atLeast"/>
        </w:trPr>
        <w:tc>
          <w:tcPr>
            <w:tcW w:w="1907" w:type="dxa"/>
            <w:tcBorders/>
            <w:vAlign w:val="center"/>
          </w:tcPr>
          <w:p>
            <w:pPr>
              <w:pStyle w:val="TableContents"/>
              <w:bidi w:val="0"/>
              <w:spacing w:before="0" w:after="283"/>
              <w:jc w:val="left"/>
              <w:rPr>
                <w:sz w:val="4"/>
                <w:szCs w:val="4"/>
              </w:rPr>
            </w:pPr>
            <w:r>
              <w:rPr>
                <w:sz w:val="4"/>
                <w:szCs w:val="4"/>
              </w:rPr>
            </w:r>
          </w:p>
        </w:tc>
        <w:tc>
          <w:tcPr>
            <w:tcW w:w="7545"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907" w:type="dxa"/>
            <w:tcBorders/>
          </w:tcPr>
          <w:p>
            <w:pPr>
              <w:pStyle w:val="TableContents"/>
              <w:bidi w:val="0"/>
              <w:spacing w:before="0" w:after="0"/>
              <w:jc w:val="left"/>
              <w:rPr>
                <w:rFonts w:ascii="Times New Roman" w:hAnsi="Times New Roman"/>
                <w:sz w:val="20"/>
              </w:rPr>
            </w:pPr>
            <w:r>
              <w:rPr>
                <w:rFonts w:ascii="Times New Roman" w:hAnsi="Times New Roman"/>
                <w:sz w:val="20"/>
              </w:rPr>
              <w:t>ARTICLE VI</w:t>
            </w:r>
          </w:p>
        </w:tc>
        <w:tc>
          <w:tcPr>
            <w:tcW w:w="123" w:type="dxa"/>
            <w:tcBorders/>
            <w:vAlign w:val="bottom"/>
          </w:tcPr>
          <w:p>
            <w:pPr>
              <w:pStyle w:val="TableContents"/>
              <w:bidi w:val="0"/>
              <w:spacing w:before="0" w:after="283"/>
              <w:jc w:val="left"/>
              <w:rPr/>
            </w:pPr>
            <w:r>
              <w:rPr/>
              <w:t> </w:t>
            </w:r>
          </w:p>
        </w:tc>
        <w:tc>
          <w:tcPr>
            <w:tcW w:w="7422"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EFFECTIVENESS AND CREDIT EXTENSIONS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1907"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23" w:type="dxa"/>
            <w:tcBorders/>
            <w:vAlign w:val="bottom"/>
          </w:tcPr>
          <w:p>
            <w:pPr>
              <w:pStyle w:val="TableContents"/>
              <w:bidi w:val="0"/>
              <w:spacing w:before="0" w:after="283"/>
              <w:jc w:val="left"/>
              <w:rPr/>
            </w:pPr>
            <w:r>
              <w:rPr/>
              <w:t> </w:t>
            </w:r>
          </w:p>
        </w:tc>
        <w:tc>
          <w:tcPr>
            <w:tcW w:w="7422" w:type="dxa"/>
            <w:tcBorders/>
          </w:tcPr>
          <w:p>
            <w:pPr>
              <w:pStyle w:val="TableContents"/>
              <w:bidi w:val="0"/>
              <w:spacing w:before="0" w:after="0"/>
              <w:jc w:val="left"/>
              <w:rPr>
                <w:rFonts w:ascii="Times New Roman" w:hAnsi="Times New Roman"/>
                <w:sz w:val="20"/>
              </w:rPr>
            </w:pPr>
            <w:r>
              <w:rPr>
                <w:rFonts w:ascii="Times New Roman" w:hAnsi="Times New Roman"/>
                <w:sz w:val="20"/>
              </w:rPr>
              <w:t>Conditions Precedent to Effectiveness and the Initial Credit Extension</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1907"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23" w:type="dxa"/>
            <w:tcBorders/>
            <w:vAlign w:val="bottom"/>
          </w:tcPr>
          <w:p>
            <w:pPr>
              <w:pStyle w:val="TableContents"/>
              <w:bidi w:val="0"/>
              <w:spacing w:before="0" w:after="283"/>
              <w:jc w:val="left"/>
              <w:rPr/>
            </w:pPr>
            <w:r>
              <w:rPr/>
              <w:t> </w:t>
            </w:r>
          </w:p>
        </w:tc>
        <w:tc>
          <w:tcPr>
            <w:tcW w:w="7422" w:type="dxa"/>
            <w:tcBorders/>
          </w:tcPr>
          <w:p>
            <w:pPr>
              <w:pStyle w:val="TableContents"/>
              <w:bidi w:val="0"/>
              <w:spacing w:before="0" w:after="0"/>
              <w:jc w:val="left"/>
              <w:rPr>
                <w:rFonts w:ascii="Times New Roman" w:hAnsi="Times New Roman"/>
                <w:sz w:val="20"/>
              </w:rPr>
            </w:pPr>
            <w:r>
              <w:rPr>
                <w:rFonts w:ascii="Times New Roman" w:hAnsi="Times New Roman"/>
                <w:sz w:val="20"/>
              </w:rPr>
              <w:t>Conditions Precedent to All Credit Extensions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1907"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23" w:type="dxa"/>
            <w:tcBorders/>
            <w:vAlign w:val="bottom"/>
          </w:tcPr>
          <w:p>
            <w:pPr>
              <w:pStyle w:val="TableContents"/>
              <w:bidi w:val="0"/>
              <w:spacing w:before="0" w:after="283"/>
              <w:jc w:val="left"/>
              <w:rPr/>
            </w:pPr>
            <w:r>
              <w:rPr/>
              <w:t> </w:t>
            </w:r>
          </w:p>
        </w:tc>
        <w:tc>
          <w:tcPr>
            <w:tcW w:w="7422" w:type="dxa"/>
            <w:tcBorders/>
          </w:tcPr>
          <w:p>
            <w:pPr>
              <w:pStyle w:val="TableContents"/>
              <w:bidi w:val="0"/>
              <w:spacing w:before="0" w:after="0"/>
              <w:jc w:val="left"/>
              <w:rPr>
                <w:rFonts w:ascii="Times New Roman" w:hAnsi="Times New Roman"/>
                <w:sz w:val="20"/>
              </w:rPr>
            </w:pPr>
            <w:r>
              <w:rPr>
                <w:rFonts w:ascii="Times New Roman" w:hAnsi="Times New Roman"/>
                <w:sz w:val="20"/>
              </w:rPr>
              <w:t>Conditions Precedent to All Releases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1"/>
        <w:gridCol w:w="119"/>
        <w:gridCol w:w="7516"/>
        <w:gridCol w:w="158"/>
        <w:gridCol w:w="70"/>
        <w:gridCol w:w="449"/>
        <w:gridCol w:w="62"/>
      </w:tblGrid>
      <w:tr>
        <w:trPr/>
        <w:tc>
          <w:tcPr>
            <w:tcW w:w="1831"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7516"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831"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16"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519"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466" w:type="dxa"/>
            <w:gridSpan w:val="3"/>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r>
      <w:tr>
        <w:trPr/>
        <w:tc>
          <w:tcPr>
            <w:tcW w:w="946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REPRESENTATIONS AND WARRANTIES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62</w:t>
            </w:r>
          </w:p>
        </w:tc>
        <w:tc>
          <w:tcPr>
            <w:tcW w:w="62" w:type="dxa"/>
            <w:tcBorders/>
            <w:vAlign w:val="bottom"/>
          </w:tcPr>
          <w:p>
            <w:pPr>
              <w:pStyle w:val="TableContents"/>
              <w:bidi w:val="0"/>
              <w:spacing w:before="0" w:after="283"/>
              <w:jc w:val="left"/>
              <w:rPr/>
            </w:pPr>
            <w:r>
              <w:rPr/>
              <w:t> </w:t>
            </w:r>
          </w:p>
        </w:tc>
      </w:tr>
      <w:tr>
        <w:trPr/>
        <w:tc>
          <w:tcPr>
            <w:tcW w:w="1831"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19" w:type="dxa"/>
            <w:tcBorders/>
            <w:vAlign w:val="bottom"/>
          </w:tcPr>
          <w:p>
            <w:pPr>
              <w:pStyle w:val="TableContents"/>
              <w:bidi w:val="0"/>
              <w:spacing w:before="0" w:after="283"/>
              <w:jc w:val="left"/>
              <w:rPr/>
            </w:pPr>
            <w:r>
              <w:rPr/>
              <w:t> </w:t>
            </w:r>
          </w:p>
        </w:tc>
        <w:tc>
          <w:tcPr>
            <w:tcW w:w="7516" w:type="dxa"/>
            <w:tcBorders/>
          </w:tcPr>
          <w:p>
            <w:pPr>
              <w:pStyle w:val="TableContents"/>
              <w:bidi w:val="0"/>
              <w:spacing w:before="0" w:after="0"/>
              <w:jc w:val="left"/>
              <w:rPr>
                <w:rFonts w:ascii="Times New Roman" w:hAnsi="Times New Roman"/>
                <w:sz w:val="20"/>
              </w:rPr>
            </w:pPr>
            <w:r>
              <w:rPr>
                <w:rFonts w:ascii="Times New Roman" w:hAnsi="Times New Roman"/>
                <w:sz w:val="20"/>
              </w:rPr>
              <w:t>Representations and Warranties of the Borrowers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62</w:t>
            </w:r>
          </w:p>
        </w:tc>
        <w:tc>
          <w:tcPr>
            <w:tcW w:w="62" w:type="dxa"/>
            <w:tcBorders/>
            <w:vAlign w:val="bottom"/>
          </w:tcPr>
          <w:p>
            <w:pPr>
              <w:pStyle w:val="TableContents"/>
              <w:bidi w:val="0"/>
              <w:spacing w:before="0" w:after="283"/>
              <w:jc w:val="left"/>
              <w:rPr/>
            </w:pPr>
            <w:r>
              <w:rPr/>
              <w:t> </w:t>
            </w:r>
          </w:p>
        </w:tc>
      </w:tr>
      <w:tr>
        <w:trPr/>
        <w:tc>
          <w:tcPr>
            <w:tcW w:w="1831"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19" w:type="dxa"/>
            <w:tcBorders/>
            <w:vAlign w:val="bottom"/>
          </w:tcPr>
          <w:p>
            <w:pPr>
              <w:pStyle w:val="TableContents"/>
              <w:bidi w:val="0"/>
              <w:spacing w:before="0" w:after="283"/>
              <w:jc w:val="left"/>
              <w:rPr/>
            </w:pPr>
            <w:r>
              <w:rPr/>
              <w:t> </w:t>
            </w:r>
          </w:p>
        </w:tc>
        <w:tc>
          <w:tcPr>
            <w:tcW w:w="7516" w:type="dxa"/>
            <w:tcBorders/>
          </w:tcPr>
          <w:p>
            <w:pPr>
              <w:pStyle w:val="TableContents"/>
              <w:bidi w:val="0"/>
              <w:spacing w:before="0" w:after="0"/>
              <w:jc w:val="left"/>
              <w:rPr>
                <w:rFonts w:ascii="Times New Roman" w:hAnsi="Times New Roman"/>
                <w:sz w:val="20"/>
              </w:rPr>
            </w:pPr>
            <w:r>
              <w:rPr>
                <w:rFonts w:ascii="Times New Roman" w:hAnsi="Times New Roman"/>
                <w:sz w:val="20"/>
              </w:rPr>
              <w:t>Representations and Warranties of the Servicer</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68</w:t>
            </w:r>
          </w:p>
        </w:tc>
        <w:tc>
          <w:tcPr>
            <w:tcW w:w="62" w:type="dxa"/>
            <w:tcBorders/>
            <w:vAlign w:val="bottom"/>
          </w:tcPr>
          <w:p>
            <w:pPr>
              <w:pStyle w:val="TableContents"/>
              <w:bidi w:val="0"/>
              <w:spacing w:before="0" w:after="283"/>
              <w:jc w:val="left"/>
              <w:rPr/>
            </w:pPr>
            <w:r>
              <w:rPr/>
              <w:t> </w:t>
            </w:r>
          </w:p>
        </w:tc>
      </w:tr>
      <w:tr>
        <w:trPr>
          <w:trHeight w:val="120" w:hRule="atLeast"/>
        </w:trPr>
        <w:tc>
          <w:tcPr>
            <w:tcW w:w="9466" w:type="dxa"/>
            <w:gridSpan w:val="3"/>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r>
      <w:tr>
        <w:trPr/>
        <w:tc>
          <w:tcPr>
            <w:tcW w:w="946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COVENANTS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72</w:t>
            </w:r>
          </w:p>
        </w:tc>
        <w:tc>
          <w:tcPr>
            <w:tcW w:w="62" w:type="dxa"/>
            <w:tcBorders/>
            <w:vAlign w:val="bottom"/>
          </w:tcPr>
          <w:p>
            <w:pPr>
              <w:pStyle w:val="TableContents"/>
              <w:bidi w:val="0"/>
              <w:spacing w:before="0" w:after="283"/>
              <w:jc w:val="left"/>
              <w:rPr/>
            </w:pPr>
            <w:r>
              <w:rPr/>
              <w:t> </w:t>
            </w:r>
          </w:p>
        </w:tc>
      </w:tr>
      <w:tr>
        <w:trPr/>
        <w:tc>
          <w:tcPr>
            <w:tcW w:w="1831"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19" w:type="dxa"/>
            <w:tcBorders/>
            <w:vAlign w:val="bottom"/>
          </w:tcPr>
          <w:p>
            <w:pPr>
              <w:pStyle w:val="TableContents"/>
              <w:bidi w:val="0"/>
              <w:spacing w:before="0" w:after="283"/>
              <w:jc w:val="left"/>
              <w:rPr/>
            </w:pPr>
            <w:r>
              <w:rPr/>
              <w:t> </w:t>
            </w:r>
          </w:p>
        </w:tc>
        <w:tc>
          <w:tcPr>
            <w:tcW w:w="7516" w:type="dxa"/>
            <w:tcBorders/>
          </w:tcPr>
          <w:p>
            <w:pPr>
              <w:pStyle w:val="TableContents"/>
              <w:bidi w:val="0"/>
              <w:spacing w:before="0" w:after="0"/>
              <w:jc w:val="left"/>
              <w:rPr>
                <w:rFonts w:ascii="Times New Roman" w:hAnsi="Times New Roman"/>
                <w:sz w:val="20"/>
              </w:rPr>
            </w:pPr>
            <w:r>
              <w:rPr>
                <w:rFonts w:ascii="Times New Roman" w:hAnsi="Times New Roman"/>
                <w:sz w:val="20"/>
              </w:rPr>
              <w:t>Covenants of the Borrowers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72</w:t>
            </w:r>
          </w:p>
        </w:tc>
        <w:tc>
          <w:tcPr>
            <w:tcW w:w="62" w:type="dxa"/>
            <w:tcBorders/>
            <w:vAlign w:val="bottom"/>
          </w:tcPr>
          <w:p>
            <w:pPr>
              <w:pStyle w:val="TableContents"/>
              <w:bidi w:val="0"/>
              <w:spacing w:before="0" w:after="283"/>
              <w:jc w:val="left"/>
              <w:rPr/>
            </w:pPr>
            <w:r>
              <w:rPr/>
              <w:t> </w:t>
            </w:r>
          </w:p>
        </w:tc>
      </w:tr>
      <w:tr>
        <w:trPr/>
        <w:tc>
          <w:tcPr>
            <w:tcW w:w="1831"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19" w:type="dxa"/>
            <w:tcBorders/>
            <w:vAlign w:val="bottom"/>
          </w:tcPr>
          <w:p>
            <w:pPr>
              <w:pStyle w:val="TableContents"/>
              <w:bidi w:val="0"/>
              <w:spacing w:before="0" w:after="283"/>
              <w:jc w:val="left"/>
              <w:rPr/>
            </w:pPr>
            <w:r>
              <w:rPr/>
              <w:t> </w:t>
            </w:r>
          </w:p>
        </w:tc>
        <w:tc>
          <w:tcPr>
            <w:tcW w:w="7516" w:type="dxa"/>
            <w:tcBorders/>
          </w:tcPr>
          <w:p>
            <w:pPr>
              <w:pStyle w:val="TableContents"/>
              <w:bidi w:val="0"/>
              <w:spacing w:before="0" w:after="0"/>
              <w:jc w:val="left"/>
              <w:rPr>
                <w:rFonts w:ascii="Times New Roman" w:hAnsi="Times New Roman"/>
                <w:sz w:val="20"/>
              </w:rPr>
            </w:pPr>
            <w:r>
              <w:rPr>
                <w:rFonts w:ascii="Times New Roman" w:hAnsi="Times New Roman"/>
                <w:sz w:val="20"/>
              </w:rPr>
              <w:t>Covenants of the Servicer</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81</w:t>
            </w:r>
          </w:p>
        </w:tc>
        <w:tc>
          <w:tcPr>
            <w:tcW w:w="62" w:type="dxa"/>
            <w:tcBorders/>
            <w:vAlign w:val="bottom"/>
          </w:tcPr>
          <w:p>
            <w:pPr>
              <w:pStyle w:val="TableContents"/>
              <w:bidi w:val="0"/>
              <w:spacing w:before="0" w:after="283"/>
              <w:jc w:val="left"/>
              <w:rPr/>
            </w:pPr>
            <w:r>
              <w:rPr/>
              <w:t> </w:t>
            </w:r>
          </w:p>
        </w:tc>
      </w:tr>
      <w:tr>
        <w:trPr/>
        <w:tc>
          <w:tcPr>
            <w:tcW w:w="1831"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119" w:type="dxa"/>
            <w:tcBorders/>
            <w:vAlign w:val="bottom"/>
          </w:tcPr>
          <w:p>
            <w:pPr>
              <w:pStyle w:val="TableContents"/>
              <w:bidi w:val="0"/>
              <w:spacing w:before="0" w:after="283"/>
              <w:jc w:val="left"/>
              <w:rPr/>
            </w:pPr>
            <w:r>
              <w:rPr/>
              <w:t> </w:t>
            </w:r>
          </w:p>
        </w:tc>
        <w:tc>
          <w:tcPr>
            <w:tcW w:w="7516" w:type="dxa"/>
            <w:tcBorders/>
          </w:tcPr>
          <w:p>
            <w:pPr>
              <w:pStyle w:val="TableContents"/>
              <w:bidi w:val="0"/>
              <w:spacing w:before="0" w:after="0"/>
              <w:jc w:val="left"/>
              <w:rPr>
                <w:rFonts w:ascii="Times New Roman" w:hAnsi="Times New Roman"/>
                <w:sz w:val="20"/>
              </w:rPr>
            </w:pPr>
            <w:r>
              <w:rPr>
                <w:rFonts w:ascii="Times New Roman" w:hAnsi="Times New Roman"/>
                <w:sz w:val="20"/>
              </w:rPr>
              <w:t>Separate Existence of the Borrowers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89</w:t>
            </w:r>
          </w:p>
        </w:tc>
        <w:tc>
          <w:tcPr>
            <w:tcW w:w="62" w:type="dxa"/>
            <w:tcBorders/>
            <w:vAlign w:val="bottom"/>
          </w:tcPr>
          <w:p>
            <w:pPr>
              <w:pStyle w:val="TableContents"/>
              <w:bidi w:val="0"/>
              <w:spacing w:before="0" w:after="283"/>
              <w:jc w:val="left"/>
              <w:rPr/>
            </w:pPr>
            <w:r>
              <w:rPr/>
              <w:t> </w:t>
            </w:r>
          </w:p>
        </w:tc>
      </w:tr>
      <w:tr>
        <w:trPr>
          <w:trHeight w:val="120" w:hRule="atLeast"/>
        </w:trPr>
        <w:tc>
          <w:tcPr>
            <w:tcW w:w="9466" w:type="dxa"/>
            <w:gridSpan w:val="3"/>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r>
      <w:tr>
        <w:trPr/>
        <w:tc>
          <w:tcPr>
            <w:tcW w:w="946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ADMINISTRATION AND COLLECTION OF RECEIVABLES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93</w:t>
            </w:r>
          </w:p>
        </w:tc>
        <w:tc>
          <w:tcPr>
            <w:tcW w:w="62" w:type="dxa"/>
            <w:tcBorders/>
            <w:vAlign w:val="bottom"/>
          </w:tcPr>
          <w:p>
            <w:pPr>
              <w:pStyle w:val="TableContents"/>
              <w:bidi w:val="0"/>
              <w:spacing w:before="0" w:after="283"/>
              <w:jc w:val="left"/>
              <w:rPr/>
            </w:pPr>
            <w:r>
              <w:rPr/>
              <w:t> </w:t>
            </w:r>
          </w:p>
        </w:tc>
      </w:tr>
      <w:tr>
        <w:trPr/>
        <w:tc>
          <w:tcPr>
            <w:tcW w:w="1831"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19" w:type="dxa"/>
            <w:tcBorders/>
            <w:vAlign w:val="bottom"/>
          </w:tcPr>
          <w:p>
            <w:pPr>
              <w:pStyle w:val="TableContents"/>
              <w:bidi w:val="0"/>
              <w:spacing w:before="0" w:after="283"/>
              <w:jc w:val="left"/>
              <w:rPr/>
            </w:pPr>
            <w:r>
              <w:rPr/>
              <w:t> </w:t>
            </w:r>
          </w:p>
        </w:tc>
        <w:tc>
          <w:tcPr>
            <w:tcW w:w="7516" w:type="dxa"/>
            <w:tcBorders/>
          </w:tcPr>
          <w:p>
            <w:pPr>
              <w:pStyle w:val="TableContents"/>
              <w:bidi w:val="0"/>
              <w:spacing w:before="0" w:after="0"/>
              <w:jc w:val="left"/>
              <w:rPr>
                <w:rFonts w:ascii="Times New Roman" w:hAnsi="Times New Roman"/>
                <w:sz w:val="20"/>
              </w:rPr>
            </w:pPr>
            <w:r>
              <w:rPr>
                <w:rFonts w:ascii="Times New Roman" w:hAnsi="Times New Roman"/>
                <w:sz w:val="20"/>
              </w:rPr>
              <w:t>Appointment of the Servicer</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93</w:t>
            </w:r>
          </w:p>
        </w:tc>
        <w:tc>
          <w:tcPr>
            <w:tcW w:w="62" w:type="dxa"/>
            <w:tcBorders/>
            <w:vAlign w:val="bottom"/>
          </w:tcPr>
          <w:p>
            <w:pPr>
              <w:pStyle w:val="TableContents"/>
              <w:bidi w:val="0"/>
              <w:spacing w:before="0" w:after="283"/>
              <w:jc w:val="left"/>
              <w:rPr/>
            </w:pPr>
            <w:r>
              <w:rPr/>
              <w:t> </w:t>
            </w:r>
          </w:p>
        </w:tc>
      </w:tr>
      <w:tr>
        <w:trPr/>
        <w:tc>
          <w:tcPr>
            <w:tcW w:w="1831"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19" w:type="dxa"/>
            <w:tcBorders/>
            <w:vAlign w:val="bottom"/>
          </w:tcPr>
          <w:p>
            <w:pPr>
              <w:pStyle w:val="TableContents"/>
              <w:bidi w:val="0"/>
              <w:spacing w:before="0" w:after="283"/>
              <w:jc w:val="left"/>
              <w:rPr/>
            </w:pPr>
            <w:r>
              <w:rPr/>
              <w:t> </w:t>
            </w:r>
          </w:p>
        </w:tc>
        <w:tc>
          <w:tcPr>
            <w:tcW w:w="7516" w:type="dxa"/>
            <w:tcBorders/>
          </w:tcPr>
          <w:p>
            <w:pPr>
              <w:pStyle w:val="TableContents"/>
              <w:bidi w:val="0"/>
              <w:spacing w:before="0" w:after="0"/>
              <w:jc w:val="left"/>
              <w:rPr>
                <w:rFonts w:ascii="Times New Roman" w:hAnsi="Times New Roman"/>
                <w:sz w:val="20"/>
              </w:rPr>
            </w:pPr>
            <w:r>
              <w:rPr>
                <w:rFonts w:ascii="Times New Roman" w:hAnsi="Times New Roman"/>
                <w:sz w:val="20"/>
              </w:rPr>
              <w:t>Duties of the Servicer</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1831"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119" w:type="dxa"/>
            <w:tcBorders/>
            <w:vAlign w:val="bottom"/>
          </w:tcPr>
          <w:p>
            <w:pPr>
              <w:pStyle w:val="TableContents"/>
              <w:bidi w:val="0"/>
              <w:spacing w:before="0" w:after="283"/>
              <w:jc w:val="left"/>
              <w:rPr/>
            </w:pPr>
            <w:r>
              <w:rPr/>
              <w:t> </w:t>
            </w:r>
          </w:p>
        </w:tc>
        <w:tc>
          <w:tcPr>
            <w:tcW w:w="7516" w:type="dxa"/>
            <w:tcBorders/>
          </w:tcPr>
          <w:p>
            <w:pPr>
              <w:pStyle w:val="TableContents"/>
              <w:bidi w:val="0"/>
              <w:spacing w:before="0" w:after="0"/>
              <w:jc w:val="left"/>
              <w:rPr>
                <w:rFonts w:ascii="Times New Roman" w:hAnsi="Times New Roman"/>
                <w:sz w:val="20"/>
              </w:rPr>
            </w:pPr>
            <w:r>
              <w:rPr>
                <w:rFonts w:ascii="Times New Roman" w:hAnsi="Times New Roman"/>
                <w:sz w:val="20"/>
              </w:rPr>
              <w:t>Collection Account Arrangements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95</w:t>
            </w:r>
          </w:p>
        </w:tc>
        <w:tc>
          <w:tcPr>
            <w:tcW w:w="62" w:type="dxa"/>
            <w:tcBorders/>
            <w:vAlign w:val="bottom"/>
          </w:tcPr>
          <w:p>
            <w:pPr>
              <w:pStyle w:val="TableContents"/>
              <w:bidi w:val="0"/>
              <w:spacing w:before="0" w:after="283"/>
              <w:jc w:val="left"/>
              <w:rPr/>
            </w:pPr>
            <w:r>
              <w:rPr/>
              <w:t> </w:t>
            </w:r>
          </w:p>
        </w:tc>
      </w:tr>
      <w:tr>
        <w:trPr/>
        <w:tc>
          <w:tcPr>
            <w:tcW w:w="1831"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119" w:type="dxa"/>
            <w:tcBorders/>
            <w:vAlign w:val="bottom"/>
          </w:tcPr>
          <w:p>
            <w:pPr>
              <w:pStyle w:val="TableContents"/>
              <w:bidi w:val="0"/>
              <w:spacing w:before="0" w:after="283"/>
              <w:jc w:val="left"/>
              <w:rPr/>
            </w:pPr>
            <w:r>
              <w:rPr/>
              <w:t> </w:t>
            </w:r>
          </w:p>
        </w:tc>
        <w:tc>
          <w:tcPr>
            <w:tcW w:w="7516" w:type="dxa"/>
            <w:tcBorders/>
          </w:tcPr>
          <w:p>
            <w:pPr>
              <w:pStyle w:val="TableContents"/>
              <w:bidi w:val="0"/>
              <w:spacing w:before="0" w:after="0"/>
              <w:jc w:val="left"/>
              <w:rPr>
                <w:rFonts w:ascii="Times New Roman" w:hAnsi="Times New Roman"/>
                <w:sz w:val="20"/>
              </w:rPr>
            </w:pPr>
            <w:r>
              <w:rPr>
                <w:rFonts w:ascii="Times New Roman" w:hAnsi="Times New Roman"/>
                <w:sz w:val="20"/>
              </w:rPr>
              <w:t>Enforcement Rights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95</w:t>
            </w:r>
          </w:p>
        </w:tc>
        <w:tc>
          <w:tcPr>
            <w:tcW w:w="62" w:type="dxa"/>
            <w:tcBorders/>
            <w:vAlign w:val="bottom"/>
          </w:tcPr>
          <w:p>
            <w:pPr>
              <w:pStyle w:val="TableContents"/>
              <w:bidi w:val="0"/>
              <w:spacing w:before="0" w:after="283"/>
              <w:jc w:val="left"/>
              <w:rPr/>
            </w:pPr>
            <w:r>
              <w:rPr/>
              <w:t> </w:t>
            </w:r>
          </w:p>
        </w:tc>
      </w:tr>
      <w:tr>
        <w:trPr/>
        <w:tc>
          <w:tcPr>
            <w:tcW w:w="1831"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119" w:type="dxa"/>
            <w:tcBorders/>
            <w:vAlign w:val="bottom"/>
          </w:tcPr>
          <w:p>
            <w:pPr>
              <w:pStyle w:val="TableContents"/>
              <w:bidi w:val="0"/>
              <w:spacing w:before="0" w:after="283"/>
              <w:jc w:val="left"/>
              <w:rPr/>
            </w:pPr>
            <w:r>
              <w:rPr/>
              <w:t> </w:t>
            </w:r>
          </w:p>
        </w:tc>
        <w:tc>
          <w:tcPr>
            <w:tcW w:w="7516" w:type="dxa"/>
            <w:tcBorders/>
          </w:tcPr>
          <w:p>
            <w:pPr>
              <w:pStyle w:val="TableContents"/>
              <w:bidi w:val="0"/>
              <w:spacing w:before="0" w:after="0"/>
              <w:jc w:val="left"/>
              <w:rPr>
                <w:rFonts w:ascii="Times New Roman" w:hAnsi="Times New Roman"/>
                <w:sz w:val="20"/>
              </w:rPr>
            </w:pPr>
            <w:r>
              <w:rPr>
                <w:rFonts w:ascii="Times New Roman" w:hAnsi="Times New Roman"/>
                <w:sz w:val="20"/>
              </w:rPr>
              <w:t>Responsibilities of the Borrowers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98</w:t>
            </w:r>
          </w:p>
        </w:tc>
        <w:tc>
          <w:tcPr>
            <w:tcW w:w="62" w:type="dxa"/>
            <w:tcBorders/>
            <w:vAlign w:val="bottom"/>
          </w:tcPr>
          <w:p>
            <w:pPr>
              <w:pStyle w:val="TableContents"/>
              <w:bidi w:val="0"/>
              <w:spacing w:before="0" w:after="283"/>
              <w:jc w:val="left"/>
              <w:rPr/>
            </w:pPr>
            <w:r>
              <w:rPr/>
              <w:t> </w:t>
            </w:r>
          </w:p>
        </w:tc>
      </w:tr>
      <w:tr>
        <w:trPr/>
        <w:tc>
          <w:tcPr>
            <w:tcW w:w="1831"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119" w:type="dxa"/>
            <w:tcBorders/>
            <w:vAlign w:val="bottom"/>
          </w:tcPr>
          <w:p>
            <w:pPr>
              <w:pStyle w:val="TableContents"/>
              <w:bidi w:val="0"/>
              <w:spacing w:before="0" w:after="283"/>
              <w:jc w:val="left"/>
              <w:rPr/>
            </w:pPr>
            <w:r>
              <w:rPr/>
              <w:t> </w:t>
            </w:r>
          </w:p>
        </w:tc>
        <w:tc>
          <w:tcPr>
            <w:tcW w:w="7516" w:type="dxa"/>
            <w:tcBorders/>
          </w:tcPr>
          <w:p>
            <w:pPr>
              <w:pStyle w:val="TableContents"/>
              <w:bidi w:val="0"/>
              <w:spacing w:before="0" w:after="0"/>
              <w:jc w:val="left"/>
              <w:rPr>
                <w:rFonts w:ascii="Times New Roman" w:hAnsi="Times New Roman"/>
                <w:sz w:val="20"/>
              </w:rPr>
            </w:pPr>
            <w:r>
              <w:rPr>
                <w:rFonts w:ascii="Times New Roman" w:hAnsi="Times New Roman"/>
                <w:sz w:val="20"/>
              </w:rPr>
              <w:t>Servicing Fee</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98</w:t>
            </w:r>
          </w:p>
        </w:tc>
        <w:tc>
          <w:tcPr>
            <w:tcW w:w="62" w:type="dxa"/>
            <w:tcBorders/>
            <w:vAlign w:val="bottom"/>
          </w:tcPr>
          <w:p>
            <w:pPr>
              <w:pStyle w:val="TableContents"/>
              <w:bidi w:val="0"/>
              <w:spacing w:before="0" w:after="283"/>
              <w:jc w:val="left"/>
              <w:rPr/>
            </w:pPr>
            <w:r>
              <w:rPr/>
              <w:t> </w:t>
            </w:r>
          </w:p>
        </w:tc>
      </w:tr>
      <w:tr>
        <w:trPr>
          <w:trHeight w:val="120" w:hRule="atLeast"/>
        </w:trPr>
        <w:tc>
          <w:tcPr>
            <w:tcW w:w="9466" w:type="dxa"/>
            <w:gridSpan w:val="3"/>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r>
      <w:tr>
        <w:trPr/>
        <w:tc>
          <w:tcPr>
            <w:tcW w:w="946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EVENTS OF DEFAULT</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99</w:t>
            </w:r>
          </w:p>
        </w:tc>
        <w:tc>
          <w:tcPr>
            <w:tcW w:w="62" w:type="dxa"/>
            <w:tcBorders/>
            <w:vAlign w:val="bottom"/>
          </w:tcPr>
          <w:p>
            <w:pPr>
              <w:pStyle w:val="TableContents"/>
              <w:bidi w:val="0"/>
              <w:spacing w:before="0" w:after="283"/>
              <w:jc w:val="left"/>
              <w:rPr/>
            </w:pPr>
            <w:r>
              <w:rPr/>
              <w:t> </w:t>
            </w:r>
          </w:p>
        </w:tc>
      </w:tr>
      <w:tr>
        <w:trPr/>
        <w:tc>
          <w:tcPr>
            <w:tcW w:w="1831"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119" w:type="dxa"/>
            <w:tcBorders/>
            <w:vAlign w:val="bottom"/>
          </w:tcPr>
          <w:p>
            <w:pPr>
              <w:pStyle w:val="TableContents"/>
              <w:bidi w:val="0"/>
              <w:spacing w:before="0" w:after="283"/>
              <w:jc w:val="left"/>
              <w:rPr/>
            </w:pPr>
            <w:r>
              <w:rPr/>
              <w:t> </w:t>
            </w:r>
          </w:p>
        </w:tc>
        <w:tc>
          <w:tcPr>
            <w:tcW w:w="7516" w:type="dxa"/>
            <w:tcBorders/>
          </w:tcPr>
          <w:p>
            <w:pPr>
              <w:pStyle w:val="TableContents"/>
              <w:bidi w:val="0"/>
              <w:spacing w:before="0" w:after="0"/>
              <w:jc w:val="left"/>
              <w:rPr>
                <w:rFonts w:ascii="Times New Roman" w:hAnsi="Times New Roman"/>
                <w:sz w:val="20"/>
              </w:rPr>
            </w:pPr>
            <w:r>
              <w:rPr>
                <w:rFonts w:ascii="Times New Roman" w:hAnsi="Times New Roman"/>
                <w:sz w:val="20"/>
              </w:rPr>
              <w:t>Events of Default</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99</w:t>
            </w:r>
          </w:p>
        </w:tc>
        <w:tc>
          <w:tcPr>
            <w:tcW w:w="62" w:type="dxa"/>
            <w:tcBorders/>
            <w:vAlign w:val="bottom"/>
          </w:tcPr>
          <w:p>
            <w:pPr>
              <w:pStyle w:val="TableContents"/>
              <w:bidi w:val="0"/>
              <w:spacing w:before="0" w:after="283"/>
              <w:jc w:val="left"/>
              <w:rPr/>
            </w:pPr>
            <w:r>
              <w:rPr/>
              <w:t> </w:t>
            </w:r>
          </w:p>
        </w:tc>
      </w:tr>
      <w:tr>
        <w:trPr>
          <w:trHeight w:val="120" w:hRule="atLeast"/>
        </w:trPr>
        <w:tc>
          <w:tcPr>
            <w:tcW w:w="9466" w:type="dxa"/>
            <w:gridSpan w:val="3"/>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r>
      <w:tr>
        <w:trPr/>
        <w:tc>
          <w:tcPr>
            <w:tcW w:w="946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 THE ADMINISTRATIVE AGENT</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103</w:t>
            </w:r>
          </w:p>
        </w:tc>
        <w:tc>
          <w:tcPr>
            <w:tcW w:w="62" w:type="dxa"/>
            <w:tcBorders/>
            <w:vAlign w:val="bottom"/>
          </w:tcPr>
          <w:p>
            <w:pPr>
              <w:pStyle w:val="TableContents"/>
              <w:bidi w:val="0"/>
              <w:spacing w:before="0" w:after="283"/>
              <w:jc w:val="left"/>
              <w:rPr/>
            </w:pPr>
            <w:r>
              <w:rPr/>
              <w:t> </w:t>
            </w:r>
          </w:p>
        </w:tc>
      </w:tr>
      <w:tr>
        <w:trPr/>
        <w:tc>
          <w:tcPr>
            <w:tcW w:w="183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119" w:type="dxa"/>
            <w:tcBorders/>
            <w:vAlign w:val="bottom"/>
          </w:tcPr>
          <w:p>
            <w:pPr>
              <w:pStyle w:val="TableContents"/>
              <w:bidi w:val="0"/>
              <w:spacing w:before="0" w:after="283"/>
              <w:jc w:val="left"/>
              <w:rPr/>
            </w:pPr>
            <w:r>
              <w:rPr/>
              <w:t> </w:t>
            </w:r>
          </w:p>
        </w:tc>
        <w:tc>
          <w:tcPr>
            <w:tcW w:w="7516" w:type="dxa"/>
            <w:tcBorders/>
          </w:tcPr>
          <w:p>
            <w:pPr>
              <w:pStyle w:val="TableContents"/>
              <w:bidi w:val="0"/>
              <w:spacing w:before="0" w:after="0"/>
              <w:jc w:val="left"/>
              <w:rPr>
                <w:rFonts w:ascii="Times New Roman" w:hAnsi="Times New Roman"/>
                <w:sz w:val="20"/>
              </w:rPr>
            </w:pPr>
            <w:r>
              <w:rPr>
                <w:rFonts w:ascii="Times New Roman" w:hAnsi="Times New Roman"/>
                <w:sz w:val="20"/>
              </w:rPr>
              <w:t>Authorization and Action</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103</w:t>
            </w:r>
          </w:p>
        </w:tc>
        <w:tc>
          <w:tcPr>
            <w:tcW w:w="62" w:type="dxa"/>
            <w:tcBorders/>
            <w:vAlign w:val="bottom"/>
          </w:tcPr>
          <w:p>
            <w:pPr>
              <w:pStyle w:val="TableContents"/>
              <w:bidi w:val="0"/>
              <w:spacing w:before="0" w:after="283"/>
              <w:jc w:val="left"/>
              <w:rPr/>
            </w:pPr>
            <w:r>
              <w:rPr/>
              <w:t> </w:t>
            </w:r>
          </w:p>
        </w:tc>
      </w:tr>
      <w:tr>
        <w:trPr/>
        <w:tc>
          <w:tcPr>
            <w:tcW w:w="183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119" w:type="dxa"/>
            <w:tcBorders/>
            <w:vAlign w:val="bottom"/>
          </w:tcPr>
          <w:p>
            <w:pPr>
              <w:pStyle w:val="TableContents"/>
              <w:bidi w:val="0"/>
              <w:spacing w:before="0" w:after="283"/>
              <w:jc w:val="left"/>
              <w:rPr/>
            </w:pPr>
            <w:r>
              <w:rPr/>
              <w:t> </w:t>
            </w:r>
          </w:p>
        </w:tc>
        <w:tc>
          <w:tcPr>
            <w:tcW w:w="7516" w:type="dxa"/>
            <w:tcBorders/>
          </w:tcPr>
          <w:p>
            <w:pPr>
              <w:pStyle w:val="TableContents"/>
              <w:bidi w:val="0"/>
              <w:spacing w:before="0" w:after="0"/>
              <w:jc w:val="left"/>
              <w:rPr>
                <w:rFonts w:ascii="Times New Roman" w:hAnsi="Times New Roman"/>
                <w:sz w:val="20"/>
              </w:rPr>
            </w:pPr>
            <w:r>
              <w:rPr>
                <w:rFonts w:ascii="Times New Roman" w:hAnsi="Times New Roman"/>
                <w:sz w:val="20"/>
              </w:rPr>
              <w:t>Administrative Agent’s Reliance, Etc</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103</w:t>
            </w:r>
          </w:p>
        </w:tc>
        <w:tc>
          <w:tcPr>
            <w:tcW w:w="62" w:type="dxa"/>
            <w:tcBorders/>
            <w:vAlign w:val="bottom"/>
          </w:tcPr>
          <w:p>
            <w:pPr>
              <w:pStyle w:val="TableContents"/>
              <w:bidi w:val="0"/>
              <w:spacing w:before="0" w:after="283"/>
              <w:jc w:val="left"/>
              <w:rPr/>
            </w:pPr>
            <w:r>
              <w:rPr/>
              <w:t> </w:t>
            </w:r>
          </w:p>
        </w:tc>
      </w:tr>
      <w:tr>
        <w:trPr/>
        <w:tc>
          <w:tcPr>
            <w:tcW w:w="183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119" w:type="dxa"/>
            <w:tcBorders/>
            <w:vAlign w:val="bottom"/>
          </w:tcPr>
          <w:p>
            <w:pPr>
              <w:pStyle w:val="TableContents"/>
              <w:bidi w:val="0"/>
              <w:spacing w:before="0" w:after="283"/>
              <w:jc w:val="left"/>
              <w:rPr/>
            </w:pPr>
            <w:r>
              <w:rPr/>
              <w:t> </w:t>
            </w:r>
          </w:p>
        </w:tc>
        <w:tc>
          <w:tcPr>
            <w:tcW w:w="7516" w:type="dxa"/>
            <w:tcBorders/>
          </w:tcPr>
          <w:p>
            <w:pPr>
              <w:pStyle w:val="TableContents"/>
              <w:bidi w:val="0"/>
              <w:spacing w:before="0" w:after="0"/>
              <w:jc w:val="left"/>
              <w:rPr>
                <w:rFonts w:ascii="Times New Roman" w:hAnsi="Times New Roman"/>
                <w:sz w:val="20"/>
              </w:rPr>
            </w:pPr>
            <w:r>
              <w:rPr>
                <w:rFonts w:ascii="Times New Roman" w:hAnsi="Times New Roman"/>
                <w:sz w:val="20"/>
              </w:rPr>
              <w:t>Administrative Agent and Affiliates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103</w:t>
            </w:r>
          </w:p>
        </w:tc>
        <w:tc>
          <w:tcPr>
            <w:tcW w:w="62" w:type="dxa"/>
            <w:tcBorders/>
            <w:vAlign w:val="bottom"/>
          </w:tcPr>
          <w:p>
            <w:pPr>
              <w:pStyle w:val="TableContents"/>
              <w:bidi w:val="0"/>
              <w:spacing w:before="0" w:after="283"/>
              <w:jc w:val="left"/>
              <w:rPr/>
            </w:pPr>
            <w:r>
              <w:rPr/>
              <w:t> </w:t>
            </w:r>
          </w:p>
        </w:tc>
      </w:tr>
      <w:tr>
        <w:trPr/>
        <w:tc>
          <w:tcPr>
            <w:tcW w:w="183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119" w:type="dxa"/>
            <w:tcBorders/>
            <w:vAlign w:val="bottom"/>
          </w:tcPr>
          <w:p>
            <w:pPr>
              <w:pStyle w:val="TableContents"/>
              <w:bidi w:val="0"/>
              <w:spacing w:before="0" w:after="283"/>
              <w:jc w:val="left"/>
              <w:rPr/>
            </w:pPr>
            <w:r>
              <w:rPr/>
              <w:t> </w:t>
            </w:r>
          </w:p>
        </w:tc>
        <w:tc>
          <w:tcPr>
            <w:tcW w:w="7516"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of Administrative Agent</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104</w:t>
            </w:r>
          </w:p>
        </w:tc>
        <w:tc>
          <w:tcPr>
            <w:tcW w:w="62" w:type="dxa"/>
            <w:tcBorders/>
            <w:vAlign w:val="bottom"/>
          </w:tcPr>
          <w:p>
            <w:pPr>
              <w:pStyle w:val="TableContents"/>
              <w:bidi w:val="0"/>
              <w:spacing w:before="0" w:after="283"/>
              <w:jc w:val="left"/>
              <w:rPr/>
            </w:pPr>
            <w:r>
              <w:rPr/>
              <w:t> </w:t>
            </w:r>
          </w:p>
        </w:tc>
      </w:tr>
      <w:tr>
        <w:trPr/>
        <w:tc>
          <w:tcPr>
            <w:tcW w:w="183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119" w:type="dxa"/>
            <w:tcBorders/>
            <w:vAlign w:val="bottom"/>
          </w:tcPr>
          <w:p>
            <w:pPr>
              <w:pStyle w:val="TableContents"/>
              <w:bidi w:val="0"/>
              <w:spacing w:before="0" w:after="283"/>
              <w:jc w:val="left"/>
              <w:rPr/>
            </w:pPr>
            <w:r>
              <w:rPr/>
              <w:t> </w:t>
            </w:r>
          </w:p>
        </w:tc>
        <w:tc>
          <w:tcPr>
            <w:tcW w:w="7516" w:type="dxa"/>
            <w:tcBorders/>
          </w:tcPr>
          <w:p>
            <w:pPr>
              <w:pStyle w:val="TableContents"/>
              <w:bidi w:val="0"/>
              <w:spacing w:before="0" w:after="0"/>
              <w:jc w:val="left"/>
              <w:rPr>
                <w:rFonts w:ascii="Times New Roman" w:hAnsi="Times New Roman"/>
                <w:sz w:val="20"/>
              </w:rPr>
            </w:pPr>
            <w:r>
              <w:rPr>
                <w:rFonts w:ascii="Times New Roman" w:hAnsi="Times New Roman"/>
                <w:sz w:val="20"/>
              </w:rPr>
              <w:t>Delegation of Duties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104</w:t>
            </w:r>
          </w:p>
        </w:tc>
        <w:tc>
          <w:tcPr>
            <w:tcW w:w="62" w:type="dxa"/>
            <w:tcBorders/>
            <w:vAlign w:val="bottom"/>
          </w:tcPr>
          <w:p>
            <w:pPr>
              <w:pStyle w:val="TableContents"/>
              <w:bidi w:val="0"/>
              <w:spacing w:before="0" w:after="283"/>
              <w:jc w:val="left"/>
              <w:rPr/>
            </w:pPr>
            <w:r>
              <w:rPr/>
              <w:t> </w:t>
            </w:r>
          </w:p>
        </w:tc>
      </w:tr>
      <w:tr>
        <w:trPr/>
        <w:tc>
          <w:tcPr>
            <w:tcW w:w="183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11.06.</w:t>
            </w:r>
          </w:p>
        </w:tc>
        <w:tc>
          <w:tcPr>
            <w:tcW w:w="119" w:type="dxa"/>
            <w:tcBorders/>
            <w:vAlign w:val="bottom"/>
          </w:tcPr>
          <w:p>
            <w:pPr>
              <w:pStyle w:val="TableContents"/>
              <w:bidi w:val="0"/>
              <w:spacing w:before="0" w:after="283"/>
              <w:jc w:val="left"/>
              <w:rPr/>
            </w:pPr>
            <w:r>
              <w:rPr/>
              <w:t> </w:t>
            </w:r>
          </w:p>
        </w:tc>
        <w:tc>
          <w:tcPr>
            <w:tcW w:w="7516" w:type="dxa"/>
            <w:tcBorders/>
          </w:tcPr>
          <w:p>
            <w:pPr>
              <w:pStyle w:val="TableContents"/>
              <w:bidi w:val="0"/>
              <w:spacing w:before="0" w:after="0"/>
              <w:jc w:val="left"/>
              <w:rPr>
                <w:rFonts w:ascii="Times New Roman" w:hAnsi="Times New Roman"/>
                <w:sz w:val="20"/>
              </w:rPr>
            </w:pPr>
            <w:r>
              <w:rPr>
                <w:rFonts w:ascii="Times New Roman" w:hAnsi="Times New Roman"/>
                <w:sz w:val="20"/>
              </w:rPr>
              <w:t>Action or Inaction by Administrative Agent</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104</w:t>
            </w:r>
          </w:p>
        </w:tc>
        <w:tc>
          <w:tcPr>
            <w:tcW w:w="62" w:type="dxa"/>
            <w:tcBorders/>
            <w:vAlign w:val="bottom"/>
          </w:tcPr>
          <w:p>
            <w:pPr>
              <w:pStyle w:val="TableContents"/>
              <w:bidi w:val="0"/>
              <w:spacing w:before="0" w:after="283"/>
              <w:jc w:val="left"/>
              <w:rPr/>
            </w:pPr>
            <w:r>
              <w:rPr/>
              <w:t> </w:t>
            </w:r>
          </w:p>
        </w:tc>
      </w:tr>
      <w:tr>
        <w:trPr/>
        <w:tc>
          <w:tcPr>
            <w:tcW w:w="183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11.07.</w:t>
            </w:r>
          </w:p>
        </w:tc>
        <w:tc>
          <w:tcPr>
            <w:tcW w:w="119" w:type="dxa"/>
            <w:tcBorders/>
            <w:vAlign w:val="bottom"/>
          </w:tcPr>
          <w:p>
            <w:pPr>
              <w:pStyle w:val="TableContents"/>
              <w:bidi w:val="0"/>
              <w:spacing w:before="0" w:after="283"/>
              <w:jc w:val="left"/>
              <w:rPr/>
            </w:pPr>
            <w:r>
              <w:rPr/>
              <w:t> </w:t>
            </w:r>
          </w:p>
        </w:tc>
        <w:tc>
          <w:tcPr>
            <w:tcW w:w="7516" w:type="dxa"/>
            <w:tcBorders/>
          </w:tcPr>
          <w:p>
            <w:pPr>
              <w:pStyle w:val="TableContents"/>
              <w:bidi w:val="0"/>
              <w:spacing w:before="0" w:after="0"/>
              <w:jc w:val="left"/>
              <w:rPr>
                <w:rFonts w:ascii="Times New Roman" w:hAnsi="Times New Roman"/>
                <w:sz w:val="20"/>
              </w:rPr>
            </w:pPr>
            <w:r>
              <w:rPr>
                <w:rFonts w:ascii="Times New Roman" w:hAnsi="Times New Roman"/>
                <w:sz w:val="20"/>
              </w:rPr>
              <w:t>Notice of Events of Default; Action by Administrative Agent</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104</w:t>
            </w:r>
          </w:p>
        </w:tc>
        <w:tc>
          <w:tcPr>
            <w:tcW w:w="62" w:type="dxa"/>
            <w:tcBorders/>
            <w:vAlign w:val="bottom"/>
          </w:tcPr>
          <w:p>
            <w:pPr>
              <w:pStyle w:val="TableContents"/>
              <w:bidi w:val="0"/>
              <w:spacing w:before="0" w:after="283"/>
              <w:jc w:val="left"/>
              <w:rPr/>
            </w:pPr>
            <w:r>
              <w:rPr/>
              <w:t> </w:t>
            </w:r>
          </w:p>
        </w:tc>
      </w:tr>
      <w:tr>
        <w:trPr/>
        <w:tc>
          <w:tcPr>
            <w:tcW w:w="183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11.08.</w:t>
            </w:r>
          </w:p>
        </w:tc>
        <w:tc>
          <w:tcPr>
            <w:tcW w:w="119" w:type="dxa"/>
            <w:tcBorders/>
            <w:vAlign w:val="bottom"/>
          </w:tcPr>
          <w:p>
            <w:pPr>
              <w:pStyle w:val="TableContents"/>
              <w:bidi w:val="0"/>
              <w:spacing w:before="0" w:after="283"/>
              <w:jc w:val="left"/>
              <w:rPr/>
            </w:pPr>
            <w:r>
              <w:rPr/>
              <w:t> </w:t>
            </w:r>
          </w:p>
        </w:tc>
        <w:tc>
          <w:tcPr>
            <w:tcW w:w="7516" w:type="dxa"/>
            <w:tcBorders/>
          </w:tcPr>
          <w:p>
            <w:pPr>
              <w:pStyle w:val="TableContents"/>
              <w:bidi w:val="0"/>
              <w:spacing w:before="0" w:after="0"/>
              <w:jc w:val="left"/>
              <w:rPr>
                <w:rFonts w:ascii="Times New Roman" w:hAnsi="Times New Roman"/>
                <w:sz w:val="20"/>
              </w:rPr>
            </w:pPr>
            <w:r>
              <w:rPr>
                <w:rFonts w:ascii="Times New Roman" w:hAnsi="Times New Roman"/>
                <w:sz w:val="20"/>
              </w:rPr>
              <w:t>Non-Reliance on Administrative Agent and Other Parties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104</w:t>
            </w:r>
          </w:p>
        </w:tc>
        <w:tc>
          <w:tcPr>
            <w:tcW w:w="62" w:type="dxa"/>
            <w:tcBorders/>
            <w:vAlign w:val="bottom"/>
          </w:tcPr>
          <w:p>
            <w:pPr>
              <w:pStyle w:val="TableContents"/>
              <w:bidi w:val="0"/>
              <w:spacing w:before="0" w:after="283"/>
              <w:jc w:val="left"/>
              <w:rPr/>
            </w:pPr>
            <w:r>
              <w:rPr/>
              <w:t> </w:t>
            </w:r>
          </w:p>
        </w:tc>
      </w:tr>
      <w:tr>
        <w:trPr/>
        <w:tc>
          <w:tcPr>
            <w:tcW w:w="183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11.09.</w:t>
            </w:r>
          </w:p>
        </w:tc>
        <w:tc>
          <w:tcPr>
            <w:tcW w:w="119" w:type="dxa"/>
            <w:tcBorders/>
            <w:vAlign w:val="bottom"/>
          </w:tcPr>
          <w:p>
            <w:pPr>
              <w:pStyle w:val="TableContents"/>
              <w:bidi w:val="0"/>
              <w:spacing w:before="0" w:after="283"/>
              <w:jc w:val="left"/>
              <w:rPr/>
            </w:pPr>
            <w:r>
              <w:rPr/>
              <w:t> </w:t>
            </w:r>
          </w:p>
        </w:tc>
        <w:tc>
          <w:tcPr>
            <w:tcW w:w="7516" w:type="dxa"/>
            <w:tcBorders/>
          </w:tcPr>
          <w:p>
            <w:pPr>
              <w:pStyle w:val="TableContents"/>
              <w:bidi w:val="0"/>
              <w:spacing w:before="0" w:after="0"/>
              <w:jc w:val="left"/>
              <w:rPr>
                <w:rFonts w:ascii="Times New Roman" w:hAnsi="Times New Roman"/>
                <w:sz w:val="20"/>
              </w:rPr>
            </w:pPr>
            <w:r>
              <w:rPr>
                <w:rFonts w:ascii="Times New Roman" w:hAnsi="Times New Roman"/>
                <w:sz w:val="20"/>
              </w:rPr>
              <w:t>Successor Administrative Agent</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105</w:t>
            </w:r>
          </w:p>
        </w:tc>
        <w:tc>
          <w:tcPr>
            <w:tcW w:w="62" w:type="dxa"/>
            <w:tcBorders/>
            <w:vAlign w:val="bottom"/>
          </w:tcPr>
          <w:p>
            <w:pPr>
              <w:pStyle w:val="TableContents"/>
              <w:bidi w:val="0"/>
              <w:spacing w:before="0" w:after="283"/>
              <w:jc w:val="left"/>
              <w:rPr/>
            </w:pPr>
            <w:r>
              <w:rPr/>
              <w:t> </w:t>
            </w:r>
          </w:p>
        </w:tc>
      </w:tr>
      <w:tr>
        <w:trPr/>
        <w:tc>
          <w:tcPr>
            <w:tcW w:w="1831" w:type="dxa"/>
            <w:tcBorders/>
          </w:tcPr>
          <w:p>
            <w:pPr>
              <w:pStyle w:val="TableContents"/>
              <w:bidi w:val="0"/>
              <w:spacing w:before="0" w:after="0"/>
              <w:jc w:val="left"/>
              <w:rPr>
                <w:rFonts w:ascii="Times New Roman" w:hAnsi="Times New Roman"/>
                <w:sz w:val="20"/>
              </w:rPr>
            </w:pPr>
            <w:r>
              <w:rPr>
                <w:rFonts w:ascii="Times New Roman" w:hAnsi="Times New Roman"/>
                <w:sz w:val="20"/>
              </w:rPr>
              <w:t>SECTION 11.10.</w:t>
            </w:r>
          </w:p>
        </w:tc>
        <w:tc>
          <w:tcPr>
            <w:tcW w:w="119" w:type="dxa"/>
            <w:tcBorders/>
            <w:vAlign w:val="bottom"/>
          </w:tcPr>
          <w:p>
            <w:pPr>
              <w:pStyle w:val="TableContents"/>
              <w:bidi w:val="0"/>
              <w:spacing w:before="0" w:after="283"/>
              <w:jc w:val="left"/>
              <w:rPr/>
            </w:pPr>
            <w:r>
              <w:rPr/>
              <w:t> </w:t>
            </w:r>
          </w:p>
        </w:tc>
        <w:tc>
          <w:tcPr>
            <w:tcW w:w="7516" w:type="dxa"/>
            <w:tcBorders/>
          </w:tcPr>
          <w:p>
            <w:pPr>
              <w:pStyle w:val="TableContents"/>
              <w:bidi w:val="0"/>
              <w:spacing w:before="0" w:after="0"/>
              <w:jc w:val="left"/>
              <w:rPr>
                <w:rFonts w:ascii="Times New Roman" w:hAnsi="Times New Roman"/>
                <w:sz w:val="20"/>
              </w:rPr>
            </w:pPr>
            <w:r>
              <w:rPr>
                <w:rFonts w:ascii="Times New Roman" w:hAnsi="Times New Roman"/>
                <w:sz w:val="20"/>
              </w:rPr>
              <w:t>Structuring Agent; Sustainability Agent</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105</w:t>
            </w:r>
          </w:p>
        </w:tc>
        <w:tc>
          <w:tcPr>
            <w:tcW w:w="62" w:type="dxa"/>
            <w:tcBorders/>
            <w:vAlign w:val="bottom"/>
          </w:tcPr>
          <w:p>
            <w:pPr>
              <w:pStyle w:val="TableContents"/>
              <w:bidi w:val="0"/>
              <w:spacing w:before="0" w:after="283"/>
              <w:jc w:val="left"/>
              <w:rPr/>
            </w:pPr>
            <w:r>
              <w:rPr/>
              <w:t> </w:t>
            </w:r>
          </w:p>
        </w:tc>
      </w:tr>
      <w:tr>
        <w:trPr/>
        <w:tc>
          <w:tcPr>
            <w:tcW w:w="1831" w:type="dxa"/>
            <w:tcBorders/>
          </w:tcPr>
          <w:p>
            <w:pPr>
              <w:pStyle w:val="TableContents"/>
              <w:bidi w:val="0"/>
              <w:spacing w:before="0" w:after="0"/>
              <w:jc w:val="left"/>
              <w:rPr>
                <w:rFonts w:ascii="Times New Roman" w:hAnsi="Times New Roman"/>
                <w:sz w:val="20"/>
              </w:rPr>
            </w:pPr>
            <w:r>
              <w:rPr>
                <w:rFonts w:ascii="Times New Roman" w:hAnsi="Times New Roman"/>
                <w:sz w:val="20"/>
              </w:rPr>
              <w:t>SECTION 11.11.</w:t>
            </w:r>
          </w:p>
        </w:tc>
        <w:tc>
          <w:tcPr>
            <w:tcW w:w="119" w:type="dxa"/>
            <w:tcBorders/>
            <w:vAlign w:val="bottom"/>
          </w:tcPr>
          <w:p>
            <w:pPr>
              <w:pStyle w:val="TableContents"/>
              <w:bidi w:val="0"/>
              <w:spacing w:before="0" w:after="283"/>
              <w:jc w:val="left"/>
              <w:rPr/>
            </w:pPr>
            <w:r>
              <w:rPr/>
              <w:t> </w:t>
            </w:r>
          </w:p>
        </w:tc>
        <w:tc>
          <w:tcPr>
            <w:tcW w:w="7516" w:type="dxa"/>
            <w:tcBorders/>
          </w:tcPr>
          <w:p>
            <w:pPr>
              <w:pStyle w:val="TableContents"/>
              <w:bidi w:val="0"/>
              <w:spacing w:before="0" w:after="0"/>
              <w:jc w:val="left"/>
              <w:rPr>
                <w:rFonts w:ascii="Times New Roman" w:hAnsi="Times New Roman"/>
                <w:sz w:val="20"/>
              </w:rPr>
            </w:pPr>
            <w:r>
              <w:rPr>
                <w:rFonts w:ascii="Times New Roman" w:hAnsi="Times New Roman"/>
                <w:sz w:val="20"/>
              </w:rPr>
              <w:t>Erroneous Payments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105</w:t>
            </w:r>
          </w:p>
        </w:tc>
        <w:tc>
          <w:tcPr>
            <w:tcW w:w="62" w:type="dxa"/>
            <w:tcBorders/>
            <w:vAlign w:val="bottom"/>
          </w:tcPr>
          <w:p>
            <w:pPr>
              <w:pStyle w:val="TableContents"/>
              <w:bidi w:val="0"/>
              <w:spacing w:before="0" w:after="283"/>
              <w:jc w:val="left"/>
              <w:rPr/>
            </w:pPr>
            <w:r>
              <w:rPr/>
              <w:t> </w:t>
            </w:r>
          </w:p>
        </w:tc>
      </w:tr>
      <w:tr>
        <w:trPr/>
        <w:tc>
          <w:tcPr>
            <w:tcW w:w="1831" w:type="dxa"/>
            <w:tcBorders/>
          </w:tcPr>
          <w:p>
            <w:pPr>
              <w:pStyle w:val="TableContents"/>
              <w:bidi w:val="0"/>
              <w:spacing w:before="0" w:after="0"/>
              <w:jc w:val="left"/>
              <w:rPr>
                <w:rFonts w:ascii="Times New Roman" w:hAnsi="Times New Roman"/>
                <w:sz w:val="20"/>
              </w:rPr>
            </w:pPr>
            <w:r>
              <w:rPr>
                <w:rFonts w:ascii="Times New Roman" w:hAnsi="Times New Roman"/>
                <w:sz w:val="20"/>
              </w:rPr>
              <w:t>SECTION 11.12.</w:t>
            </w:r>
          </w:p>
        </w:tc>
        <w:tc>
          <w:tcPr>
            <w:tcW w:w="119" w:type="dxa"/>
            <w:tcBorders/>
            <w:vAlign w:val="bottom"/>
          </w:tcPr>
          <w:p>
            <w:pPr>
              <w:pStyle w:val="TableContents"/>
              <w:bidi w:val="0"/>
              <w:spacing w:before="0" w:after="283"/>
              <w:jc w:val="left"/>
              <w:rPr/>
            </w:pPr>
            <w:r>
              <w:rPr/>
              <w:t> </w:t>
            </w:r>
          </w:p>
        </w:tc>
        <w:tc>
          <w:tcPr>
            <w:tcW w:w="7516" w:type="dxa"/>
            <w:tcBorders/>
          </w:tcPr>
          <w:p>
            <w:pPr>
              <w:pStyle w:val="TableContents"/>
              <w:bidi w:val="0"/>
              <w:spacing w:before="0" w:after="0"/>
              <w:jc w:val="left"/>
              <w:rPr>
                <w:rFonts w:ascii="Times New Roman" w:hAnsi="Times New Roman"/>
                <w:sz w:val="20"/>
              </w:rPr>
            </w:pPr>
            <w:r>
              <w:rPr>
                <w:rFonts w:ascii="Times New Roman" w:hAnsi="Times New Roman"/>
                <w:sz w:val="20"/>
              </w:rPr>
              <w:t>Benchmark Replacement Notification</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108</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ii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10"/>
        <w:gridCol w:w="119"/>
        <w:gridCol w:w="7437"/>
        <w:gridCol w:w="158"/>
        <w:gridCol w:w="70"/>
        <w:gridCol w:w="448"/>
        <w:gridCol w:w="63"/>
      </w:tblGrid>
      <w:tr>
        <w:trPr/>
        <w:tc>
          <w:tcPr>
            <w:tcW w:w="1910"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7437"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91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43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518"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66" w:type="dxa"/>
            <w:gridSpan w:val="3"/>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r>
      <w:tr>
        <w:trPr/>
        <w:tc>
          <w:tcPr>
            <w:tcW w:w="946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XII [RESERVED]</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rHeight w:val="120" w:hRule="atLeast"/>
        </w:trPr>
        <w:tc>
          <w:tcPr>
            <w:tcW w:w="9466" w:type="dxa"/>
            <w:gridSpan w:val="3"/>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r>
      <w:tr>
        <w:trPr/>
        <w:tc>
          <w:tcPr>
            <w:tcW w:w="946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XIII INDEMNIFICATION</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0"/>
              <w:jc w:val="left"/>
              <w:rPr>
                <w:rFonts w:ascii="Times New Roman" w:hAnsi="Times New Roman"/>
                <w:sz w:val="20"/>
              </w:rPr>
            </w:pPr>
            <w:r>
              <w:rPr>
                <w:rFonts w:ascii="Times New Roman" w:hAnsi="Times New Roman"/>
                <w:sz w:val="20"/>
              </w:rPr>
              <w:t>SECTION 13.01.</w:t>
            </w:r>
          </w:p>
        </w:tc>
        <w:tc>
          <w:tcPr>
            <w:tcW w:w="119" w:type="dxa"/>
            <w:tcBorders/>
            <w:vAlign w:val="bottom"/>
          </w:tcPr>
          <w:p>
            <w:pPr>
              <w:pStyle w:val="TableContents"/>
              <w:bidi w:val="0"/>
              <w:spacing w:before="0" w:after="283"/>
              <w:jc w:val="left"/>
              <w:rPr/>
            </w:pPr>
            <w:r>
              <w:rPr/>
              <w:t> </w:t>
            </w:r>
          </w:p>
        </w:tc>
        <w:tc>
          <w:tcPr>
            <w:tcW w:w="7437" w:type="dxa"/>
            <w:tcBorders/>
          </w:tcPr>
          <w:p>
            <w:pPr>
              <w:pStyle w:val="TableContents"/>
              <w:bidi w:val="0"/>
              <w:spacing w:before="0" w:after="0"/>
              <w:jc w:val="left"/>
              <w:rPr>
                <w:rFonts w:ascii="Times New Roman" w:hAnsi="Times New Roman"/>
                <w:sz w:val="20"/>
              </w:rPr>
            </w:pPr>
            <w:r>
              <w:rPr>
                <w:rFonts w:ascii="Times New Roman" w:hAnsi="Times New Roman"/>
                <w:sz w:val="20"/>
              </w:rPr>
              <w:t>Indemnities by the Borrowers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0"/>
              <w:jc w:val="left"/>
              <w:rPr>
                <w:rFonts w:ascii="Times New Roman" w:hAnsi="Times New Roman"/>
                <w:sz w:val="20"/>
              </w:rPr>
            </w:pPr>
            <w:r>
              <w:rPr>
                <w:rFonts w:ascii="Times New Roman" w:hAnsi="Times New Roman"/>
                <w:sz w:val="20"/>
              </w:rPr>
              <w:t>SECTION 13.02.</w:t>
            </w:r>
          </w:p>
        </w:tc>
        <w:tc>
          <w:tcPr>
            <w:tcW w:w="119" w:type="dxa"/>
            <w:tcBorders/>
            <w:vAlign w:val="bottom"/>
          </w:tcPr>
          <w:p>
            <w:pPr>
              <w:pStyle w:val="TableContents"/>
              <w:bidi w:val="0"/>
              <w:spacing w:before="0" w:after="283"/>
              <w:jc w:val="left"/>
              <w:rPr/>
            </w:pPr>
            <w:r>
              <w:rPr/>
              <w:t> </w:t>
            </w:r>
          </w:p>
        </w:tc>
        <w:tc>
          <w:tcPr>
            <w:tcW w:w="7437"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by the Servicer</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rHeight w:val="120" w:hRule="atLeast"/>
        </w:trPr>
        <w:tc>
          <w:tcPr>
            <w:tcW w:w="9466" w:type="dxa"/>
            <w:gridSpan w:val="3"/>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r>
      <w:tr>
        <w:trPr/>
        <w:tc>
          <w:tcPr>
            <w:tcW w:w="946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XIV MISCELLANEOUS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113</w:t>
            </w:r>
          </w:p>
        </w:tc>
        <w:tc>
          <w:tcPr>
            <w:tcW w:w="63"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14.01.</w:t>
            </w:r>
          </w:p>
        </w:tc>
        <w:tc>
          <w:tcPr>
            <w:tcW w:w="119" w:type="dxa"/>
            <w:tcBorders/>
            <w:vAlign w:val="bottom"/>
          </w:tcPr>
          <w:p>
            <w:pPr>
              <w:pStyle w:val="TableContents"/>
              <w:bidi w:val="0"/>
              <w:spacing w:before="0" w:after="283"/>
              <w:jc w:val="left"/>
              <w:rPr/>
            </w:pPr>
            <w:r>
              <w:rPr/>
              <w:t> </w:t>
            </w:r>
          </w:p>
        </w:tc>
        <w:tc>
          <w:tcPr>
            <w:tcW w:w="7437" w:type="dxa"/>
            <w:tcBorders/>
          </w:tcPr>
          <w:p>
            <w:pPr>
              <w:pStyle w:val="TableContents"/>
              <w:bidi w:val="0"/>
              <w:spacing w:before="0" w:after="0"/>
              <w:jc w:val="left"/>
              <w:rPr>
                <w:rFonts w:ascii="Times New Roman" w:hAnsi="Times New Roman"/>
                <w:sz w:val="20"/>
              </w:rPr>
            </w:pPr>
            <w:r>
              <w:rPr>
                <w:rFonts w:ascii="Times New Roman" w:hAnsi="Times New Roman"/>
                <w:sz w:val="20"/>
              </w:rPr>
              <w:t>Amendments, Etc</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113</w:t>
            </w:r>
          </w:p>
        </w:tc>
        <w:tc>
          <w:tcPr>
            <w:tcW w:w="63"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14.02.</w:t>
            </w:r>
          </w:p>
        </w:tc>
        <w:tc>
          <w:tcPr>
            <w:tcW w:w="119" w:type="dxa"/>
            <w:tcBorders/>
            <w:vAlign w:val="bottom"/>
          </w:tcPr>
          <w:p>
            <w:pPr>
              <w:pStyle w:val="TableContents"/>
              <w:bidi w:val="0"/>
              <w:spacing w:before="0" w:after="283"/>
              <w:jc w:val="left"/>
              <w:rPr/>
            </w:pPr>
            <w:r>
              <w:rPr/>
              <w:t> </w:t>
            </w:r>
          </w:p>
        </w:tc>
        <w:tc>
          <w:tcPr>
            <w:tcW w:w="7437" w:type="dxa"/>
            <w:tcBorders/>
          </w:tcPr>
          <w:p>
            <w:pPr>
              <w:pStyle w:val="TableContents"/>
              <w:bidi w:val="0"/>
              <w:spacing w:before="0" w:after="0"/>
              <w:jc w:val="left"/>
              <w:rPr>
                <w:rFonts w:ascii="Times New Roman" w:hAnsi="Times New Roman"/>
                <w:sz w:val="20"/>
              </w:rPr>
            </w:pPr>
            <w:r>
              <w:rPr>
                <w:rFonts w:ascii="Times New Roman" w:hAnsi="Times New Roman"/>
                <w:sz w:val="20"/>
              </w:rPr>
              <w:t>Notices, Etc</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114</w:t>
            </w:r>
          </w:p>
        </w:tc>
        <w:tc>
          <w:tcPr>
            <w:tcW w:w="63"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14.03.</w:t>
            </w:r>
          </w:p>
        </w:tc>
        <w:tc>
          <w:tcPr>
            <w:tcW w:w="119" w:type="dxa"/>
            <w:tcBorders/>
            <w:vAlign w:val="bottom"/>
          </w:tcPr>
          <w:p>
            <w:pPr>
              <w:pStyle w:val="TableContents"/>
              <w:bidi w:val="0"/>
              <w:spacing w:before="0" w:after="283"/>
              <w:jc w:val="left"/>
              <w:rPr/>
            </w:pPr>
            <w:r>
              <w:rPr/>
              <w:t> </w:t>
            </w:r>
          </w:p>
        </w:tc>
        <w:tc>
          <w:tcPr>
            <w:tcW w:w="7437" w:type="dxa"/>
            <w:tcBorders/>
          </w:tcPr>
          <w:p>
            <w:pPr>
              <w:pStyle w:val="TableContents"/>
              <w:bidi w:val="0"/>
              <w:spacing w:before="0" w:after="0"/>
              <w:jc w:val="left"/>
              <w:rPr>
                <w:rFonts w:ascii="Times New Roman" w:hAnsi="Times New Roman"/>
                <w:sz w:val="20"/>
              </w:rPr>
            </w:pPr>
            <w:r>
              <w:rPr>
                <w:rFonts w:ascii="Times New Roman" w:hAnsi="Times New Roman"/>
                <w:sz w:val="20"/>
              </w:rPr>
              <w:t>Assignability; Addition of Lenders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114</w:t>
            </w:r>
          </w:p>
        </w:tc>
        <w:tc>
          <w:tcPr>
            <w:tcW w:w="63"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14.04.</w:t>
            </w:r>
          </w:p>
        </w:tc>
        <w:tc>
          <w:tcPr>
            <w:tcW w:w="119" w:type="dxa"/>
            <w:tcBorders/>
            <w:vAlign w:val="bottom"/>
          </w:tcPr>
          <w:p>
            <w:pPr>
              <w:pStyle w:val="TableContents"/>
              <w:bidi w:val="0"/>
              <w:spacing w:before="0" w:after="283"/>
              <w:jc w:val="left"/>
              <w:rPr/>
            </w:pPr>
            <w:r>
              <w:rPr/>
              <w:t> </w:t>
            </w:r>
          </w:p>
        </w:tc>
        <w:tc>
          <w:tcPr>
            <w:tcW w:w="7437" w:type="dxa"/>
            <w:tcBorders/>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117</w:t>
            </w:r>
          </w:p>
        </w:tc>
        <w:tc>
          <w:tcPr>
            <w:tcW w:w="63"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14.05.</w:t>
            </w:r>
          </w:p>
        </w:tc>
        <w:tc>
          <w:tcPr>
            <w:tcW w:w="119" w:type="dxa"/>
            <w:tcBorders/>
            <w:vAlign w:val="bottom"/>
          </w:tcPr>
          <w:p>
            <w:pPr>
              <w:pStyle w:val="TableContents"/>
              <w:bidi w:val="0"/>
              <w:spacing w:before="0" w:after="283"/>
              <w:jc w:val="left"/>
              <w:rPr/>
            </w:pPr>
            <w:r>
              <w:rPr/>
              <w:t> </w:t>
            </w:r>
          </w:p>
        </w:tc>
        <w:tc>
          <w:tcPr>
            <w:tcW w:w="7437" w:type="dxa"/>
            <w:tcBorders/>
          </w:tcPr>
          <w:p>
            <w:pPr>
              <w:pStyle w:val="TableContents"/>
              <w:bidi w:val="0"/>
              <w:spacing w:before="0" w:after="0"/>
              <w:jc w:val="left"/>
              <w:rPr>
                <w:rFonts w:ascii="Times New Roman" w:hAnsi="Times New Roman"/>
                <w:sz w:val="20"/>
              </w:rPr>
            </w:pPr>
            <w:r>
              <w:rPr>
                <w:rFonts w:ascii="Times New Roman" w:hAnsi="Times New Roman"/>
                <w:sz w:val="20"/>
              </w:rPr>
              <w:t>No Proceedings; Limitation on Payments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117</w:t>
            </w:r>
          </w:p>
        </w:tc>
        <w:tc>
          <w:tcPr>
            <w:tcW w:w="63"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14.06.</w:t>
            </w:r>
          </w:p>
        </w:tc>
        <w:tc>
          <w:tcPr>
            <w:tcW w:w="119" w:type="dxa"/>
            <w:tcBorders/>
            <w:vAlign w:val="bottom"/>
          </w:tcPr>
          <w:p>
            <w:pPr>
              <w:pStyle w:val="TableContents"/>
              <w:bidi w:val="0"/>
              <w:spacing w:before="0" w:after="283"/>
              <w:jc w:val="left"/>
              <w:rPr/>
            </w:pPr>
            <w:r>
              <w:rPr/>
              <w:t> </w:t>
            </w:r>
          </w:p>
        </w:tc>
        <w:tc>
          <w:tcPr>
            <w:tcW w:w="7437" w:type="dxa"/>
            <w:tcBorders/>
          </w:tcPr>
          <w:p>
            <w:pPr>
              <w:pStyle w:val="TableContents"/>
              <w:bidi w:val="0"/>
              <w:spacing w:before="0" w:after="0"/>
              <w:jc w:val="left"/>
              <w:rPr>
                <w:rFonts w:ascii="Times New Roman" w:hAnsi="Times New Roman"/>
                <w:sz w:val="20"/>
              </w:rPr>
            </w:pPr>
            <w:r>
              <w:rPr>
                <w:rFonts w:ascii="Times New Roman" w:hAnsi="Times New Roman"/>
                <w:sz w:val="20"/>
              </w:rPr>
              <w:t>Confidentiality</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118</w:t>
            </w:r>
          </w:p>
        </w:tc>
        <w:tc>
          <w:tcPr>
            <w:tcW w:w="63"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14.07.</w:t>
            </w:r>
          </w:p>
        </w:tc>
        <w:tc>
          <w:tcPr>
            <w:tcW w:w="119" w:type="dxa"/>
            <w:tcBorders/>
            <w:vAlign w:val="bottom"/>
          </w:tcPr>
          <w:p>
            <w:pPr>
              <w:pStyle w:val="TableContents"/>
              <w:bidi w:val="0"/>
              <w:spacing w:before="0" w:after="283"/>
              <w:jc w:val="left"/>
              <w:rPr/>
            </w:pPr>
            <w:r>
              <w:rPr/>
              <w:t> </w:t>
            </w:r>
          </w:p>
        </w:tc>
        <w:tc>
          <w:tcPr>
            <w:tcW w:w="7437"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119</w:t>
            </w:r>
          </w:p>
        </w:tc>
        <w:tc>
          <w:tcPr>
            <w:tcW w:w="63"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14.08.</w:t>
            </w:r>
          </w:p>
        </w:tc>
        <w:tc>
          <w:tcPr>
            <w:tcW w:w="119" w:type="dxa"/>
            <w:tcBorders/>
            <w:vAlign w:val="bottom"/>
          </w:tcPr>
          <w:p>
            <w:pPr>
              <w:pStyle w:val="TableContents"/>
              <w:bidi w:val="0"/>
              <w:spacing w:before="0" w:after="283"/>
              <w:jc w:val="left"/>
              <w:rPr/>
            </w:pPr>
            <w:r>
              <w:rPr/>
              <w:t> </w:t>
            </w:r>
          </w:p>
        </w:tc>
        <w:tc>
          <w:tcPr>
            <w:tcW w:w="7437" w:type="dxa"/>
            <w:tcBorders/>
          </w:tcPr>
          <w:p>
            <w:pPr>
              <w:pStyle w:val="TableContents"/>
              <w:bidi w:val="0"/>
              <w:spacing w:before="0" w:after="0"/>
              <w:jc w:val="left"/>
              <w:rPr>
                <w:rFonts w:ascii="Times New Roman" w:hAnsi="Times New Roman"/>
                <w:sz w:val="20"/>
              </w:rPr>
            </w:pPr>
            <w:r>
              <w:rPr>
                <w:rFonts w:ascii="Times New Roman" w:hAnsi="Times New Roman"/>
                <w:sz w:val="20"/>
              </w:rPr>
              <w:t>Execution in Counterparts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119</w:t>
            </w:r>
          </w:p>
        </w:tc>
        <w:tc>
          <w:tcPr>
            <w:tcW w:w="63"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14.09.</w:t>
            </w:r>
          </w:p>
        </w:tc>
        <w:tc>
          <w:tcPr>
            <w:tcW w:w="119" w:type="dxa"/>
            <w:tcBorders/>
            <w:vAlign w:val="bottom"/>
          </w:tcPr>
          <w:p>
            <w:pPr>
              <w:pStyle w:val="TableContents"/>
              <w:bidi w:val="0"/>
              <w:spacing w:before="0" w:after="283"/>
              <w:jc w:val="left"/>
              <w:rPr/>
            </w:pPr>
            <w:r>
              <w:rPr/>
              <w:t> </w:t>
            </w:r>
          </w:p>
        </w:tc>
        <w:tc>
          <w:tcPr>
            <w:tcW w:w="7437" w:type="dxa"/>
            <w:tcBorders/>
          </w:tcPr>
          <w:p>
            <w:pPr>
              <w:pStyle w:val="TableContents"/>
              <w:bidi w:val="0"/>
              <w:spacing w:before="0" w:after="0"/>
              <w:jc w:val="left"/>
              <w:rPr>
                <w:rFonts w:ascii="Times New Roman" w:hAnsi="Times New Roman"/>
                <w:sz w:val="20"/>
              </w:rPr>
            </w:pPr>
            <w:r>
              <w:rPr>
                <w:rFonts w:ascii="Times New Roman" w:hAnsi="Times New Roman"/>
                <w:sz w:val="20"/>
              </w:rPr>
              <w:t>Integration; Binding Effect; Survival of Termination</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119</w:t>
            </w:r>
          </w:p>
        </w:tc>
        <w:tc>
          <w:tcPr>
            <w:tcW w:w="63"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0"/>
              <w:jc w:val="left"/>
              <w:rPr>
                <w:rFonts w:ascii="Times New Roman" w:hAnsi="Times New Roman"/>
                <w:sz w:val="20"/>
              </w:rPr>
            </w:pPr>
            <w:r>
              <w:rPr>
                <w:rFonts w:ascii="Times New Roman" w:hAnsi="Times New Roman"/>
                <w:sz w:val="20"/>
              </w:rPr>
              <w:t>SECTION 14.10.</w:t>
            </w:r>
          </w:p>
        </w:tc>
        <w:tc>
          <w:tcPr>
            <w:tcW w:w="119" w:type="dxa"/>
            <w:tcBorders/>
            <w:vAlign w:val="bottom"/>
          </w:tcPr>
          <w:p>
            <w:pPr>
              <w:pStyle w:val="TableContents"/>
              <w:bidi w:val="0"/>
              <w:spacing w:before="0" w:after="283"/>
              <w:jc w:val="left"/>
              <w:rPr/>
            </w:pPr>
            <w:r>
              <w:rPr/>
              <w:t> </w:t>
            </w:r>
          </w:p>
        </w:tc>
        <w:tc>
          <w:tcPr>
            <w:tcW w:w="7437" w:type="dxa"/>
            <w:tcBorders/>
          </w:tcPr>
          <w:p>
            <w:pPr>
              <w:pStyle w:val="TableContents"/>
              <w:bidi w:val="0"/>
              <w:spacing w:before="0" w:after="0"/>
              <w:jc w:val="left"/>
              <w:rPr>
                <w:rFonts w:ascii="Times New Roman" w:hAnsi="Times New Roman"/>
                <w:sz w:val="20"/>
              </w:rPr>
            </w:pPr>
            <w:r>
              <w:rPr>
                <w:rFonts w:ascii="Times New Roman" w:hAnsi="Times New Roman"/>
                <w:sz w:val="20"/>
              </w:rPr>
              <w:t>CONSENT TO JURISDICTION</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120</w:t>
            </w:r>
          </w:p>
        </w:tc>
        <w:tc>
          <w:tcPr>
            <w:tcW w:w="63"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0"/>
              <w:jc w:val="left"/>
              <w:rPr>
                <w:rFonts w:ascii="Times New Roman" w:hAnsi="Times New Roman"/>
                <w:sz w:val="20"/>
              </w:rPr>
            </w:pPr>
            <w:r>
              <w:rPr>
                <w:rFonts w:ascii="Times New Roman" w:hAnsi="Times New Roman"/>
                <w:sz w:val="20"/>
              </w:rPr>
              <w:t>SECTION 14.11.</w:t>
            </w:r>
          </w:p>
        </w:tc>
        <w:tc>
          <w:tcPr>
            <w:tcW w:w="119" w:type="dxa"/>
            <w:tcBorders/>
            <w:vAlign w:val="bottom"/>
          </w:tcPr>
          <w:p>
            <w:pPr>
              <w:pStyle w:val="TableContents"/>
              <w:bidi w:val="0"/>
              <w:spacing w:before="0" w:after="283"/>
              <w:jc w:val="left"/>
              <w:rPr/>
            </w:pPr>
            <w:r>
              <w:rPr/>
              <w:t> </w:t>
            </w:r>
          </w:p>
        </w:tc>
        <w:tc>
          <w:tcPr>
            <w:tcW w:w="7437"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120</w:t>
            </w:r>
          </w:p>
        </w:tc>
        <w:tc>
          <w:tcPr>
            <w:tcW w:w="63"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0"/>
              <w:jc w:val="left"/>
              <w:rPr>
                <w:rFonts w:ascii="Times New Roman" w:hAnsi="Times New Roman"/>
                <w:sz w:val="20"/>
              </w:rPr>
            </w:pPr>
            <w:r>
              <w:rPr>
                <w:rFonts w:ascii="Times New Roman" w:hAnsi="Times New Roman"/>
                <w:sz w:val="20"/>
              </w:rPr>
              <w:t>SECTION 14.12.</w:t>
            </w:r>
          </w:p>
        </w:tc>
        <w:tc>
          <w:tcPr>
            <w:tcW w:w="119" w:type="dxa"/>
            <w:tcBorders/>
            <w:vAlign w:val="bottom"/>
          </w:tcPr>
          <w:p>
            <w:pPr>
              <w:pStyle w:val="TableContents"/>
              <w:bidi w:val="0"/>
              <w:spacing w:before="0" w:after="283"/>
              <w:jc w:val="left"/>
              <w:rPr/>
            </w:pPr>
            <w:r>
              <w:rPr/>
              <w:t> </w:t>
            </w:r>
          </w:p>
        </w:tc>
        <w:tc>
          <w:tcPr>
            <w:tcW w:w="7437" w:type="dxa"/>
            <w:tcBorders/>
          </w:tcPr>
          <w:p>
            <w:pPr>
              <w:pStyle w:val="TableContents"/>
              <w:bidi w:val="0"/>
              <w:spacing w:before="0" w:after="0"/>
              <w:jc w:val="left"/>
              <w:rPr>
                <w:rFonts w:ascii="Times New Roman" w:hAnsi="Times New Roman"/>
                <w:sz w:val="20"/>
              </w:rPr>
            </w:pPr>
            <w:r>
              <w:rPr>
                <w:rFonts w:ascii="Times New Roman" w:hAnsi="Times New Roman"/>
                <w:sz w:val="20"/>
              </w:rPr>
              <w:t>Ratable Payments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120</w:t>
            </w:r>
          </w:p>
        </w:tc>
        <w:tc>
          <w:tcPr>
            <w:tcW w:w="63"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0"/>
              <w:jc w:val="left"/>
              <w:rPr>
                <w:rFonts w:ascii="Times New Roman" w:hAnsi="Times New Roman"/>
                <w:sz w:val="20"/>
              </w:rPr>
            </w:pPr>
            <w:r>
              <w:rPr>
                <w:rFonts w:ascii="Times New Roman" w:hAnsi="Times New Roman"/>
                <w:sz w:val="20"/>
              </w:rPr>
              <w:t>SECTION 14.13.</w:t>
            </w:r>
          </w:p>
        </w:tc>
        <w:tc>
          <w:tcPr>
            <w:tcW w:w="119" w:type="dxa"/>
            <w:tcBorders/>
            <w:vAlign w:val="bottom"/>
          </w:tcPr>
          <w:p>
            <w:pPr>
              <w:pStyle w:val="TableContents"/>
              <w:bidi w:val="0"/>
              <w:spacing w:before="0" w:after="283"/>
              <w:jc w:val="left"/>
              <w:rPr/>
            </w:pPr>
            <w:r>
              <w:rPr/>
              <w:t> </w:t>
            </w:r>
          </w:p>
        </w:tc>
        <w:tc>
          <w:tcPr>
            <w:tcW w:w="7437"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of Liability</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121</w:t>
            </w:r>
          </w:p>
        </w:tc>
        <w:tc>
          <w:tcPr>
            <w:tcW w:w="63"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0"/>
              <w:jc w:val="left"/>
              <w:rPr>
                <w:rFonts w:ascii="Times New Roman" w:hAnsi="Times New Roman"/>
                <w:sz w:val="20"/>
              </w:rPr>
            </w:pPr>
            <w:r>
              <w:rPr>
                <w:rFonts w:ascii="Times New Roman" w:hAnsi="Times New Roman"/>
                <w:sz w:val="20"/>
              </w:rPr>
              <w:t>SECTION 14.14.</w:t>
            </w:r>
          </w:p>
        </w:tc>
        <w:tc>
          <w:tcPr>
            <w:tcW w:w="119" w:type="dxa"/>
            <w:tcBorders/>
            <w:vAlign w:val="bottom"/>
          </w:tcPr>
          <w:p>
            <w:pPr>
              <w:pStyle w:val="TableContents"/>
              <w:bidi w:val="0"/>
              <w:spacing w:before="0" w:after="283"/>
              <w:jc w:val="left"/>
              <w:rPr/>
            </w:pPr>
            <w:r>
              <w:rPr/>
              <w:t> </w:t>
            </w:r>
          </w:p>
        </w:tc>
        <w:tc>
          <w:tcPr>
            <w:tcW w:w="7437" w:type="dxa"/>
            <w:tcBorders/>
          </w:tcPr>
          <w:p>
            <w:pPr>
              <w:pStyle w:val="TableContents"/>
              <w:bidi w:val="0"/>
              <w:spacing w:before="0" w:after="0"/>
              <w:jc w:val="left"/>
              <w:rPr>
                <w:rFonts w:ascii="Times New Roman" w:hAnsi="Times New Roman"/>
                <w:sz w:val="20"/>
              </w:rPr>
            </w:pPr>
            <w:r>
              <w:rPr>
                <w:rFonts w:ascii="Times New Roman" w:hAnsi="Times New Roman"/>
                <w:sz w:val="20"/>
              </w:rPr>
              <w:t>Intent of the Parties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121</w:t>
            </w:r>
          </w:p>
        </w:tc>
        <w:tc>
          <w:tcPr>
            <w:tcW w:w="63"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0"/>
              <w:jc w:val="left"/>
              <w:rPr>
                <w:rFonts w:ascii="Times New Roman" w:hAnsi="Times New Roman"/>
                <w:sz w:val="20"/>
              </w:rPr>
            </w:pPr>
            <w:r>
              <w:rPr>
                <w:rFonts w:ascii="Times New Roman" w:hAnsi="Times New Roman"/>
                <w:sz w:val="20"/>
              </w:rPr>
              <w:t>SECTION 14.15.</w:t>
            </w:r>
          </w:p>
        </w:tc>
        <w:tc>
          <w:tcPr>
            <w:tcW w:w="119" w:type="dxa"/>
            <w:tcBorders/>
            <w:vAlign w:val="bottom"/>
          </w:tcPr>
          <w:p>
            <w:pPr>
              <w:pStyle w:val="TableContents"/>
              <w:bidi w:val="0"/>
              <w:spacing w:before="0" w:after="283"/>
              <w:jc w:val="left"/>
              <w:rPr/>
            </w:pPr>
            <w:r>
              <w:rPr/>
              <w:t> </w:t>
            </w:r>
          </w:p>
        </w:tc>
        <w:tc>
          <w:tcPr>
            <w:tcW w:w="7437" w:type="dxa"/>
            <w:tcBorders/>
          </w:tcPr>
          <w:p>
            <w:pPr>
              <w:pStyle w:val="TableContents"/>
              <w:bidi w:val="0"/>
              <w:spacing w:before="0" w:after="0"/>
              <w:jc w:val="left"/>
              <w:rPr>
                <w:rFonts w:ascii="Times New Roman" w:hAnsi="Times New Roman"/>
                <w:sz w:val="20"/>
              </w:rPr>
            </w:pPr>
            <w:r>
              <w:rPr>
                <w:rFonts w:ascii="Times New Roman" w:hAnsi="Times New Roman"/>
                <w:sz w:val="20"/>
              </w:rPr>
              <w:t>USA Patriot Act</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122</w:t>
            </w:r>
          </w:p>
        </w:tc>
        <w:tc>
          <w:tcPr>
            <w:tcW w:w="63"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0"/>
              <w:jc w:val="left"/>
              <w:rPr>
                <w:rFonts w:ascii="Times New Roman" w:hAnsi="Times New Roman"/>
                <w:sz w:val="20"/>
              </w:rPr>
            </w:pPr>
            <w:r>
              <w:rPr>
                <w:rFonts w:ascii="Times New Roman" w:hAnsi="Times New Roman"/>
                <w:sz w:val="20"/>
              </w:rPr>
              <w:t>SECTION 14.16.</w:t>
            </w:r>
          </w:p>
        </w:tc>
        <w:tc>
          <w:tcPr>
            <w:tcW w:w="119" w:type="dxa"/>
            <w:tcBorders/>
            <w:vAlign w:val="bottom"/>
          </w:tcPr>
          <w:p>
            <w:pPr>
              <w:pStyle w:val="TableContents"/>
              <w:bidi w:val="0"/>
              <w:spacing w:before="0" w:after="283"/>
              <w:jc w:val="left"/>
              <w:rPr/>
            </w:pPr>
            <w:r>
              <w:rPr/>
              <w:t> </w:t>
            </w:r>
          </w:p>
        </w:tc>
        <w:tc>
          <w:tcPr>
            <w:tcW w:w="7437" w:type="dxa"/>
            <w:tcBorders/>
          </w:tcPr>
          <w:p>
            <w:pPr>
              <w:pStyle w:val="TableContents"/>
              <w:bidi w:val="0"/>
              <w:spacing w:before="0" w:after="0"/>
              <w:jc w:val="left"/>
              <w:rPr>
                <w:rFonts w:ascii="Times New Roman" w:hAnsi="Times New Roman"/>
                <w:sz w:val="20"/>
              </w:rPr>
            </w:pPr>
            <w:r>
              <w:rPr>
                <w:rFonts w:ascii="Times New Roman" w:hAnsi="Times New Roman"/>
                <w:sz w:val="20"/>
              </w:rPr>
              <w:t>Right of Setoff</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122</w:t>
            </w:r>
          </w:p>
        </w:tc>
        <w:tc>
          <w:tcPr>
            <w:tcW w:w="63"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0"/>
              <w:jc w:val="left"/>
              <w:rPr>
                <w:rFonts w:ascii="Times New Roman" w:hAnsi="Times New Roman"/>
                <w:sz w:val="20"/>
              </w:rPr>
            </w:pPr>
            <w:r>
              <w:rPr>
                <w:rFonts w:ascii="Times New Roman" w:hAnsi="Times New Roman"/>
                <w:sz w:val="20"/>
              </w:rPr>
              <w:t>SECTION 14.17.</w:t>
            </w:r>
          </w:p>
        </w:tc>
        <w:tc>
          <w:tcPr>
            <w:tcW w:w="119" w:type="dxa"/>
            <w:tcBorders/>
            <w:vAlign w:val="bottom"/>
          </w:tcPr>
          <w:p>
            <w:pPr>
              <w:pStyle w:val="TableContents"/>
              <w:bidi w:val="0"/>
              <w:spacing w:before="0" w:after="283"/>
              <w:jc w:val="left"/>
              <w:rPr/>
            </w:pPr>
            <w:r>
              <w:rPr/>
              <w:t> </w:t>
            </w:r>
          </w:p>
        </w:tc>
        <w:tc>
          <w:tcPr>
            <w:tcW w:w="7437"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122</w:t>
            </w:r>
          </w:p>
        </w:tc>
        <w:tc>
          <w:tcPr>
            <w:tcW w:w="63"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0"/>
              <w:jc w:val="left"/>
              <w:rPr>
                <w:rFonts w:ascii="Times New Roman" w:hAnsi="Times New Roman"/>
                <w:sz w:val="20"/>
              </w:rPr>
            </w:pPr>
            <w:r>
              <w:rPr>
                <w:rFonts w:ascii="Times New Roman" w:hAnsi="Times New Roman"/>
                <w:sz w:val="20"/>
              </w:rPr>
              <w:t>SECTION 14.18.</w:t>
            </w:r>
          </w:p>
        </w:tc>
        <w:tc>
          <w:tcPr>
            <w:tcW w:w="119" w:type="dxa"/>
            <w:tcBorders/>
            <w:vAlign w:val="bottom"/>
          </w:tcPr>
          <w:p>
            <w:pPr>
              <w:pStyle w:val="TableContents"/>
              <w:bidi w:val="0"/>
              <w:spacing w:before="0" w:after="283"/>
              <w:jc w:val="left"/>
              <w:rPr/>
            </w:pPr>
            <w:r>
              <w:rPr/>
              <w:t> </w:t>
            </w:r>
          </w:p>
        </w:tc>
        <w:tc>
          <w:tcPr>
            <w:tcW w:w="7437" w:type="dxa"/>
            <w:tcBorders/>
          </w:tcPr>
          <w:p>
            <w:pPr>
              <w:pStyle w:val="TableContents"/>
              <w:bidi w:val="0"/>
              <w:spacing w:before="0" w:after="0"/>
              <w:jc w:val="left"/>
              <w:rPr>
                <w:rFonts w:ascii="Times New Roman" w:hAnsi="Times New Roman"/>
                <w:sz w:val="20"/>
              </w:rPr>
            </w:pPr>
            <w:r>
              <w:rPr>
                <w:rFonts w:ascii="Times New Roman" w:hAnsi="Times New Roman"/>
                <w:sz w:val="20"/>
              </w:rPr>
              <w:t>Mutual Negotiations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122</w:t>
            </w:r>
          </w:p>
        </w:tc>
        <w:tc>
          <w:tcPr>
            <w:tcW w:w="63"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0"/>
              <w:jc w:val="left"/>
              <w:rPr>
                <w:rFonts w:ascii="Times New Roman" w:hAnsi="Times New Roman"/>
                <w:sz w:val="20"/>
              </w:rPr>
            </w:pPr>
            <w:r>
              <w:rPr>
                <w:rFonts w:ascii="Times New Roman" w:hAnsi="Times New Roman"/>
                <w:sz w:val="20"/>
              </w:rPr>
              <w:t>SECTION 14.19.</w:t>
            </w:r>
          </w:p>
        </w:tc>
        <w:tc>
          <w:tcPr>
            <w:tcW w:w="119" w:type="dxa"/>
            <w:tcBorders/>
            <w:vAlign w:val="bottom"/>
          </w:tcPr>
          <w:p>
            <w:pPr>
              <w:pStyle w:val="TableContents"/>
              <w:bidi w:val="0"/>
              <w:spacing w:before="0" w:after="283"/>
              <w:jc w:val="left"/>
              <w:rPr/>
            </w:pPr>
            <w:r>
              <w:rPr/>
              <w:t> </w:t>
            </w:r>
          </w:p>
        </w:tc>
        <w:tc>
          <w:tcPr>
            <w:tcW w:w="7437" w:type="dxa"/>
            <w:tcBorders/>
          </w:tcPr>
          <w:p>
            <w:pPr>
              <w:pStyle w:val="TableContents"/>
              <w:bidi w:val="0"/>
              <w:spacing w:before="0" w:after="0"/>
              <w:jc w:val="left"/>
              <w:rPr>
                <w:rFonts w:ascii="Times New Roman" w:hAnsi="Times New Roman"/>
                <w:sz w:val="20"/>
              </w:rPr>
            </w:pPr>
            <w:r>
              <w:rPr>
                <w:rFonts w:ascii="Times New Roman" w:hAnsi="Times New Roman"/>
                <w:sz w:val="20"/>
              </w:rPr>
              <w:t>Captions and Cross References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122</w:t>
            </w:r>
          </w:p>
        </w:tc>
        <w:tc>
          <w:tcPr>
            <w:tcW w:w="63"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0"/>
              <w:jc w:val="left"/>
              <w:rPr>
                <w:rFonts w:ascii="Times New Roman" w:hAnsi="Times New Roman"/>
                <w:sz w:val="20"/>
              </w:rPr>
            </w:pPr>
            <w:r>
              <w:rPr>
                <w:rFonts w:ascii="Times New Roman" w:hAnsi="Times New Roman"/>
                <w:sz w:val="20"/>
              </w:rPr>
              <w:t>SECTION 14.20.</w:t>
            </w:r>
          </w:p>
        </w:tc>
        <w:tc>
          <w:tcPr>
            <w:tcW w:w="119" w:type="dxa"/>
            <w:tcBorders/>
            <w:vAlign w:val="bottom"/>
          </w:tcPr>
          <w:p>
            <w:pPr>
              <w:pStyle w:val="TableContents"/>
              <w:bidi w:val="0"/>
              <w:spacing w:before="0" w:after="283"/>
              <w:jc w:val="left"/>
              <w:rPr/>
            </w:pPr>
            <w:r>
              <w:rPr/>
              <w:t> </w:t>
            </w:r>
          </w:p>
        </w:tc>
        <w:tc>
          <w:tcPr>
            <w:tcW w:w="7437" w:type="dxa"/>
            <w:tcBorders/>
          </w:tcPr>
          <w:p>
            <w:pPr>
              <w:pStyle w:val="TableContents"/>
              <w:bidi w:val="0"/>
              <w:spacing w:before="0" w:after="0"/>
              <w:jc w:val="left"/>
              <w:rPr>
                <w:rFonts w:ascii="Times New Roman" w:hAnsi="Times New Roman"/>
                <w:sz w:val="20"/>
              </w:rPr>
            </w:pPr>
            <w:r>
              <w:rPr>
                <w:rFonts w:ascii="Times New Roman" w:hAnsi="Times New Roman"/>
                <w:sz w:val="20"/>
              </w:rPr>
              <w:t>Post-Closing Covenants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123</w:t>
            </w:r>
          </w:p>
        </w:tc>
        <w:tc>
          <w:tcPr>
            <w:tcW w:w="63"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0"/>
              <w:jc w:val="left"/>
              <w:rPr>
                <w:rFonts w:ascii="Times New Roman" w:hAnsi="Times New Roman"/>
                <w:sz w:val="20"/>
              </w:rPr>
            </w:pPr>
            <w:r>
              <w:rPr>
                <w:rFonts w:ascii="Times New Roman" w:hAnsi="Times New Roman"/>
                <w:sz w:val="20"/>
              </w:rPr>
              <w:t>SECTION 14.21.</w:t>
            </w:r>
          </w:p>
        </w:tc>
        <w:tc>
          <w:tcPr>
            <w:tcW w:w="119" w:type="dxa"/>
            <w:tcBorders/>
            <w:vAlign w:val="bottom"/>
          </w:tcPr>
          <w:p>
            <w:pPr>
              <w:pStyle w:val="TableContents"/>
              <w:bidi w:val="0"/>
              <w:spacing w:before="0" w:after="283"/>
              <w:jc w:val="left"/>
              <w:rPr/>
            </w:pPr>
            <w:r>
              <w:rPr/>
              <w:t> </w:t>
            </w:r>
          </w:p>
        </w:tc>
        <w:tc>
          <w:tcPr>
            <w:tcW w:w="7437" w:type="dxa"/>
            <w:tcBorders/>
          </w:tcPr>
          <w:p>
            <w:pPr>
              <w:pStyle w:val="TableContents"/>
              <w:bidi w:val="0"/>
              <w:spacing w:before="0" w:after="0"/>
              <w:jc w:val="left"/>
              <w:rPr>
                <w:rFonts w:ascii="Times New Roman" w:hAnsi="Times New Roman"/>
                <w:sz w:val="20"/>
              </w:rPr>
            </w:pPr>
            <w:r>
              <w:rPr>
                <w:rFonts w:ascii="Times New Roman" w:hAnsi="Times New Roman"/>
                <w:sz w:val="20"/>
              </w:rPr>
              <w:t>Joinder of Originators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123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iii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78"/>
        <w:gridCol w:w="120"/>
        <w:gridCol w:w="511"/>
        <w:gridCol w:w="120"/>
        <w:gridCol w:w="7776"/>
      </w:tblGrid>
      <w:tr>
        <w:trPr/>
        <w:tc>
          <w:tcPr>
            <w:tcW w:w="167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776" w:type="dxa"/>
            <w:tcBorders/>
            <w:vAlign w:val="center"/>
          </w:tcPr>
          <w:p>
            <w:pPr>
              <w:pStyle w:val="TableContents"/>
              <w:bidi w:val="0"/>
              <w:spacing w:before="0" w:after="283"/>
              <w:jc w:val="left"/>
              <w:rPr>
                <w:sz w:val="4"/>
                <w:szCs w:val="4"/>
              </w:rPr>
            </w:pPr>
            <w:r>
              <w:rPr>
                <w:sz w:val="4"/>
                <w:szCs w:val="4"/>
              </w:rPr>
            </w:r>
          </w:p>
        </w:tc>
      </w:tr>
      <w:tr>
        <w:trPr/>
        <w:tc>
          <w:tcPr>
            <w:tcW w:w="167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right"/>
              <w:rPr>
                <w:b/>
              </w:rPr>
            </w:pPr>
            <w:r>
              <w:rPr>
                <w:b/>
              </w:rPr>
              <w:t>Page</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EXHIBITS</w:t>
            </w:r>
          </w:p>
        </w:tc>
        <w:tc>
          <w:tcPr>
            <w:tcW w:w="12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631" w:type="dxa"/>
            <w:gridSpan w:val="2"/>
            <w:tcBorders/>
            <w:vAlign w:val="center"/>
          </w:tcPr>
          <w:p>
            <w:pPr>
              <w:pStyle w:val="TableContents"/>
              <w:bidi w:val="0"/>
              <w:spacing w:before="0" w:after="283"/>
              <w:jc w:val="left"/>
              <w:rPr>
                <w:sz w:val="4"/>
                <w:szCs w:val="4"/>
              </w:rPr>
            </w:pPr>
            <w:r>
              <w:rPr>
                <w:sz w:val="4"/>
                <w:szCs w:val="4"/>
              </w:rPr>
            </w:r>
          </w:p>
        </w:tc>
        <w:tc>
          <w:tcPr>
            <w:tcW w:w="7896" w:type="dxa"/>
            <w:gridSpan w:val="2"/>
            <w:tcBorders/>
            <w:vAlign w:val="center"/>
          </w:tcPr>
          <w:p>
            <w:pPr>
              <w:pStyle w:val="TableContents"/>
              <w:bidi w:val="0"/>
              <w:spacing w:before="0" w:after="283"/>
              <w:jc w:val="left"/>
              <w:rPr>
                <w:sz w:val="4"/>
                <w:szCs w:val="4"/>
              </w:rPr>
            </w:pPr>
            <w:r>
              <w:rPr>
                <w:sz w:val="4"/>
                <w:szCs w:val="4"/>
              </w:rPr>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A</w:t>
            </w:r>
          </w:p>
        </w:tc>
        <w:tc>
          <w:tcPr>
            <w:tcW w:w="12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Loan Request</w:t>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B</w:t>
            </w:r>
          </w:p>
        </w:tc>
        <w:tc>
          <w:tcPr>
            <w:tcW w:w="12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Reduction Notice</w:t>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C</w:t>
            </w:r>
          </w:p>
        </w:tc>
        <w:tc>
          <w:tcPr>
            <w:tcW w:w="12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Assignment and Acceptance Agreement</w:t>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D</w:t>
            </w:r>
          </w:p>
        </w:tc>
        <w:tc>
          <w:tcPr>
            <w:tcW w:w="12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[Reserved]</w:t>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E</w:t>
            </w:r>
          </w:p>
        </w:tc>
        <w:tc>
          <w:tcPr>
            <w:tcW w:w="12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[Reserved]</w:t>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F</w:t>
            </w:r>
          </w:p>
        </w:tc>
        <w:tc>
          <w:tcPr>
            <w:tcW w:w="12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[Reserved]</w:t>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G</w:t>
            </w:r>
          </w:p>
        </w:tc>
        <w:tc>
          <w:tcPr>
            <w:tcW w:w="12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Information Package</w:t>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H</w:t>
            </w:r>
          </w:p>
        </w:tc>
        <w:tc>
          <w:tcPr>
            <w:tcW w:w="12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Compliance Certificate</w:t>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I</w:t>
            </w:r>
          </w:p>
        </w:tc>
        <w:tc>
          <w:tcPr>
            <w:tcW w:w="12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Closing Memorandum</w:t>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J</w:t>
            </w:r>
          </w:p>
        </w:tc>
        <w:tc>
          <w:tcPr>
            <w:tcW w:w="12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Interim Report</w:t>
            </w:r>
          </w:p>
        </w:tc>
      </w:tr>
      <w:tr>
        <w:trPr>
          <w:trHeight w:val="240" w:hRule="atLeast"/>
        </w:trPr>
        <w:tc>
          <w:tcPr>
            <w:tcW w:w="1678" w:type="dxa"/>
            <w:tcBorders/>
            <w:vAlign w:val="center"/>
          </w:tcPr>
          <w:p>
            <w:pPr>
              <w:pStyle w:val="TableContents"/>
              <w:bidi w:val="0"/>
              <w:spacing w:before="0" w:after="283"/>
              <w:jc w:val="left"/>
              <w:rPr>
                <w:sz w:val="4"/>
                <w:szCs w:val="4"/>
              </w:rPr>
            </w:pPr>
            <w:r>
              <w:rPr>
                <w:sz w:val="4"/>
                <w:szCs w:val="4"/>
              </w:rPr>
            </w:r>
          </w:p>
        </w:tc>
        <w:tc>
          <w:tcPr>
            <w:tcW w:w="631" w:type="dxa"/>
            <w:gridSpan w:val="2"/>
            <w:tcBorders/>
            <w:vAlign w:val="center"/>
          </w:tcPr>
          <w:p>
            <w:pPr>
              <w:pStyle w:val="TableContents"/>
              <w:bidi w:val="0"/>
              <w:spacing w:before="0" w:after="283"/>
              <w:jc w:val="left"/>
              <w:rPr>
                <w:sz w:val="4"/>
                <w:szCs w:val="4"/>
              </w:rPr>
            </w:pPr>
            <w:r>
              <w:rPr>
                <w:sz w:val="4"/>
                <w:szCs w:val="4"/>
              </w:rPr>
            </w:r>
          </w:p>
        </w:tc>
        <w:tc>
          <w:tcPr>
            <w:tcW w:w="7896" w:type="dxa"/>
            <w:gridSpan w:val="2"/>
            <w:tcBorders/>
            <w:vAlign w:val="center"/>
          </w:tcPr>
          <w:p>
            <w:pPr>
              <w:pStyle w:val="TableContents"/>
              <w:bidi w:val="0"/>
              <w:spacing w:before="0" w:after="283"/>
              <w:jc w:val="left"/>
              <w:rPr>
                <w:sz w:val="4"/>
                <w:szCs w:val="4"/>
              </w:rPr>
            </w:pPr>
            <w:r>
              <w:rPr>
                <w:sz w:val="4"/>
                <w:szCs w:val="4"/>
              </w:rPr>
            </w:r>
          </w:p>
        </w:tc>
      </w:tr>
      <w:tr>
        <w:trPr/>
        <w:tc>
          <w:tcPr>
            <w:tcW w:w="167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SCHEDULES</w:t>
            </w:r>
          </w:p>
        </w:tc>
        <w:tc>
          <w:tcPr>
            <w:tcW w:w="12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678" w:type="dxa"/>
            <w:tcBorders/>
            <w:vAlign w:val="center"/>
          </w:tcPr>
          <w:p>
            <w:pPr>
              <w:pStyle w:val="TableContents"/>
              <w:bidi w:val="0"/>
              <w:spacing w:before="0" w:after="283"/>
              <w:jc w:val="left"/>
              <w:rPr>
                <w:sz w:val="4"/>
                <w:szCs w:val="4"/>
              </w:rPr>
            </w:pPr>
            <w:r>
              <w:rPr>
                <w:sz w:val="4"/>
                <w:szCs w:val="4"/>
              </w:rPr>
            </w:r>
          </w:p>
        </w:tc>
        <w:tc>
          <w:tcPr>
            <w:tcW w:w="631" w:type="dxa"/>
            <w:gridSpan w:val="2"/>
            <w:tcBorders/>
            <w:vAlign w:val="center"/>
          </w:tcPr>
          <w:p>
            <w:pPr>
              <w:pStyle w:val="TableContents"/>
              <w:bidi w:val="0"/>
              <w:spacing w:before="0" w:after="283"/>
              <w:jc w:val="left"/>
              <w:rPr>
                <w:sz w:val="4"/>
                <w:szCs w:val="4"/>
              </w:rPr>
            </w:pPr>
            <w:r>
              <w:rPr>
                <w:sz w:val="4"/>
                <w:szCs w:val="4"/>
              </w:rPr>
            </w:r>
          </w:p>
        </w:tc>
        <w:tc>
          <w:tcPr>
            <w:tcW w:w="7896" w:type="dxa"/>
            <w:gridSpan w:val="2"/>
            <w:tcBorders/>
            <w:vAlign w:val="center"/>
          </w:tcPr>
          <w:p>
            <w:pPr>
              <w:pStyle w:val="TableContents"/>
              <w:bidi w:val="0"/>
              <w:spacing w:before="0" w:after="283"/>
              <w:jc w:val="left"/>
              <w:rPr>
                <w:sz w:val="4"/>
                <w:szCs w:val="4"/>
              </w:rPr>
            </w:pPr>
            <w:r>
              <w:rPr>
                <w:sz w:val="4"/>
                <w:szCs w:val="4"/>
              </w:rPr>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I</w:t>
            </w:r>
          </w:p>
        </w:tc>
        <w:tc>
          <w:tcPr>
            <w:tcW w:w="12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Commitments</w:t>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II</w:t>
            </w:r>
          </w:p>
        </w:tc>
        <w:tc>
          <w:tcPr>
            <w:tcW w:w="12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Lock-Boxes, Collection Accounts and Collection Account Banks</w:t>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III</w:t>
            </w:r>
          </w:p>
        </w:tc>
        <w:tc>
          <w:tcPr>
            <w:tcW w:w="12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Notice Addresses</w:t>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IV</w:t>
            </w:r>
          </w:p>
        </w:tc>
        <w:tc>
          <w:tcPr>
            <w:tcW w:w="12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Mail-Boxes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iv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RECEIVABLES FINANCING AGREEMENT (as amended, restated, supplemented or otherwise modified from time to time, this “</w:t>
      </w:r>
      <w:r>
        <w:rPr>
          <w:rFonts w:ascii="Times New Roman" w:hAnsi="Times New Roman"/>
          <w:sz w:val="20"/>
          <w:u w:val="single"/>
        </w:rPr>
        <w:t>Agreement</w:t>
      </w:r>
      <w:r>
        <w:rPr>
          <w:rFonts w:ascii="Times New Roman" w:hAnsi="Times New Roman"/>
          <w:sz w:val="20"/>
        </w:rPr>
        <w:t xml:space="preserve">”) is entered into as of December 18, 2018 by and among the following parties: </w:t>
      </w:r>
    </w:p>
    <w:p>
      <w:pPr>
        <w:pStyle w:val="TextBody"/>
        <w:bidi w:val="0"/>
        <w:spacing w:before="120" w:after="0"/>
        <w:jc w:val="left"/>
        <w:rPr>
          <w:rFonts w:ascii="Times New Roman" w:hAnsi="Times New Roman"/>
          <w:sz w:val="20"/>
        </w:rPr>
      </w:pPr>
      <w:r>
        <w:rPr>
          <w:rFonts w:ascii="Times New Roman" w:hAnsi="Times New Roman"/>
          <w:sz w:val="20"/>
        </w:rPr>
        <w:t>(i) LAMAR TRS RECEIVABLES, LLC, a Delaware limited liability company, as a Borrower (together with its successors and assigns, the “</w:t>
      </w:r>
      <w:r>
        <w:rPr>
          <w:rFonts w:ascii="Times New Roman" w:hAnsi="Times New Roman"/>
          <w:sz w:val="20"/>
          <w:u w:val="single"/>
        </w:rPr>
        <w:t>TRS Borrower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LAMAR QRS RECEIVABLES, LLC, a Delaware limited liability company, as a Borrower (together with its successors and assigns, the “</w:t>
      </w:r>
      <w:r>
        <w:rPr>
          <w:rFonts w:ascii="Times New Roman" w:hAnsi="Times New Roman"/>
          <w:sz w:val="20"/>
          <w:u w:val="single"/>
        </w:rPr>
        <w:t>QRS Borrower</w:t>
      </w:r>
      <w:r>
        <w:rPr>
          <w:rFonts w:ascii="Times New Roman" w:hAnsi="Times New Roman"/>
          <w:sz w:val="20"/>
        </w:rPr>
        <w:t>”; together with the TRS Borrower, collectively, the “</w:t>
      </w:r>
      <w:r>
        <w:rPr>
          <w:rFonts w:ascii="Times New Roman" w:hAnsi="Times New Roman"/>
          <w:sz w:val="20"/>
          <w:u w:val="single"/>
        </w:rPr>
        <w:t>Borrowers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the Persons from time to time party hereto as Lenders; </w:t>
      </w:r>
    </w:p>
    <w:p>
      <w:pPr>
        <w:pStyle w:val="TextBody"/>
        <w:bidi w:val="0"/>
        <w:spacing w:before="120" w:after="0"/>
        <w:jc w:val="left"/>
        <w:rPr>
          <w:rFonts w:ascii="Times New Roman" w:hAnsi="Times New Roman"/>
          <w:sz w:val="20"/>
        </w:rPr>
      </w:pPr>
      <w:r>
        <w:rPr>
          <w:rFonts w:ascii="Times New Roman" w:hAnsi="Times New Roman"/>
          <w:sz w:val="20"/>
        </w:rPr>
        <w:t>(iv) PNC BANK, NATIONAL ASSOCIATION (“</w:t>
      </w:r>
      <w:r>
        <w:rPr>
          <w:rFonts w:ascii="Times New Roman" w:hAnsi="Times New Roman"/>
          <w:sz w:val="20"/>
          <w:u w:val="single"/>
        </w:rPr>
        <w:t>PNC</w:t>
      </w:r>
      <w:r>
        <w:rPr>
          <w:rFonts w:ascii="Times New Roman" w:hAnsi="Times New Roman"/>
          <w:sz w:val="20"/>
        </w:rPr>
        <w:t xml:space="preserve">”), as Administrative Agent; </w:t>
      </w:r>
    </w:p>
    <w:p>
      <w:pPr>
        <w:pStyle w:val="TextBody"/>
        <w:bidi w:val="0"/>
        <w:spacing w:before="120" w:after="0"/>
        <w:jc w:val="left"/>
        <w:rPr>
          <w:rFonts w:ascii="Times New Roman" w:hAnsi="Times New Roman"/>
          <w:sz w:val="20"/>
        </w:rPr>
      </w:pPr>
      <w:r>
        <w:rPr>
          <w:rFonts w:ascii="Times New Roman" w:hAnsi="Times New Roman"/>
          <w:sz w:val="20"/>
        </w:rPr>
        <w:t>(v) LAMAR MEDIA CORP., a Delaware corporation, in its individual capacity (“</w:t>
      </w:r>
      <w:r>
        <w:rPr>
          <w:rFonts w:ascii="Times New Roman" w:hAnsi="Times New Roman"/>
          <w:sz w:val="20"/>
          <w:u w:val="single"/>
        </w:rPr>
        <w:t>Lamar</w:t>
      </w:r>
      <w:r>
        <w:rPr>
          <w:rFonts w:ascii="Times New Roman" w:hAnsi="Times New Roman"/>
          <w:sz w:val="20"/>
        </w:rPr>
        <w:t>”) and as initial Servicer (in such capacity, together with its successors and assigns in such capacity, the “</w:t>
      </w:r>
      <w:r>
        <w:rPr>
          <w:rFonts w:ascii="Times New Roman" w:hAnsi="Times New Roman"/>
          <w:sz w:val="20"/>
          <w:u w:val="single"/>
        </w:rPr>
        <w:t>Servicer</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(vi) PNC CAPITAL MARKETS LLC, a Pennsylvania limited liability company, as Structuring Agent and Sustainability Agent. </w:t>
      </w:r>
    </w:p>
    <w:p>
      <w:pPr>
        <w:pStyle w:val="TextBody"/>
        <w:bidi w:val="0"/>
        <w:spacing w:before="240" w:after="0"/>
        <w:jc w:val="center"/>
        <w:rPr>
          <w:rFonts w:ascii="Times New Roman" w:hAnsi="Times New Roman"/>
          <w:sz w:val="20"/>
        </w:rPr>
      </w:pPr>
      <w:r>
        <w:rPr>
          <w:rFonts w:ascii="Times New Roman" w:hAnsi="Times New Roman"/>
          <w:sz w:val="20"/>
        </w:rPr>
        <w:t xml:space="preserve">PRELIMINARY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Borrowers have acquired, and will acquire from time to time, Receivables from the Originators pursuant to the Purchase and Sale Agreements. The Borrowers have requested that the Lenders make Loans from time to time to the Borrowers, on the terms, and subject to the conditions set forth herein, secured by, among other things, the Receivables.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mutual agreements, provisions and covenants contained herein, the sufficiency of which is hereby acknowledged,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12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Certain Defined Terms</w:t>
      </w:r>
      <w:r>
        <w:rPr>
          <w:rFonts w:ascii="Times New Roman" w:hAnsi="Times New Roman"/>
          <w:sz w:val="20"/>
        </w:rPr>
        <w:t xml:space="preserve">. As used in this Agreement, the following terms shall have the following meanings (such meanings to be equally applicable to both the singular and plural forms of the terms defined): </w:t>
      </w:r>
    </w:p>
    <w:p>
      <w:pPr>
        <w:pStyle w:val="TextBody"/>
        <w:bidi w:val="0"/>
        <w:spacing w:before="120" w:after="0"/>
        <w:jc w:val="left"/>
        <w:rPr/>
      </w:pPr>
      <w:r>
        <w:rPr/>
        <w:t>“</w:t>
      </w:r>
      <w:r>
        <w:rPr>
          <w:rFonts w:ascii="Times New Roman" w:hAnsi="Times New Roman"/>
          <w:sz w:val="20"/>
          <w:u w:val="single"/>
        </w:rPr>
        <w:t>Account Control Agreement</w:t>
      </w:r>
      <w:r>
        <w:rPr>
          <w:rFonts w:ascii="Times New Roman" w:hAnsi="Times New Roman"/>
          <w:sz w:val="20"/>
        </w:rPr>
        <w:t xml:space="preserve">” means each agreement, in form and substance satisfactory to the Administrative Agent, among a Borrower, the Servicer (if applicable), the Administrative Agent and a Collection Account Bank, governing the terms of the related Collection Accounts that provides the Administrative Agent with control within the meaning of the UCC over the deposit accounts subject to such agreement, as the same may be amended, restated, supplemented or otherwise modified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Administrative Agent</w:t>
      </w:r>
      <w:r>
        <w:rPr>
          <w:rFonts w:ascii="Times New Roman" w:hAnsi="Times New Roman"/>
          <w:sz w:val="20"/>
        </w:rPr>
        <w:t xml:space="preserve">” means PNC, in its capacity as contractual representative for the Credit Parties, and any successor thereto in such capacity appointed pursuant to </w:t>
      </w:r>
      <w:r>
        <w:rPr>
          <w:rFonts w:ascii="Times New Roman" w:hAnsi="Times New Roman"/>
          <w:sz w:val="20"/>
          <w:u w:val="single"/>
        </w:rPr>
        <w:t>Article XI</w:t>
      </w:r>
      <w:r>
        <w:rPr>
          <w:rFonts w:ascii="Times New Roman" w:hAnsi="Times New Roman"/>
          <w:sz w:val="20"/>
        </w:rPr>
        <w:t xml:space="preserve"> or </w:t>
      </w:r>
      <w:r>
        <w:rPr>
          <w:rFonts w:ascii="Times New Roman" w:hAnsi="Times New Roman"/>
          <w:sz w:val="20"/>
          <w:u w:val="single"/>
        </w:rPr>
        <w:t>Section 14.03(f)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Adverse Claim</w:t>
      </w:r>
      <w:r>
        <w:rPr>
          <w:rFonts w:ascii="Times New Roman" w:hAnsi="Times New Roman"/>
          <w:sz w:val="20"/>
        </w:rPr>
        <w:t xml:space="preserve">” means any ownership interest or claim, mortgage, deed of trust, pledge, lien, security interest, hypothecation, charge or other encumbrance or security arrangement of any nature whatsoever, whether voluntarily or involuntarily given, including, but not limited to, any conditional sale or title retention arrangement, and any assignment, deposit arrangement or lease intended as, or having the effect of, security and any filed financing statement or other notice of any of the foregoing (whether or not a lien or other encumbrance is created or exists at the time of the filing); it being understood that any of the foregoing in favor of, or assigned to, the Administrative Agent (for the benefit of the Secured Parties) shall not constitute an Adverse Claim. </w:t>
      </w:r>
    </w:p>
    <w:p>
      <w:pPr>
        <w:pStyle w:val="TextBody"/>
        <w:bidi w:val="0"/>
        <w:spacing w:before="240" w:after="0"/>
        <w:jc w:val="left"/>
        <w:rPr/>
      </w:pPr>
      <w:r>
        <w:rPr/>
        <w:t>“</w:t>
      </w:r>
      <w:r>
        <w:rPr>
          <w:rFonts w:ascii="Times New Roman" w:hAnsi="Times New Roman"/>
          <w:sz w:val="20"/>
          <w:u w:val="single"/>
        </w:rPr>
        <w:t>Advertiser Obligor</w:t>
      </w:r>
      <w:r>
        <w:rPr>
          <w:rFonts w:ascii="Times New Roman" w:hAnsi="Times New Roman"/>
          <w:sz w:val="20"/>
        </w:rPr>
        <w:t xml:space="preserve">” means with respect to a Receivable, any Obligor that is the related advertiser under the related Contract, including, if applicable, as set forth on the related invoice. </w:t>
      </w:r>
    </w:p>
    <w:p>
      <w:pPr>
        <w:pStyle w:val="TextBody"/>
        <w:bidi w:val="0"/>
        <w:spacing w:before="240" w:after="0"/>
        <w:jc w:val="left"/>
        <w:rPr/>
      </w:pPr>
      <w:r>
        <w:rPr/>
        <w:t>“</w:t>
      </w:r>
      <w:r>
        <w:rPr>
          <w:rFonts w:ascii="Times New Roman" w:hAnsi="Times New Roman"/>
          <w:sz w:val="20"/>
          <w:u w:val="single"/>
        </w:rPr>
        <w:t>Advisors</w:t>
      </w:r>
      <w:r>
        <w:rPr>
          <w:rFonts w:ascii="Times New Roman" w:hAnsi="Times New Roman"/>
          <w:sz w:val="20"/>
        </w:rPr>
        <w:t xml:space="preserve">” has the meaning set forth in </w:t>
      </w:r>
      <w:r>
        <w:rPr>
          <w:rFonts w:ascii="Times New Roman" w:hAnsi="Times New Roman"/>
          <w:sz w:val="20"/>
          <w:u w:val="single"/>
        </w:rPr>
        <w:t>Section 14.06(c)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Affected Person</w:t>
      </w:r>
      <w:r>
        <w:rPr>
          <w:rFonts w:ascii="Times New Roman" w:hAnsi="Times New Roman"/>
          <w:sz w:val="20"/>
        </w:rPr>
        <w:t xml:space="preserve">” means each Credit Party and each of their respective Affiliates.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as to any Person: (a) any other Person that, directly or indirectly, is in control of, is controlled by or is under common control with such Person or (b) who is a director or officer: (i) of such Person or (ii) of any Person described in </w:t>
      </w:r>
      <w:r>
        <w:rPr>
          <w:rFonts w:ascii="Times New Roman" w:hAnsi="Times New Roman"/>
          <w:sz w:val="20"/>
          <w:u w:val="single"/>
        </w:rPr>
        <w:t>clause (a)</w:t>
      </w:r>
      <w:r>
        <w:rPr>
          <w:rFonts w:ascii="Times New Roman" w:hAnsi="Times New Roman"/>
          <w:sz w:val="20"/>
        </w:rPr>
        <w:t xml:space="preserve">. For purposes of this definition, control of a Person shall mean the power, direct or indirect: (x) to vote 25% or more of the securities having ordinary voting power for the election of directors or managers of such Person or (y) to direct or cause the direction of the management and policies of such Person, in either case whether by ownership of securities, contract, proxy or otherwise. </w:t>
      </w:r>
    </w:p>
    <w:p>
      <w:pPr>
        <w:pStyle w:val="TextBody"/>
        <w:bidi w:val="0"/>
        <w:spacing w:before="240" w:after="0"/>
        <w:jc w:val="left"/>
        <w:rPr/>
      </w:pPr>
      <w:r>
        <w:rPr/>
        <w:t>“</w:t>
      </w:r>
      <w:r>
        <w:rPr>
          <w:rFonts w:ascii="Times New Roman" w:hAnsi="Times New Roman"/>
          <w:sz w:val="20"/>
          <w:u w:val="single"/>
        </w:rPr>
        <w:t>Affiliate Collections</w:t>
      </w:r>
      <w:r>
        <w:rPr>
          <w:rFonts w:ascii="Times New Roman" w:hAnsi="Times New Roman"/>
          <w:sz w:val="20"/>
        </w:rPr>
        <w:t xml:space="preserve">” means, with respect to any Affiliate Receivable: (a) all funds that are received by any Person in payment of any amounts owed in respect of such Affiliate Receivable (including purchase price, service charges, finance charges, interest, fees and all other charges), or applied to amounts owed in respect of such Affiliate Receivable (including insurance payments, proceeds of drawings under supporting letters of credit and net proceeds of the sale or other disposition of repossessed goods or other collateral or property of the related obligor or any other Person directly or indirectly liable for the payment of such Affiliate Receivable and available to be applied thereon) and (b) all other proceeds of such Affiliate Receivable. </w:t>
      </w:r>
    </w:p>
    <w:p>
      <w:pPr>
        <w:pStyle w:val="TextBody"/>
        <w:bidi w:val="0"/>
        <w:spacing w:before="240" w:after="0"/>
        <w:jc w:val="left"/>
        <w:rPr/>
      </w:pPr>
      <w:r>
        <w:rPr/>
        <w:t>“</w:t>
      </w:r>
      <w:r>
        <w:rPr>
          <w:rFonts w:ascii="Times New Roman" w:hAnsi="Times New Roman"/>
          <w:sz w:val="20"/>
          <w:u w:val="single"/>
        </w:rPr>
        <w:t>Affiliate Receivable</w:t>
      </w:r>
      <w:r>
        <w:rPr>
          <w:rFonts w:ascii="Times New Roman" w:hAnsi="Times New Roman"/>
          <w:sz w:val="20"/>
        </w:rPr>
        <w:t xml:space="preserve">” means any right to payment of a monetary obligation, whether or not earned by performance, owed to any Person that is an Affiliate of an Originator (but is not an Originator or a Borrower), whether constituting an account, chattel paper, payment intangible, instrument or general intangible, in each instance arising in connection with the sale of goods that have been or are to be sold or for services rendered or to be rendered, and includes, without limitation, the obligation to pay any service charges, finance charges, interest, fees and other charges with respect thereto. </w:t>
      </w:r>
    </w:p>
    <w:p>
      <w:pPr>
        <w:pStyle w:val="TextBody"/>
        <w:bidi w:val="0"/>
        <w:spacing w:before="240" w:after="0"/>
        <w:jc w:val="left"/>
        <w:rPr/>
      </w:pPr>
      <w:r>
        <w:rPr/>
        <w:t>“</w:t>
      </w:r>
      <w:r>
        <w:rPr>
          <w:rFonts w:ascii="Times New Roman" w:hAnsi="Times New Roman"/>
          <w:sz w:val="20"/>
          <w:u w:val="single"/>
        </w:rPr>
        <w:t>Agency Obligor</w:t>
      </w:r>
      <w:r>
        <w:rPr>
          <w:rFonts w:ascii="Times New Roman" w:hAnsi="Times New Roman"/>
          <w:sz w:val="20"/>
        </w:rPr>
        <w:t xml:space="preserve">” means with respect to a Receivable, any Obligor that is (i) the advertising agency, agent or licensee of the related Advertiser Obligor or (ii) any other Person other than the Advertiser Obligor.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Agency Receivable</w:t>
      </w:r>
      <w:r>
        <w:rPr>
          <w:rFonts w:ascii="Times New Roman" w:hAnsi="Times New Roman"/>
          <w:sz w:val="20"/>
        </w:rPr>
        <w:t xml:space="preserve">” means any Receivable that has one or more Agency Obligors with respect thereto. </w:t>
      </w:r>
    </w:p>
    <w:p>
      <w:pPr>
        <w:pStyle w:val="TextBody"/>
        <w:bidi w:val="0"/>
        <w:spacing w:before="240" w:after="0"/>
        <w:jc w:val="left"/>
        <w:rPr/>
      </w:pPr>
      <w:r>
        <w:rPr/>
        <w:t>“</w:t>
      </w:r>
      <w:r>
        <w:rPr>
          <w:rFonts w:ascii="Times New Roman" w:hAnsi="Times New Roman"/>
          <w:sz w:val="20"/>
          <w:u w:val="single"/>
        </w:rPr>
        <w:t>Aggregate Capital</w:t>
      </w:r>
      <w:r>
        <w:rPr>
          <w:rFonts w:ascii="Times New Roman" w:hAnsi="Times New Roman"/>
          <w:sz w:val="20"/>
        </w:rPr>
        <w:t xml:space="preserve">” means, at any time of determination, the aggregate outstanding Capital of all Lenders at such time. </w:t>
      </w:r>
    </w:p>
    <w:p>
      <w:pPr>
        <w:pStyle w:val="TextBody"/>
        <w:bidi w:val="0"/>
        <w:spacing w:before="240" w:after="0"/>
        <w:jc w:val="left"/>
        <w:rPr/>
      </w:pPr>
      <w:r>
        <w:rPr/>
        <w:t>“</w:t>
      </w:r>
      <w:r>
        <w:rPr>
          <w:rFonts w:ascii="Times New Roman" w:hAnsi="Times New Roman"/>
          <w:sz w:val="20"/>
          <w:u w:val="single"/>
        </w:rPr>
        <w:t>Aggregate Interest</w:t>
      </w:r>
      <w:r>
        <w:rPr>
          <w:rFonts w:ascii="Times New Roman" w:hAnsi="Times New Roman"/>
          <w:sz w:val="20"/>
        </w:rPr>
        <w:t xml:space="preserve">” means, at any time of determination, the aggregate accrued and unpaid Interest on the Loans of all Lenders at such time.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to this Agreement.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means (a) the U.S. Foreign Corrupt Practices Act of 1977, as amended; (b) the U.K. Bribery Act 2010, as amended; and (c) any other applicable Law relating to anti-bribery or anti-corruption in any jurisdiction in which any Borrower-Related Party is located or doing business. </w:t>
      </w:r>
    </w:p>
    <w:p>
      <w:pPr>
        <w:pStyle w:val="TextBody"/>
        <w:bidi w:val="0"/>
        <w:spacing w:before="240" w:after="0"/>
        <w:jc w:val="left"/>
        <w:rPr/>
      </w:pPr>
      <w:r>
        <w:rPr/>
        <w:t>“</w:t>
      </w:r>
      <w:r>
        <w:rPr>
          <w:rFonts w:ascii="Times New Roman" w:hAnsi="Times New Roman"/>
          <w:sz w:val="20"/>
          <w:u w:val="single"/>
        </w:rPr>
        <w:t>Anti-Money Laundering Laws</w:t>
      </w:r>
      <w:r>
        <w:rPr>
          <w:rFonts w:ascii="Times New Roman" w:hAnsi="Times New Roman"/>
          <w:sz w:val="20"/>
        </w:rPr>
        <w:t xml:space="preserve">” means (a) the Bank Secrecy Act and the Uniting and Strengthening America by Providing Appropriate Tools Required to Intercept and Obstruct Terrorism (USA PATRIOT) Act of 2001; (b) the U.K. Proceeds of Crime Act 2002, the Money Laundering Regulations 2017, as amended and the Terrorist Asset-Freezing etc. Act 2010; and (c) any other applicable Law relating to anti-money laundering and countering the financing of terrorism in any jurisdiction in which any Borrower-Related Party is located or doing business. </w:t>
      </w:r>
    </w:p>
    <w:p>
      <w:pPr>
        <w:pStyle w:val="TextBody"/>
        <w:bidi w:val="0"/>
        <w:spacing w:before="240" w:after="0"/>
        <w:jc w:val="left"/>
        <w:rPr/>
      </w:pPr>
      <w:r>
        <w:rPr/>
        <w:t>“</w:t>
      </w:r>
      <w:r>
        <w:rPr>
          <w:rFonts w:ascii="Times New Roman" w:hAnsi="Times New Roman"/>
          <w:sz w:val="20"/>
          <w:u w:val="single"/>
        </w:rPr>
        <w:t>Applicable Law</w:t>
      </w:r>
      <w:r>
        <w:rPr>
          <w:rFonts w:ascii="Times New Roman" w:hAnsi="Times New Roman"/>
          <w:sz w:val="20"/>
        </w:rPr>
        <w:t xml:space="preserve">” means, with respect to any Person, (x) all provisions of law, statute, treaty, constitution, ordinance, rule, regulation, ordinance, requirement, restriction, permit, executive order, certificate, decision, directive or order of any Governmental Authority applicable to such Person or any of its property and (y) all judgments, injunctions, orders, writs, decrees and awards of all courts and arbitrators in proceedings or actions in which such Person is a party or by which any of its property is bound. For the avoidance of doubt, FATCA shall constitute an “Applicable Law” for all purposes of this Agreement. </w:t>
      </w:r>
    </w:p>
    <w:p>
      <w:pPr>
        <w:pStyle w:val="TextBody"/>
        <w:bidi w:val="0"/>
        <w:spacing w:before="240" w:after="0"/>
        <w:jc w:val="left"/>
        <w:rPr/>
      </w:pPr>
      <w:r>
        <w:rPr/>
        <w:t>“</w:t>
      </w:r>
      <w:r>
        <w:rPr>
          <w:rFonts w:ascii="Times New Roman" w:hAnsi="Times New Roman"/>
          <w:sz w:val="20"/>
          <w:u w:val="single"/>
        </w:rPr>
        <w:t>Applicable Obligor</w:t>
      </w:r>
      <w:r>
        <w:rPr>
          <w:rFonts w:ascii="Times New Roman" w:hAnsi="Times New Roman"/>
          <w:sz w:val="20"/>
        </w:rPr>
        <w:t xml:space="preserve">” means (i) with respect to any Agency Receivable, the related Agency Obligor and (ii) with respect to any other Receivable, the related Advertiser Obligor. </w:t>
      </w:r>
    </w:p>
    <w:p>
      <w:pPr>
        <w:pStyle w:val="TextBody"/>
        <w:bidi w:val="0"/>
        <w:spacing w:before="240" w:after="0"/>
        <w:jc w:val="left"/>
        <w:rPr/>
      </w:pPr>
      <w:r>
        <w:rPr/>
        <w:t>“</w:t>
      </w:r>
      <w:r>
        <w:rPr>
          <w:rFonts w:ascii="Times New Roman" w:hAnsi="Times New Roman"/>
          <w:sz w:val="20"/>
          <w:u w:val="single"/>
        </w:rPr>
        <w:t>Assignment and Acceptance Agreement</w:t>
      </w:r>
      <w:r>
        <w:rPr>
          <w:rFonts w:ascii="Times New Roman" w:hAnsi="Times New Roman"/>
          <w:sz w:val="20"/>
        </w:rPr>
        <w:t xml:space="preserve">” means an assignment and acceptance agreement entered into by a Lender, an Eligible Assignee and the Administrative Agent, and, if required, a Borrower, pursuant to which such Eligible Assignee may become a party to this Agreement, in substantially the form of </w:t>
      </w:r>
      <w:r>
        <w:rPr>
          <w:rFonts w:ascii="Times New Roman" w:hAnsi="Times New Roman"/>
          <w:sz w:val="20"/>
          <w:u w:val="single"/>
        </w:rPr>
        <w:t>Exhibit C</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sz w:val="20"/>
          <w:u w:val="single"/>
        </w:rPr>
        <w:t>Attorney Costs</w:t>
      </w:r>
      <w:r>
        <w:rPr>
          <w:rFonts w:ascii="Times New Roman" w:hAnsi="Times New Roman"/>
          <w:sz w:val="20"/>
        </w:rPr>
        <w:t>” means and includes all fees, costs, expenses and disbursements of any law firm or other external counsel (which counsel shall be limited to one outside law firm (or such greater number determined by any Credit Party while an Event of Default has occurred and is continuing) for the Administrative Agent and all Credit Parties (or, in the case of (i)</w:t>
      </w:r>
      <w:r>
        <w:rPr>
          <w:rFonts w:ascii="Times New Roman" w:hAnsi="Times New Roman"/>
          <w:sz w:val="20"/>
          <w:u w:val="single"/>
        </w:rPr>
        <w:t> Section 13.01</w:t>
      </w:r>
      <w:r>
        <w:rPr>
          <w:rFonts w:ascii="Times New Roman" w:hAnsi="Times New Roman"/>
          <w:sz w:val="20"/>
        </w:rPr>
        <w:t>, one outside law firm (or such greater number determined by any Borrower Indemnified Party while an Event of Default has occurred and is continuing) for all Borrower Indemnified Parties or (ii)</w:t>
      </w:r>
      <w:r>
        <w:rPr>
          <w:rFonts w:ascii="Times New Roman" w:hAnsi="Times New Roman"/>
          <w:sz w:val="20"/>
          <w:u w:val="single"/>
        </w:rPr>
        <w:t> Section 13.02</w:t>
      </w:r>
      <w:r>
        <w:rPr>
          <w:rFonts w:ascii="Times New Roman" w:hAnsi="Times New Roman"/>
          <w:sz w:val="20"/>
        </w:rPr>
        <w:t xml:space="preserve">, one outside law firm (or such greater number determined by any Servicer Indemnified Party while an Event of Default has occurred and is continuing) for all Servicer Indemnified Parties (other than the Borrowers and their respective officers, directors, agents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employees)), and, if reasonably required, a single local law firm in each applicable jurisdiction, so long as no Credit Party (or Borrower Indemnified Party or Servicer Indemnified Party, as the case may be) has in good faith (based on advice of counsel), reasonably determined that its interests conflict sufficiently with those of the other Credit Parties (or Borrower Indemnified Parties or Servicer Indemnified Parties, as the case may be) to warrant the retention of separate counsel for such Credit Party (or Borrower Indemnified Party or Servicer Indemnified Party, as the case may be), in which case, “Attorney Costs” shall also include the fees, costs and disbursements of such separate counsel). For the avoidance of doubt, “Attorney Costs” shall include fees, costs, expenses and disbursements of McGlinchey Stafford PLLC, as a local Louisiana law firm for the Credit Parties. </w:t>
      </w:r>
    </w:p>
    <w:p>
      <w:pPr>
        <w:pStyle w:val="TextBody"/>
        <w:bidi w:val="0"/>
        <w:spacing w:before="240" w:after="0"/>
        <w:jc w:val="left"/>
        <w:rPr/>
      </w:pPr>
      <w:r>
        <w:rPr/>
        <w:t>“</w:t>
      </w:r>
      <w:r>
        <w:rPr>
          <w:rFonts w:ascii="Times New Roman" w:hAnsi="Times New Roman"/>
          <w:sz w:val="20"/>
          <w:u w:val="single"/>
        </w:rPr>
        <w:t>Bankruptcy Code</w:t>
      </w:r>
      <w:r>
        <w:rPr>
          <w:rFonts w:ascii="Times New Roman" w:hAnsi="Times New Roman"/>
          <w:sz w:val="20"/>
        </w:rPr>
        <w:t xml:space="preserve">” means the United States Bankruptcy Reform Act of 1978 (11 U.S.C. § 101, et seq.), as amended from time to time. </w:t>
      </w:r>
    </w:p>
    <w:p>
      <w:pPr>
        <w:pStyle w:val="TextBody"/>
        <w:bidi w:val="0"/>
        <w:spacing w:before="240" w:after="0"/>
        <w:jc w:val="left"/>
        <w:rPr/>
      </w:pPr>
      <w:r>
        <w:rPr/>
        <w:t>“</w:t>
      </w:r>
      <w:r>
        <w:rPr>
          <w:rFonts w:ascii="Times New Roman" w:hAnsi="Times New Roman"/>
          <w:sz w:val="20"/>
          <w:u w:val="single"/>
        </w:rPr>
        <w:t>Base Rate</w:t>
      </w:r>
      <w:r>
        <w:rPr>
          <w:rFonts w:ascii="Times New Roman" w:hAnsi="Times New Roman"/>
          <w:sz w:val="20"/>
        </w:rPr>
        <w:t xml:space="preserve">” means, for any day and any Lender, a fluctuating interest rate per annum as shall be in effect from time to time, which rate shall be at all times equal to the highest of: </w:t>
      </w:r>
    </w:p>
    <w:p>
      <w:pPr>
        <w:pStyle w:val="TextBody"/>
        <w:bidi w:val="0"/>
        <w:spacing w:before="120" w:after="0"/>
        <w:jc w:val="left"/>
        <w:rPr>
          <w:rFonts w:ascii="Times New Roman" w:hAnsi="Times New Roman"/>
          <w:sz w:val="20"/>
        </w:rPr>
      </w:pPr>
      <w:r>
        <w:rPr>
          <w:rFonts w:ascii="Times New Roman" w:hAnsi="Times New Roman"/>
          <w:sz w:val="20"/>
        </w:rPr>
        <w:t xml:space="preserve">(a) the rate of interest in effect for such day as publicly announced from time to time by such Lender or its Affiliate as its “reference rate” or “prime rate”, as applicable. Such “reference rate” or “prime rate” is set by the applicable Lender or its Affiliate based upon various factors, including such Person’s costs and desired return, general economic conditions and other factors, and is used as a reference point for pricing some loans, which may be priced at, above or below such announced rate, and is not necessarily the lowest rate charged to any customer; </w:t>
      </w:r>
    </w:p>
    <w:p>
      <w:pPr>
        <w:pStyle w:val="TextBody"/>
        <w:bidi w:val="0"/>
        <w:spacing w:before="120" w:after="0"/>
        <w:jc w:val="left"/>
        <w:rPr>
          <w:rFonts w:ascii="Times New Roman" w:hAnsi="Times New Roman"/>
          <w:sz w:val="20"/>
        </w:rPr>
      </w:pPr>
      <w:r>
        <w:rPr>
          <w:rFonts w:ascii="Times New Roman" w:hAnsi="Times New Roman"/>
          <w:sz w:val="20"/>
        </w:rPr>
        <w:t xml:space="preserve">(b) 0.50% per annum above the latest Overnight Bank Funding Rate; and </w:t>
      </w:r>
    </w:p>
    <w:p>
      <w:pPr>
        <w:pStyle w:val="TextBody"/>
        <w:bidi w:val="0"/>
        <w:spacing w:before="120" w:after="0"/>
        <w:jc w:val="left"/>
        <w:rPr>
          <w:rFonts w:ascii="Times New Roman" w:hAnsi="Times New Roman"/>
          <w:sz w:val="20"/>
        </w:rPr>
      </w:pPr>
      <w:r>
        <w:rPr>
          <w:rFonts w:ascii="Times New Roman" w:hAnsi="Times New Roman"/>
          <w:sz w:val="20"/>
        </w:rPr>
        <w:t xml:space="preserve">(c) Daily Simple SOFR, </w:t>
      </w:r>
      <w:r>
        <w:rPr>
          <w:rFonts w:ascii="Times New Roman" w:hAnsi="Times New Roman"/>
          <w:sz w:val="20"/>
          <w:u w:val="single"/>
        </w:rPr>
        <w:t>plus</w:t>
      </w:r>
      <w:r>
        <w:rPr>
          <w:rFonts w:ascii="Times New Roman" w:hAnsi="Times New Roman"/>
          <w:sz w:val="20"/>
        </w:rPr>
        <w:t xml:space="preserve"> 0.50%, so long as Daily Simple SOFR is offered, ascertainable and not unlawful; for the applicable to the Interest Period for which the Base Rate is then being determined. </w:t>
      </w:r>
    </w:p>
    <w:p>
      <w:pPr>
        <w:pStyle w:val="TextBody"/>
        <w:bidi w:val="0"/>
        <w:spacing w:before="240" w:after="0"/>
        <w:jc w:val="left"/>
        <w:rPr/>
      </w:pPr>
      <w:r>
        <w:rPr/>
        <w:t>“</w:t>
      </w:r>
      <w:r>
        <w:rPr>
          <w:rFonts w:ascii="Times New Roman" w:hAnsi="Times New Roman"/>
          <w:sz w:val="20"/>
          <w:u w:val="single"/>
        </w:rPr>
        <w:t>Base Rate Loan</w:t>
      </w:r>
      <w:r>
        <w:rPr>
          <w:rFonts w:ascii="Times New Roman" w:hAnsi="Times New Roman"/>
          <w:sz w:val="20"/>
        </w:rPr>
        <w:t xml:space="preserve">” means a Loan that bears interest at a rate based on the Base Rate. </w:t>
      </w:r>
    </w:p>
    <w:p>
      <w:pPr>
        <w:pStyle w:val="TextBody"/>
        <w:bidi w:val="0"/>
        <w:spacing w:before="240" w:after="0"/>
        <w:jc w:val="left"/>
        <w:rPr/>
      </w:pPr>
      <w:r>
        <w:rPr/>
        <w:t>“</w:t>
      </w:r>
      <w:r>
        <w:rPr>
          <w:rFonts w:ascii="Times New Roman" w:hAnsi="Times New Roman"/>
          <w:sz w:val="20"/>
          <w:u w:val="single"/>
        </w:rPr>
        <w:t>Blocked Property</w:t>
      </w:r>
      <w:r>
        <w:rPr>
          <w:rFonts w:ascii="Times New Roman" w:hAnsi="Times New Roman"/>
          <w:sz w:val="20"/>
        </w:rPr>
        <w:t xml:space="preserve">” means any property: (a) owned, directly or indirectly, by a Sanctioned Person; (b) due to or from a Sanctioned Person; (c) in which a Sanctioned Person otherwise holds any interest; (d) located in a Sanctioned Jurisdiction; or (e) that otherwise could cause any actual or possible violation by any Credit Party of any applicable International Trade Law if the Credit Parties were to obtain an encumbrance on, lien on, pledge of, or security interest in such property, or provide services in consideration of such property. </w:t>
      </w:r>
    </w:p>
    <w:p>
      <w:pPr>
        <w:pStyle w:val="TextBody"/>
        <w:bidi w:val="0"/>
        <w:spacing w:before="240" w:after="0"/>
        <w:jc w:val="left"/>
        <w:rPr/>
      </w:pPr>
      <w:r>
        <w:rPr/>
        <w:t>“</w:t>
      </w:r>
      <w:r>
        <w:rPr>
          <w:rFonts w:ascii="Times New Roman" w:hAnsi="Times New Roman"/>
          <w:sz w:val="20"/>
          <w:u w:val="single"/>
        </w:rPr>
        <w:t>Borrower Indemnified Amounts</w:t>
      </w:r>
      <w:r>
        <w:rPr>
          <w:rFonts w:ascii="Times New Roman" w:hAnsi="Times New Roman"/>
          <w:sz w:val="20"/>
        </w:rPr>
        <w:t xml:space="preserve">” has the meaning set forth in </w:t>
      </w:r>
      <w:r>
        <w:rPr>
          <w:rFonts w:ascii="Times New Roman" w:hAnsi="Times New Roman"/>
          <w:sz w:val="20"/>
          <w:u w:val="single"/>
        </w:rPr>
        <w:t>Section 13.01(a)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Borrower Indemnified Party</w:t>
      </w:r>
      <w:r>
        <w:rPr>
          <w:rFonts w:ascii="Times New Roman" w:hAnsi="Times New Roman"/>
          <w:sz w:val="20"/>
        </w:rPr>
        <w:t xml:space="preserve">” has the meaning set forth in </w:t>
      </w:r>
      <w:r>
        <w:rPr>
          <w:rFonts w:ascii="Times New Roman" w:hAnsi="Times New Roman"/>
          <w:sz w:val="20"/>
          <w:u w:val="single"/>
        </w:rPr>
        <w:t>Section 13.01(a)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Borrower Obligations</w:t>
      </w:r>
      <w:r>
        <w:rPr>
          <w:rFonts w:ascii="Times New Roman" w:hAnsi="Times New Roman"/>
          <w:sz w:val="20"/>
        </w:rPr>
        <w:t xml:space="preserve">” means all present and future indebtedness, reimbursement obligations, and other liabilities and obligations (howsoever created, arising or evidenced, whether direct or indirect, absolute or contingent, or due or to become due) of the Borrowers to any Credit Party, Borrower Indemnified Party and/or any Affected Person, arising under or in connection with this Agreement or any other Transaction Document or the transactions contemplated hereby or thereby, and shall include, without limitation, all Capital and Interest on the Loans, all Fees and all other amounts due or to become due under the Transaction Documents (whether in respect of fees, costs, expenses, indemnifications or otherwise), including, without limitation, interest, fees and other obligations that accrue after the commencement of any Insolvency Proceeding with respect to any Borrower (in each case whether or not allowed as a claim in such proceeding). </w:t>
      </w:r>
    </w:p>
    <w:p>
      <w:pPr>
        <w:pStyle w:val="TextBody"/>
        <w:bidi w:val="0"/>
        <w:spacing w:before="240" w:after="0"/>
        <w:jc w:val="left"/>
        <w:rPr/>
      </w:pPr>
      <w:r>
        <w:rPr/>
        <w:t>“</w:t>
      </w:r>
      <w:r>
        <w:rPr>
          <w:rFonts w:ascii="Times New Roman" w:hAnsi="Times New Roman"/>
          <w:sz w:val="20"/>
          <w:u w:val="single"/>
        </w:rPr>
        <w:t>Borrowers</w:t>
      </w:r>
      <w:r>
        <w:rPr>
          <w:rFonts w:ascii="Times New Roman" w:hAnsi="Times New Roman"/>
          <w:sz w:val="20"/>
        </w:rPr>
        <w:t xml:space="preserve">” has the meaning specified in the </w:t>
      </w:r>
      <w:r>
        <w:rPr>
          <w:rFonts w:ascii="Times New Roman" w:hAnsi="Times New Roman"/>
          <w:sz w:val="20"/>
          <w:u w:val="single"/>
        </w:rPr>
        <w:t>preamble</w:t>
      </w:r>
      <w:r>
        <w:rPr>
          <w:rFonts w:ascii="Times New Roman" w:hAnsi="Times New Roman"/>
          <w:sz w:val="20"/>
        </w:rPr>
        <w:t xml:space="preserve"> to this Agreement. </w:t>
      </w:r>
    </w:p>
    <w:p>
      <w:pPr>
        <w:pStyle w:val="TextBody"/>
        <w:bidi w:val="0"/>
        <w:spacing w:before="240" w:after="0"/>
        <w:jc w:val="left"/>
        <w:rPr/>
      </w:pPr>
      <w:r>
        <w:rPr/>
        <w:t>“</w:t>
      </w:r>
      <w:r>
        <w:rPr>
          <w:rFonts w:ascii="Times New Roman" w:hAnsi="Times New Roman"/>
          <w:sz w:val="20"/>
          <w:u w:val="single"/>
        </w:rPr>
        <w:t>Borrowers’ Net Worth</w:t>
      </w:r>
      <w:r>
        <w:rPr>
          <w:rFonts w:ascii="Times New Roman" w:hAnsi="Times New Roman"/>
          <w:sz w:val="20"/>
        </w:rPr>
        <w:t xml:space="preserve">” means, at any time of determination, an amount equal to (i) the aggregate Outstanding Balance of all Pool Receivables at such time (other than any Pool Receivables that constitute Defaulted Receivables at such time), </w:t>
      </w:r>
      <w:r>
        <w:rPr>
          <w:rFonts w:ascii="Times New Roman" w:hAnsi="Times New Roman"/>
          <w:sz w:val="20"/>
          <w:u w:val="single"/>
        </w:rPr>
        <w:t>minus</w:t>
      </w:r>
      <w:r>
        <w:rPr>
          <w:rFonts w:ascii="Times New Roman" w:hAnsi="Times New Roman"/>
          <w:sz w:val="20"/>
        </w:rPr>
        <w:t xml:space="preserve"> (ii) the sum of (A) the Aggregate Capital at such time, </w:t>
      </w:r>
      <w:r>
        <w:rPr>
          <w:rFonts w:ascii="Times New Roman" w:hAnsi="Times New Roman"/>
          <w:sz w:val="20"/>
          <w:u w:val="single"/>
        </w:rPr>
        <w:t>plus</w:t>
      </w:r>
      <w:r>
        <w:rPr>
          <w:rFonts w:ascii="Times New Roman" w:hAnsi="Times New Roman"/>
          <w:sz w:val="20"/>
        </w:rPr>
        <w:t xml:space="preserve"> (B) the Aggregate Interest at such time, </w:t>
      </w:r>
      <w:r>
        <w:rPr>
          <w:rFonts w:ascii="Times New Roman" w:hAnsi="Times New Roman"/>
          <w:sz w:val="20"/>
          <w:u w:val="single"/>
        </w:rPr>
        <w:t>plus</w:t>
      </w:r>
      <w:r>
        <w:rPr>
          <w:rFonts w:ascii="Times New Roman" w:hAnsi="Times New Roman"/>
          <w:sz w:val="20"/>
        </w:rPr>
        <w:t xml:space="preserve"> (C) the aggregate accrued and unpaid Fees at such time, </w:t>
      </w:r>
      <w:r>
        <w:rPr>
          <w:rFonts w:ascii="Times New Roman" w:hAnsi="Times New Roman"/>
          <w:sz w:val="20"/>
          <w:u w:val="single"/>
        </w:rPr>
        <w:t>plus</w:t>
      </w:r>
      <w:r>
        <w:rPr>
          <w:rFonts w:ascii="Times New Roman" w:hAnsi="Times New Roman"/>
          <w:sz w:val="20"/>
        </w:rPr>
        <w:t xml:space="preserve"> (D) the aggregate outstanding principal balance owing under each Intercompany Loan Agreement at such time, </w:t>
      </w:r>
      <w:r>
        <w:rPr>
          <w:rFonts w:ascii="Times New Roman" w:hAnsi="Times New Roman"/>
          <w:sz w:val="20"/>
          <w:u w:val="single"/>
        </w:rPr>
        <w:t>plus</w:t>
      </w:r>
      <w:r>
        <w:rPr>
          <w:rFonts w:ascii="Times New Roman" w:hAnsi="Times New Roman"/>
          <w:sz w:val="20"/>
        </w:rPr>
        <w:t xml:space="preserve"> (E) the aggregate accrued and unpaid interest owing under each Intercompany Loan Agreement at such time, </w:t>
      </w:r>
      <w:r>
        <w:rPr>
          <w:rFonts w:ascii="Times New Roman" w:hAnsi="Times New Roman"/>
          <w:sz w:val="20"/>
          <w:u w:val="single"/>
        </w:rPr>
        <w:t>plus</w:t>
      </w:r>
      <w:r>
        <w:rPr>
          <w:rFonts w:ascii="Times New Roman" w:hAnsi="Times New Roman"/>
          <w:sz w:val="20"/>
        </w:rPr>
        <w:t xml:space="preserve"> (F) without duplication, the aggregate accrued and unpaid other Borrower Obligations at such time. </w:t>
      </w:r>
    </w:p>
    <w:p>
      <w:pPr>
        <w:pStyle w:val="TextBody"/>
        <w:bidi w:val="0"/>
        <w:spacing w:before="240" w:after="0"/>
        <w:jc w:val="left"/>
        <w:rPr/>
      </w:pPr>
      <w:r>
        <w:rPr/>
        <w:t>“</w:t>
      </w:r>
      <w:r>
        <w:rPr>
          <w:rFonts w:ascii="Times New Roman" w:hAnsi="Times New Roman"/>
          <w:sz w:val="20"/>
          <w:u w:val="single"/>
        </w:rPr>
        <w:t>Borrower-Related Party</w:t>
      </w:r>
      <w:r>
        <w:rPr>
          <w:rFonts w:ascii="Times New Roman" w:hAnsi="Times New Roman"/>
          <w:sz w:val="20"/>
        </w:rPr>
        <w:t xml:space="preserve">” means each Lamar Party, the Parent and any other Affiliate of the Parent from time to time party to any Transaction Document. </w:t>
      </w:r>
    </w:p>
    <w:p>
      <w:pPr>
        <w:pStyle w:val="TextBody"/>
        <w:bidi w:val="0"/>
        <w:spacing w:before="240" w:after="0"/>
        <w:jc w:val="left"/>
        <w:rPr/>
      </w:pPr>
      <w:r>
        <w:rPr/>
        <w:t>“</w:t>
      </w:r>
      <w:r>
        <w:rPr>
          <w:rFonts w:ascii="Times New Roman" w:hAnsi="Times New Roman"/>
          <w:sz w:val="20"/>
          <w:u w:val="single"/>
        </w:rPr>
        <w:t>Borrowing Base</w:t>
      </w:r>
      <w:r>
        <w:rPr>
          <w:rFonts w:ascii="Times New Roman" w:hAnsi="Times New Roman"/>
          <w:sz w:val="20"/>
        </w:rPr>
        <w:t xml:space="preserve">” means, at any time of determination, the amount equal to the lesser of (a) the Facility Limit and (b) the amount equal to (i) the Net Receivables Pool Balance at such time, </w:t>
      </w:r>
      <w:r>
        <w:rPr>
          <w:rFonts w:ascii="Times New Roman" w:hAnsi="Times New Roman"/>
          <w:sz w:val="20"/>
          <w:u w:val="single"/>
        </w:rPr>
        <w:t>minus</w:t>
      </w:r>
      <w:r>
        <w:rPr>
          <w:rFonts w:ascii="Times New Roman" w:hAnsi="Times New Roman"/>
          <w:sz w:val="20"/>
        </w:rPr>
        <w:t xml:space="preserve"> (ii) the Total Reserves at such time. </w:t>
      </w:r>
    </w:p>
    <w:p>
      <w:pPr>
        <w:pStyle w:val="TextBody"/>
        <w:bidi w:val="0"/>
        <w:spacing w:before="240" w:after="0"/>
        <w:jc w:val="left"/>
        <w:rPr/>
      </w:pPr>
      <w:r>
        <w:rPr/>
        <w:t>“</w:t>
      </w:r>
      <w:r>
        <w:rPr>
          <w:rFonts w:ascii="Times New Roman" w:hAnsi="Times New Roman"/>
          <w:sz w:val="20"/>
          <w:u w:val="single"/>
        </w:rPr>
        <w:t>Borrowing Base Deficit</w:t>
      </w:r>
      <w:r>
        <w:rPr>
          <w:rFonts w:ascii="Times New Roman" w:hAnsi="Times New Roman"/>
          <w:sz w:val="20"/>
        </w:rPr>
        <w:t xml:space="preserve">” means, at any time of determination, the amount, if any, by which (a) the Aggregate Capital at such time, </w:t>
      </w:r>
      <w:r>
        <w:rPr>
          <w:rFonts w:ascii="Times New Roman" w:hAnsi="Times New Roman"/>
          <w:sz w:val="20"/>
          <w:u w:val="single"/>
        </w:rPr>
        <w:t>exceeds</w:t>
      </w:r>
      <w:r>
        <w:rPr>
          <w:rFonts w:ascii="Times New Roman" w:hAnsi="Times New Roman"/>
          <w:sz w:val="20"/>
        </w:rPr>
        <w:t xml:space="preserve"> (b) the Borrowing Base at such time. </w:t>
      </w:r>
    </w:p>
    <w:p>
      <w:pPr>
        <w:pStyle w:val="TextBody"/>
        <w:bidi w:val="0"/>
        <w:spacing w:before="240" w:after="0"/>
        <w:jc w:val="left"/>
        <w:rPr/>
      </w:pPr>
      <w:r>
        <w:rPr/>
        <w:t>“</w:t>
      </w:r>
      <w:r>
        <w:rPr>
          <w:rFonts w:ascii="Times New Roman" w:hAnsi="Times New Roman"/>
          <w:sz w:val="20"/>
          <w:u w:val="single"/>
        </w:rPr>
        <w:t>Borrowing Tranche</w:t>
      </w:r>
      <w:r>
        <w:rPr>
          <w:rFonts w:ascii="Times New Roman" w:hAnsi="Times New Roman"/>
          <w:sz w:val="20"/>
        </w:rPr>
        <w:t xml:space="preserve">” means specified portions of Loans outstanding as follows: (a) any Loans (or Portions of Capital thereof) for which the applicable Interest Rate is determined by reference to the Term SOFR Rate and which have the same Interest Period shall constitute one Borrowing Tranche, (b) all Loans (or Portions of Capital thereof) for which the applicable Interest Rate is determined by reference to Daily 1M SOFR shall constitute one Borrowing Tranche, and (c) all Loans (or Portions of Capital thereof) for which the applicable Interest Rate is determined by reference to Base Rate shall constitute one Borrowing Tranche. </w:t>
      </w:r>
    </w:p>
    <w:p>
      <w:pPr>
        <w:pStyle w:val="TextBody"/>
        <w:bidi w:val="0"/>
        <w:spacing w:before="240" w:after="0"/>
        <w:jc w:val="left"/>
        <w:rPr/>
      </w:pPr>
      <w:r>
        <w:rPr/>
        <w:t>“</w:t>
      </w:r>
      <w:r>
        <w:rPr>
          <w:rFonts w:ascii="Times New Roman" w:hAnsi="Times New Roman"/>
          <w:sz w:val="20"/>
          <w:u w:val="single"/>
        </w:rPr>
        <w:t>Breakage Fee</w:t>
      </w:r>
      <w:r>
        <w:rPr>
          <w:rFonts w:ascii="Times New Roman" w:hAnsi="Times New Roman"/>
          <w:sz w:val="20"/>
        </w:rPr>
        <w:t xml:space="preserve">” means (i) for any Interest Period for which Interest is computed by reference to Term SOFR Rate and a reduction of Capital is made for any reason on any day other than the last day of the related Tranche Period or (ii) to the extent that a Borrower shall for any reason, fail to borrow on the date specified by such Borrower in connection with any request for funding pursuant to </w:t>
      </w:r>
      <w:r>
        <w:rPr>
          <w:rFonts w:ascii="Times New Roman" w:hAnsi="Times New Roman"/>
          <w:sz w:val="20"/>
          <w:u w:val="single"/>
        </w:rPr>
        <w:t>Article II</w:t>
      </w:r>
      <w:r>
        <w:rPr>
          <w:rFonts w:ascii="Times New Roman" w:hAnsi="Times New Roman"/>
          <w:sz w:val="20"/>
        </w:rPr>
        <w:t xml:space="preserve"> of this Agreement, the amount, if any, by which (A) the additional Interest (calculated without taking into account any Breakage Fee or any shortened duration of such Interest Period pursuant to the definition thereof) which would have accrued during such Interest Period on the reductions of Capital relating to such Interest Period had such reductions not been made (or, in the case of </w:t>
      </w:r>
      <w:r>
        <w:rPr>
          <w:rFonts w:ascii="Times New Roman" w:hAnsi="Times New Roman"/>
          <w:sz w:val="20"/>
          <w:u w:val="single"/>
        </w:rPr>
        <w:t>clause (ii)</w:t>
      </w:r>
      <w:r>
        <w:rPr>
          <w:rFonts w:ascii="Times New Roman" w:hAnsi="Times New Roman"/>
          <w:sz w:val="20"/>
        </w:rPr>
        <w:t xml:space="preserve"> above, the amounts so failed to be borrowed or accepted in connection with any such request for funding by a Borrower), exceeds (B) the income, if any, received by the applicable Lender from the investment of the proceeds of such reductions of Capital (or such amounts failed to be borrowed by a Borrower). A certificate as to the amount of any Breakage Fee (including the computation of such amount) shall be submitted by the affected Lender to the Borrowers and shall be conclusive and binding for all purposes,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Business Day</w:t>
      </w:r>
      <w:r>
        <w:rPr>
          <w:rFonts w:ascii="Times New Roman" w:hAnsi="Times New Roman"/>
          <w:sz w:val="20"/>
        </w:rPr>
        <w:t xml:space="preserve">” shall mean any day other than a Saturday or Sunday or a legal holiday on which commercial banks are authorized or required by law to be closed for business in Pittsburgh, Pennsylvania; </w:t>
      </w:r>
      <w:r>
        <w:rPr>
          <w:rFonts w:ascii="Times New Roman" w:hAnsi="Times New Roman"/>
          <w:sz w:val="20"/>
          <w:u w:val="single"/>
        </w:rPr>
        <w:t>provided</w:t>
      </w:r>
      <w:r>
        <w:rPr>
          <w:rFonts w:ascii="Times New Roman" w:hAnsi="Times New Roman"/>
          <w:sz w:val="20"/>
        </w:rPr>
        <w:t xml:space="preserve"> that, for purposes of any direct or indirect calculation or determination involving SOFR, the term “Business Day” means any such day that is </w:t>
      </w:r>
      <w:r>
        <w:rPr>
          <w:rFonts w:ascii="Times New Roman" w:hAnsi="Times New Roman"/>
          <w:sz w:val="20"/>
          <w:u w:val="single"/>
        </w:rPr>
        <w:t>also</w:t>
      </w:r>
      <w:r>
        <w:rPr>
          <w:rFonts w:ascii="Times New Roman" w:hAnsi="Times New Roman"/>
          <w:sz w:val="20"/>
        </w:rPr>
        <w:t xml:space="preserve"> a U.S. Government Securities Business Day. </w:t>
      </w:r>
    </w:p>
    <w:p>
      <w:pPr>
        <w:pStyle w:val="TextBody"/>
        <w:bidi w:val="0"/>
        <w:spacing w:before="240" w:after="0"/>
        <w:jc w:val="left"/>
        <w:rPr/>
      </w:pPr>
      <w:r>
        <w:rPr/>
        <w:t>“</w:t>
      </w:r>
      <w:r>
        <w:rPr>
          <w:rFonts w:ascii="Times New Roman" w:hAnsi="Times New Roman"/>
          <w:sz w:val="20"/>
          <w:u w:val="single"/>
        </w:rPr>
        <w:t>Capital</w:t>
      </w:r>
      <w:r>
        <w:rPr>
          <w:rFonts w:ascii="Times New Roman" w:hAnsi="Times New Roman"/>
          <w:sz w:val="20"/>
        </w:rPr>
        <w:t xml:space="preserve">” means, with respect to any Lender, the aggregate amounts paid to, or on behalf of, the Borrowers in connection with all Loans made by such Lender pursuant to </w:t>
      </w:r>
      <w:r>
        <w:rPr>
          <w:rFonts w:ascii="Times New Roman" w:hAnsi="Times New Roman"/>
          <w:sz w:val="20"/>
          <w:u w:val="single"/>
        </w:rPr>
        <w:t>Article II</w:t>
      </w:r>
      <w:r>
        <w:rPr>
          <w:rFonts w:ascii="Times New Roman" w:hAnsi="Times New Roman"/>
          <w:sz w:val="20"/>
        </w:rPr>
        <w:t xml:space="preserve">, as reduced from time to time by Collections distributed and applied on account of such Capital pursuant to </w:t>
      </w:r>
      <w:r>
        <w:rPr>
          <w:rFonts w:ascii="Times New Roman" w:hAnsi="Times New Roman"/>
          <w:sz w:val="20"/>
          <w:u w:val="single"/>
        </w:rPr>
        <w:t>Section 4.01</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such Capital shall have been reduced by any distribution and thereafter all or a portion of such distribution is rescinded or must otherwise be returned for any reason, such Capital shall be increased by the amount of such rescinded or returned distribution as though it had not been made. </w:t>
      </w:r>
    </w:p>
    <w:p>
      <w:pPr>
        <w:pStyle w:val="TextBody"/>
        <w:bidi w:val="0"/>
        <w:spacing w:before="240" w:after="0"/>
        <w:jc w:val="left"/>
        <w:rPr/>
      </w:pPr>
      <w:r>
        <w:rPr/>
        <w:t>“</w:t>
      </w:r>
      <w:r>
        <w:rPr>
          <w:rFonts w:ascii="Times New Roman" w:hAnsi="Times New Roman"/>
          <w:sz w:val="20"/>
          <w:u w:val="single"/>
        </w:rPr>
        <w:t>Capital Stock</w:t>
      </w:r>
      <w:r>
        <w:rPr>
          <w:rFonts w:ascii="Times New Roman" w:hAnsi="Times New Roman"/>
          <w:sz w:val="20"/>
        </w:rPr>
        <w:t xml:space="preserve">” means, with respect to any Person, any and all common shares, preferred shares, interests, participations, rights in or other equivalents (however designated) of such Person’s capital stock, partnership interests, limited liability company interests, membership interests or other equivalent interests and any rights (other than debt securities convertible into or exchangeable for capital stock), warrants or options exchangeable for or convertible into such capital stock or other equity interests. </w:t>
      </w:r>
    </w:p>
    <w:p>
      <w:pPr>
        <w:pStyle w:val="TextBody"/>
        <w:bidi w:val="0"/>
        <w:spacing w:before="240" w:after="0"/>
        <w:jc w:val="left"/>
        <w:rPr/>
      </w:pPr>
      <w:r>
        <w:rPr/>
        <w:t>“</w:t>
      </w:r>
      <w:r>
        <w:rPr>
          <w:rFonts w:ascii="Times New Roman" w:hAnsi="Times New Roman"/>
          <w:sz w:val="20"/>
          <w:u w:val="single"/>
        </w:rPr>
        <w:t>Change in Control</w:t>
      </w:r>
      <w:r>
        <w:rPr>
          <w:rFonts w:ascii="Times New Roman" w:hAnsi="Times New Roman"/>
          <w:sz w:val="20"/>
        </w:rPr>
        <w:t xml:space="preserve">” means the occurrence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Parent ceases to own, directly, 100% of the issued and outstanding Capital Stock and all other equity interests of the QRS Borrower free and clear of all Adverse Claims; </w:t>
      </w:r>
    </w:p>
    <w:p>
      <w:pPr>
        <w:pStyle w:val="TextBody"/>
        <w:bidi w:val="0"/>
        <w:spacing w:before="120" w:after="0"/>
        <w:jc w:val="left"/>
        <w:rPr>
          <w:rFonts w:ascii="Times New Roman" w:hAnsi="Times New Roman"/>
          <w:sz w:val="20"/>
        </w:rPr>
      </w:pPr>
      <w:r>
        <w:rPr>
          <w:rFonts w:ascii="Times New Roman" w:hAnsi="Times New Roman"/>
          <w:sz w:val="20"/>
        </w:rPr>
        <w:t xml:space="preserve">(b) TRS Holdings ceases to own, directly, 100% of the issued and outstanding Capital Stock and all other equity interests of the TRS Borrower free and clear of all Adverse Claims; </w:t>
      </w:r>
    </w:p>
    <w:p>
      <w:pPr>
        <w:pStyle w:val="TextBody"/>
        <w:bidi w:val="0"/>
        <w:spacing w:before="120" w:after="0"/>
        <w:jc w:val="left"/>
        <w:rPr>
          <w:rFonts w:ascii="Times New Roman" w:hAnsi="Times New Roman"/>
          <w:sz w:val="20"/>
        </w:rPr>
      </w:pPr>
      <w:r>
        <w:rPr>
          <w:rFonts w:ascii="Times New Roman" w:hAnsi="Times New Roman"/>
          <w:sz w:val="20"/>
        </w:rPr>
        <w:t xml:space="preserve">(c) Holdings ceases to own, directly, 100% of the issued and outstanding Capital Stock, membership interests or other equity interests of the Performance Guarantor; </w:t>
      </w:r>
    </w:p>
    <w:p>
      <w:pPr>
        <w:pStyle w:val="TextBody"/>
        <w:bidi w:val="0"/>
        <w:spacing w:before="120" w:after="0"/>
        <w:jc w:val="left"/>
        <w:rPr>
          <w:rFonts w:ascii="Times New Roman" w:hAnsi="Times New Roman"/>
          <w:sz w:val="20"/>
        </w:rPr>
      </w:pPr>
      <w:r>
        <w:rPr>
          <w:rFonts w:ascii="Times New Roman" w:hAnsi="Times New Roman"/>
          <w:sz w:val="20"/>
        </w:rPr>
        <w:t xml:space="preserve">(d) Holdings ceases to own, directly or indirectly, 100% of the issued and outstanding Capital Stock, membership interests or other equity interests of any Borrower, the Servicer or any Originator; </w:t>
      </w:r>
    </w:p>
    <w:p>
      <w:pPr>
        <w:pStyle w:val="TextBody"/>
        <w:bidi w:val="0"/>
        <w:spacing w:before="120" w:after="0"/>
        <w:jc w:val="left"/>
        <w:rPr>
          <w:rFonts w:ascii="Times New Roman" w:hAnsi="Times New Roman"/>
          <w:sz w:val="20"/>
        </w:rPr>
      </w:pPr>
      <w:r>
        <w:rPr>
          <w:rFonts w:ascii="Times New Roman" w:hAnsi="Times New Roman"/>
          <w:sz w:val="20"/>
        </w:rPr>
        <w:t xml:space="preserve">(e) a “Change of Control” (as defined in the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(f) any Adverse Claim shall exist with respect to any Intercompany Loan Agreement or any Intercompany Loan;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with respect to Holdings: </w:t>
      </w:r>
    </w:p>
    <w:p>
      <w:pPr>
        <w:pStyle w:val="TextBody"/>
        <w:bidi w:val="0"/>
        <w:spacing w:before="120" w:after="0"/>
        <w:jc w:val="left"/>
        <w:rPr>
          <w:rFonts w:ascii="Times New Roman" w:hAnsi="Times New Roman"/>
          <w:sz w:val="20"/>
        </w:rPr>
      </w:pPr>
      <w:r>
        <w:rPr>
          <w:rFonts w:ascii="Times New Roman" w:hAnsi="Times New Roman"/>
          <w:sz w:val="20"/>
        </w:rPr>
        <w:t xml:space="preserve">(i) the capital stock of Holdings owned directly or indirectly by Charles W. Lamar, III or Kevin P. Reilly, Sr., either of their wives, children, children’s spouses, grandchildren, trusts of which either of them, their wives, children, children’s spouses and grandchildren are the sole beneficiaries and for which one or more of such individuals are the sole trustee(s) and any Qualified Reilly Partnership shall (on a fully diluted basis after giving effect to the exercise of any outstanding rights or options to acquire capital stock of Lamar) cease to constitute at least such percentage of the aggregate voting stock of Holdings as is sufficient at all times to elect a majority of the Board of Directors of Holdings; </w:t>
      </w:r>
    </w:p>
    <w:p>
      <w:pPr>
        <w:pStyle w:val="TextBody"/>
        <w:bidi w:val="0"/>
        <w:spacing w:before="120" w:after="0"/>
        <w:jc w:val="left"/>
        <w:rPr>
          <w:rFonts w:ascii="Times New Roman" w:hAnsi="Times New Roman"/>
          <w:sz w:val="20"/>
        </w:rPr>
      </w:pPr>
      <w:r>
        <w:rPr>
          <w:rFonts w:ascii="Times New Roman" w:hAnsi="Times New Roman"/>
          <w:sz w:val="20"/>
        </w:rPr>
        <w:t xml:space="preserve">(ii) any Person or group (within the meaning of the Exchange Act and the rules of the SEC thereunder as in effect on the Closing Date), other than Charles W. Lamar, III or Kevin P. Reilly, Sr. and any of the other permitted holders referred to in </w:t>
      </w:r>
      <w:r>
        <w:rPr>
          <w:rFonts w:ascii="Times New Roman" w:hAnsi="Times New Roman"/>
          <w:sz w:val="20"/>
          <w:u w:val="single"/>
        </w:rPr>
        <w:t>clause (i)</w:t>
      </w:r>
      <w:r>
        <w:rPr>
          <w:rFonts w:ascii="Times New Roman" w:hAnsi="Times New Roman"/>
          <w:sz w:val="20"/>
        </w:rPr>
        <w:t xml:space="preserve"> above, shall acquire or own, directly or indirectly, beneficially or of record, shares representing more than 20% of the ordinary voting power represented by the issued and outstanding voting capital stock of Holdings, or (y) acquire direct or indirect Control of Holdings; or </w:t>
      </w:r>
    </w:p>
    <w:p>
      <w:pPr>
        <w:pStyle w:val="TextBody"/>
        <w:bidi w:val="0"/>
        <w:spacing w:before="120" w:after="0"/>
        <w:jc w:val="left"/>
        <w:rPr>
          <w:rFonts w:ascii="Times New Roman" w:hAnsi="Times New Roman"/>
          <w:sz w:val="20"/>
        </w:rPr>
      </w:pPr>
      <w:r>
        <w:rPr>
          <w:rFonts w:ascii="Times New Roman" w:hAnsi="Times New Roman"/>
          <w:sz w:val="20"/>
        </w:rPr>
        <w:t xml:space="preserve">(iii) a majority of the seats (other than vacant seats) on the Board of Directors of Holdings shall be occupied by Persons who were neither (x) nominated by the Board of Directors of Holdings nor (y) appointed by directors so nominated. </w:t>
      </w:r>
    </w:p>
    <w:p>
      <w:pPr>
        <w:pStyle w:val="TextBody"/>
        <w:bidi w:val="0"/>
        <w:spacing w:before="240" w:after="0"/>
        <w:jc w:val="left"/>
        <w:rPr/>
      </w:pPr>
      <w:r>
        <w:rPr/>
        <w:t>“</w:t>
      </w:r>
      <w:r>
        <w:rPr>
          <w:rFonts w:ascii="Times New Roman" w:hAnsi="Times New Roman"/>
          <w:sz w:val="20"/>
          <w:u w:val="single"/>
        </w:rPr>
        <w:t>Change in Law</w:t>
      </w:r>
      <w:r>
        <w:rPr>
          <w:rFonts w:ascii="Times New Roman" w:hAnsi="Times New Roman"/>
          <w:sz w:val="20"/>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hAnsi="Times New Roman"/>
          <w:sz w:val="20"/>
          <w:u w:val="single"/>
        </w:rPr>
        <w:t>provided</w:t>
      </w:r>
      <w:r>
        <w:rPr>
          <w:rFonts w:ascii="Times New Roman" w:hAnsi="Times New Roman"/>
          <w:sz w:val="20"/>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the agreements reached by the Basel Committee on Banking Supervision in “Basel III: A Global Regulatory Framework for More Resilient Banks and Banking Systems” (as amended, supplemented or otherwise modified or replaced from time to time), shall in each case be deemed to be a “Change in Law”, regardless of the date enacted, adopted or issued.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means December 18, 2018.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as amended, reformed or otherwise modified from time to time. </w:t>
      </w:r>
    </w:p>
    <w:p>
      <w:pPr>
        <w:pStyle w:val="TextBody"/>
        <w:bidi w:val="0"/>
        <w:spacing w:before="240" w:after="0"/>
        <w:jc w:val="left"/>
        <w:rPr/>
      </w:pPr>
      <w:r>
        <w:rPr/>
        <w:t>“</w:t>
      </w:r>
      <w:r>
        <w:rPr>
          <w:rFonts w:ascii="Times New Roman" w:hAnsi="Times New Roman"/>
          <w:sz w:val="20"/>
          <w:u w:val="single"/>
        </w:rPr>
        <w:t>Collateral</w:t>
      </w:r>
      <w:r>
        <w:rPr>
          <w:rFonts w:ascii="Times New Roman" w:hAnsi="Times New Roman"/>
          <w:sz w:val="20"/>
        </w:rPr>
        <w:t xml:space="preserve">” has the meaning set forth in </w:t>
      </w:r>
      <w:r>
        <w:rPr>
          <w:rFonts w:ascii="Times New Roman" w:hAnsi="Times New Roman"/>
          <w:sz w:val="20"/>
          <w:u w:val="single"/>
        </w:rPr>
        <w:t>Section 5.05(a)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Collection Account</w:t>
      </w:r>
      <w:r>
        <w:rPr>
          <w:rFonts w:ascii="Times New Roman" w:hAnsi="Times New Roman"/>
          <w:sz w:val="20"/>
        </w:rPr>
        <w:t xml:space="preserve">” means each account listed on </w:t>
      </w:r>
      <w:r>
        <w:rPr>
          <w:rFonts w:ascii="Times New Roman" w:hAnsi="Times New Roman"/>
          <w:sz w:val="20"/>
          <w:u w:val="single"/>
        </w:rPr>
        <w:t>Schedule II</w:t>
      </w:r>
      <w:r>
        <w:rPr>
          <w:rFonts w:ascii="Times New Roman" w:hAnsi="Times New Roman"/>
          <w:sz w:val="20"/>
        </w:rPr>
        <w:t xml:space="preserve"> to this Agreement (as such schedule may be modified from time to time in connection with the closing or opening of any Collection Account in accordance with the terms hereof) (in each case, in the name of a Borrower) and maintained at a bank or other financial institution acting as a Collection Account Bank pursuant to an Account Control Agreement for the purpose of receiving Collections. </w:t>
      </w:r>
    </w:p>
    <w:p>
      <w:pPr>
        <w:pStyle w:val="TextBody"/>
        <w:bidi w:val="0"/>
        <w:spacing w:before="240" w:after="0"/>
        <w:jc w:val="left"/>
        <w:rPr/>
      </w:pPr>
      <w:r>
        <w:rPr/>
        <w:t>“</w:t>
      </w:r>
      <w:r>
        <w:rPr>
          <w:rFonts w:ascii="Times New Roman" w:hAnsi="Times New Roman"/>
          <w:sz w:val="20"/>
          <w:u w:val="single"/>
        </w:rPr>
        <w:t>Collection Account Bank</w:t>
      </w:r>
      <w:r>
        <w:rPr>
          <w:rFonts w:ascii="Times New Roman" w:hAnsi="Times New Roman"/>
          <w:sz w:val="20"/>
        </w:rPr>
        <w:t xml:space="preserve">” means any of the banks or other financial institutions holding one or more Collection Accounts. </w:t>
      </w:r>
    </w:p>
    <w:p>
      <w:pPr>
        <w:pStyle w:val="TextBody"/>
        <w:bidi w:val="0"/>
        <w:spacing w:before="240" w:after="0"/>
        <w:jc w:val="left"/>
        <w:rPr/>
      </w:pPr>
      <w:r>
        <w:rPr/>
        <w:t>“</w:t>
      </w:r>
      <w:r>
        <w:rPr>
          <w:rFonts w:ascii="Times New Roman" w:hAnsi="Times New Roman"/>
          <w:sz w:val="20"/>
          <w:u w:val="single"/>
        </w:rPr>
        <w:t>Collections</w:t>
      </w:r>
      <w:r>
        <w:rPr>
          <w:rFonts w:ascii="Times New Roman" w:hAnsi="Times New Roman"/>
          <w:sz w:val="20"/>
        </w:rPr>
        <w:t xml:space="preserve">” means, with respect to any Pool Receivable: (a) all funds that are received by any Originator, any Borrower, the Servicer or any other Person on their behalf in payment of any amounts owed in respect of such Pool Receivable (including purchase price, service charges, finance charges, interest, fees and all other charges), or applied to amounts owed in respect of such Pool Receivable (including insurance payments, proceeds of drawings under supporting letters of credit and net proceeds of the sale or other disposition of repossessed goods or other collateral or property of any related Obligor or any other Person directly or indirectly liable for the payment of such Pool Receivable and available to be applied thereon), (b) all Deemed Collections, (c) all proceeds of all Related Security with respect to such Pool Receivable and (d) all other proceeds of such Pool Receivable. </w:t>
      </w:r>
    </w:p>
    <w:p>
      <w:pPr>
        <w:pStyle w:val="TextBody"/>
        <w:bidi w:val="0"/>
        <w:spacing w:before="240" w:after="0"/>
        <w:jc w:val="left"/>
        <w:rPr/>
      </w:pPr>
      <w:r>
        <w:rPr/>
        <w:t>“</w:t>
      </w:r>
      <w:r>
        <w:rPr>
          <w:rFonts w:ascii="Times New Roman" w:hAnsi="Times New Roman"/>
          <w:sz w:val="20"/>
          <w:u w:val="single"/>
        </w:rPr>
        <w:t>Commingling Report</w:t>
      </w:r>
      <w:r>
        <w:rPr>
          <w:rFonts w:ascii="Times New Roman" w:hAnsi="Times New Roman"/>
          <w:sz w:val="20"/>
        </w:rPr>
        <w:t xml:space="preserve">” has the meaning set forth in </w:t>
      </w:r>
      <w:r>
        <w:rPr>
          <w:rFonts w:ascii="Times New Roman" w:hAnsi="Times New Roman"/>
          <w:sz w:val="20"/>
          <w:u w:val="single"/>
        </w:rPr>
        <w:t>Section 9.04(d)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Commitment</w:t>
      </w:r>
      <w:r>
        <w:rPr>
          <w:rFonts w:ascii="Times New Roman" w:hAnsi="Times New Roman"/>
          <w:sz w:val="20"/>
        </w:rPr>
        <w:t xml:space="preserve">” means, with respect to any Lender, the maximum aggregate amount of Capital which such Person is obligated to lend or pay hereunder on account of all Loans, on a combined basis, as set forth on </w:t>
      </w:r>
      <w:r>
        <w:rPr>
          <w:rFonts w:ascii="Times New Roman" w:hAnsi="Times New Roman"/>
          <w:sz w:val="20"/>
          <w:u w:val="single"/>
        </w:rPr>
        <w:t>Schedule I</w:t>
      </w:r>
      <w:r>
        <w:rPr>
          <w:rFonts w:ascii="Times New Roman" w:hAnsi="Times New Roman"/>
          <w:sz w:val="20"/>
        </w:rPr>
        <w:t xml:space="preserve"> or in the agreement pursuant to which it became a Lender, as such amount may be modified in connection with any subsequent assignment pursuant to </w:t>
      </w:r>
      <w:r>
        <w:rPr>
          <w:rFonts w:ascii="Times New Roman" w:hAnsi="Times New Roman"/>
          <w:sz w:val="20"/>
          <w:u w:val="single"/>
        </w:rPr>
        <w:t>Section 14.03</w:t>
      </w:r>
      <w:r>
        <w:rPr>
          <w:rFonts w:ascii="Times New Roman" w:hAnsi="Times New Roman"/>
          <w:sz w:val="20"/>
        </w:rPr>
        <w:t xml:space="preserve"> or reduced in connection with a reduction of the Facility Limit pursuant to </w:t>
      </w:r>
      <w:r>
        <w:rPr>
          <w:rFonts w:ascii="Times New Roman" w:hAnsi="Times New Roman"/>
          <w:sz w:val="20"/>
          <w:u w:val="single"/>
        </w:rPr>
        <w:t>Section 2.02(e)</w:t>
      </w:r>
      <w:r>
        <w:rPr>
          <w:rFonts w:ascii="Times New Roman" w:hAnsi="Times New Roman"/>
          <w:sz w:val="20"/>
        </w:rPr>
        <w:t xml:space="preserve">. If the context so requires, “Commitment” also refers to a Lender’s obligation to make Loans hereunder in accordance with this Agreement. </w:t>
      </w:r>
    </w:p>
    <w:p>
      <w:pPr>
        <w:pStyle w:val="TextBody"/>
        <w:bidi w:val="0"/>
        <w:spacing w:before="240" w:after="0"/>
        <w:jc w:val="left"/>
        <w:rPr/>
      </w:pPr>
      <w:r>
        <w:rPr/>
        <w:t>“</w:t>
      </w:r>
      <w:r>
        <w:rPr>
          <w:rFonts w:ascii="Times New Roman" w:hAnsi="Times New Roman"/>
          <w:sz w:val="20"/>
          <w:u w:val="single"/>
        </w:rPr>
        <w:t>Compliance Authority</w:t>
      </w:r>
      <w:r>
        <w:rPr>
          <w:rFonts w:ascii="Times New Roman" w:hAnsi="Times New Roman"/>
          <w:sz w:val="20"/>
        </w:rPr>
        <w:t xml:space="preserve">” means (a) the United States government or any agency or political subdivision thereof, including, without limitation, the U.S. Department of State, the U.S. Department of Commerce, the U.S. Department of the Treasury and its Office of Foreign Assets Control, and the U.S. Customs and Border Protection agency; (b) the government of Canada or any agency thereof; (c) the European Union or any agency thereof; (d) the government of the United Kingdom or any agency thereof; (e) the United Nations Security Council; and (f) any other Governmental Authority with jurisdiction to administer Anti-Corruption Laws, Anti-Money Laundering Laws or International Trade Laws with respect to the conduct of a Covered Entity. </w:t>
      </w:r>
    </w:p>
    <w:p>
      <w:pPr>
        <w:pStyle w:val="TextBody"/>
        <w:bidi w:val="0"/>
        <w:spacing w:before="240" w:after="0"/>
        <w:jc w:val="left"/>
        <w:rPr/>
      </w:pPr>
      <w:r>
        <w:rPr/>
        <w:t>“</w:t>
      </w:r>
      <w:r>
        <w:rPr>
          <w:rFonts w:ascii="Times New Roman" w:hAnsi="Times New Roman"/>
          <w:sz w:val="20"/>
          <w:u w:val="single"/>
        </w:rPr>
        <w:t>Concentration Percentage</w:t>
      </w:r>
      <w:r>
        <w:rPr>
          <w:rFonts w:ascii="Times New Roman" w:hAnsi="Times New Roman"/>
          <w:sz w:val="20"/>
        </w:rPr>
        <w:t xml:space="preserve">” means (i) for any Group A Obligor, 24.0%, (ii) for any Group B Obligor, 24.0%, (iii) for any Group C Obligor, 12.0% and (iv) for any Group D Obligor, 6.0%. </w:t>
      </w:r>
    </w:p>
    <w:p>
      <w:pPr>
        <w:pStyle w:val="TextBody"/>
        <w:bidi w:val="0"/>
        <w:spacing w:before="240" w:after="0"/>
        <w:jc w:val="left"/>
        <w:rPr/>
      </w:pPr>
      <w:r>
        <w:rPr/>
        <w:t>“</w:t>
      </w:r>
      <w:r>
        <w:rPr>
          <w:rFonts w:ascii="Times New Roman" w:hAnsi="Times New Roman"/>
          <w:sz w:val="20"/>
          <w:u w:val="single"/>
        </w:rPr>
        <w:t>Concentration Reserve Percentage</w:t>
      </w:r>
      <w:r>
        <w:rPr>
          <w:rFonts w:ascii="Times New Roman" w:hAnsi="Times New Roman"/>
          <w:sz w:val="20"/>
        </w:rPr>
        <w:t xml:space="preserve">” means, at any time of determination, the largest of: (a) the sum of the five (5) largest Obligor Percentages of the Group D Obligors, (b) the sum of the three (3) largest Obligor Percentages of the Group C Obligors, (c) the sum of the two (2) largest Obligor Percentages of the Group B Obligors and (d) the largest Obligor Percentage of the Group A Obligors.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Conforming Changes</w:t>
      </w:r>
      <w:r>
        <w:rPr>
          <w:rFonts w:ascii="Times New Roman" w:hAnsi="Times New Roman"/>
          <w:sz w:val="20"/>
        </w:rPr>
        <w:t xml:space="preserve">” means, with respect to Daily 1M SOFR, the Term SOFR Rate or any Benchmark Replacement in relation thereto, any technical, administrative or operational changes (including changes to the definition of “Base Rate,” the definition of “Business Day,” the definition of “Interest Period,” the definition of “U.S. Government Securities Business Day,” timing and frequency of determining rates and the timing of making payments of interest, timing of borrowing requests or prepayment, conversion or continuation notices, the applicability and length of lookback periods, and other technical, administrative or operational matters) that the Administrative Agent, in consultation with the Borrowers, decides may be appropriate to reflect the adoption and implementation of Daily 1M SOFR, the Term SOFR Rate or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Daily 1M SOFR the Term SOFR Rate or the Benchmark Replacement exists, in such other manner of administration as the Administrative Agent decides is reasonably necessary in connection with the administration of this Agreement and the other Transaction Documents).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with respect to any Receivable, any and all contracts, instruments, agreements, leases, invoices, notes or other writings pursuant to which such Receivable arises or that evidence such Receivable or under which an Obligor becomes or is obligated to make payment in respect of such Receivable. </w:t>
      </w:r>
    </w:p>
    <w:p>
      <w:pPr>
        <w:pStyle w:val="TextBody"/>
        <w:bidi w:val="0"/>
        <w:spacing w:before="240" w:after="0"/>
        <w:jc w:val="left"/>
        <w:rPr/>
      </w:pPr>
      <w:r>
        <w:rPr/>
        <w:t>“</w:t>
      </w:r>
      <w:r>
        <w:rPr>
          <w:rFonts w:ascii="Times New Roman" w:hAnsi="Times New Roman"/>
          <w:sz w:val="20"/>
          <w:u w:val="single"/>
        </w:rPr>
        <w:t>Control</w:t>
      </w:r>
      <w:r>
        <w:rPr>
          <w:rFonts w:ascii="Times New Roman" w:hAnsi="Times New Roman"/>
          <w:sz w:val="20"/>
        </w:rPr>
        <w:t xml:space="preserve">” means the possession, directly or indirectly, of the power to direct or cause the direction of the management or policies of a Person, whether through the ability to exercise voting power, by contract or otherwise. “Controlling” and “Controlled” have meanings correlative thereto. </w:t>
      </w:r>
    </w:p>
    <w:p>
      <w:pPr>
        <w:pStyle w:val="TextBody"/>
        <w:bidi w:val="0"/>
        <w:spacing w:before="240" w:after="0"/>
        <w:jc w:val="left"/>
        <w:rPr/>
      </w:pPr>
      <w:r>
        <w:rPr/>
        <w:t>“</w:t>
      </w:r>
      <w:r>
        <w:rPr>
          <w:rFonts w:ascii="Times New Roman" w:hAnsi="Times New Roman"/>
          <w:sz w:val="20"/>
          <w:u w:val="single"/>
        </w:rPr>
        <w:t>Covered Entity</w:t>
      </w:r>
      <w:r>
        <w:rPr>
          <w:rFonts w:ascii="Times New Roman" w:hAnsi="Times New Roman"/>
          <w:sz w:val="20"/>
        </w:rPr>
        <w:t xml:space="preserve">” means (a) each Borrower-Related Party and each of its Subsidiaries, and (b) each Person that, directly or indirectly, controls a Person described in </w:t>
      </w:r>
      <w:r>
        <w:rPr>
          <w:rFonts w:ascii="Times New Roman" w:hAnsi="Times New Roman"/>
          <w:sz w:val="20"/>
          <w:u w:val="single"/>
        </w:rPr>
        <w:t>clause (a)</w:t>
      </w:r>
      <w:r>
        <w:rPr>
          <w:rFonts w:ascii="Times New Roman" w:hAnsi="Times New Roman"/>
          <w:sz w:val="20"/>
        </w:rPr>
        <w:t xml:space="preserve"> above. </w:t>
      </w:r>
    </w:p>
    <w:p>
      <w:pPr>
        <w:pStyle w:val="TextBody"/>
        <w:bidi w:val="0"/>
        <w:spacing w:before="240" w:after="0"/>
        <w:jc w:val="left"/>
        <w:rPr/>
      </w:pPr>
      <w:r>
        <w:rPr/>
        <w:t>“</w:t>
      </w:r>
      <w:r>
        <w:rPr>
          <w:rFonts w:ascii="Times New Roman" w:hAnsi="Times New Roman"/>
          <w:sz w:val="20"/>
          <w:u w:val="single"/>
        </w:rPr>
        <w:t>Credit Agreement</w:t>
      </w:r>
      <w:r>
        <w:rPr>
          <w:rFonts w:ascii="Times New Roman" w:hAnsi="Times New Roman"/>
          <w:sz w:val="20"/>
        </w:rPr>
        <w:t xml:space="preserve">” means that certain Fourth Amended and Restated Credit Agreement, dated as of February 6, 2020, by and among Lamar, as borrower, the additional subsidiary borrowers and subsidiary guarantors from time to time party thereto, the lenders from to time party thereto, and JPMorgan Chase Bank, N.A., as administrative agent, as the same may be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Credit and Collection Policy</w:t>
      </w:r>
      <w:r>
        <w:rPr>
          <w:rFonts w:ascii="Times New Roman" w:hAnsi="Times New Roman"/>
          <w:sz w:val="20"/>
        </w:rPr>
        <w:t xml:space="preserve">” means, as the context may require, those receivables credit and collection policies and practices of the Originators in effect on the Closing Date, a copy of which was delivered to the Administrative Agent on or prior to the Closing Date, as modified in compliance with this Agreement. </w:t>
      </w:r>
    </w:p>
    <w:p>
      <w:pPr>
        <w:pStyle w:val="TextBody"/>
        <w:bidi w:val="0"/>
        <w:spacing w:before="240" w:after="0"/>
        <w:jc w:val="left"/>
        <w:rPr/>
      </w:pPr>
      <w:r>
        <w:rPr/>
        <w:t>“</w:t>
      </w:r>
      <w:r>
        <w:rPr>
          <w:rFonts w:ascii="Times New Roman" w:hAnsi="Times New Roman"/>
          <w:sz w:val="20"/>
          <w:u w:val="single"/>
        </w:rPr>
        <w:t>Credit Extension</w:t>
      </w:r>
      <w:r>
        <w:rPr>
          <w:rFonts w:ascii="Times New Roman" w:hAnsi="Times New Roman"/>
          <w:sz w:val="20"/>
        </w:rPr>
        <w:t xml:space="preserve">” means the making of any Loan. </w:t>
      </w:r>
    </w:p>
    <w:p>
      <w:pPr>
        <w:pStyle w:val="TextBody"/>
        <w:bidi w:val="0"/>
        <w:spacing w:before="240" w:after="0"/>
        <w:jc w:val="left"/>
        <w:rPr/>
      </w:pPr>
      <w:r>
        <w:rPr/>
        <w:t>“</w:t>
      </w:r>
      <w:r>
        <w:rPr>
          <w:rFonts w:ascii="Times New Roman" w:hAnsi="Times New Roman"/>
          <w:sz w:val="20"/>
          <w:u w:val="single"/>
        </w:rPr>
        <w:t>Credit Party</w:t>
      </w:r>
      <w:r>
        <w:rPr>
          <w:rFonts w:ascii="Times New Roman" w:hAnsi="Times New Roman"/>
          <w:sz w:val="20"/>
        </w:rPr>
        <w:t xml:space="preserve">” means each Lender, the Structuring Agent, the Sustainability Agent and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Daily 1M SOFR</w:t>
      </w:r>
      <w:r>
        <w:rPr>
          <w:rFonts w:ascii="Times New Roman" w:hAnsi="Times New Roman"/>
          <w:sz w:val="20"/>
        </w:rPr>
        <w:t xml:space="preserve">” means, for any day, the rate per annum determined by PNC by dividing (the resulting quotient rounded upwards, at PNC’s discretion, to the nearest 1/100th of 1%) (a) the Term SOFR Reference Rate for such day for a one (1) month period, as published by the Term SOFR Administrator, by (b) a number equal to 1.00 minus the SOFR Reserve Percentage; </w:t>
      </w:r>
      <w:r>
        <w:rPr>
          <w:rFonts w:ascii="Times New Roman" w:hAnsi="Times New Roman"/>
          <w:sz w:val="20"/>
          <w:u w:val="single"/>
        </w:rPr>
        <w:t>provided</w:t>
      </w:r>
      <w:r>
        <w:rPr>
          <w:rFonts w:ascii="Times New Roman" w:hAnsi="Times New Roman"/>
          <w:sz w:val="20"/>
        </w:rPr>
        <w:t xml:space="preserve">, that if Daily 1M SOFR, determined as provided above, would be less than the SOFR Floor, then Daily 1M SOFR shall be deemed to be the SOFR Floor. The rate of interest will be adjusted automatically as of each Business Day based on changes in Daily 1M SOFR without notice to the Borrowers. </w:t>
      </w:r>
    </w:p>
    <w:p>
      <w:pPr>
        <w:pStyle w:val="TextBody"/>
        <w:bidi w:val="0"/>
        <w:spacing w:before="240" w:after="0"/>
        <w:jc w:val="left"/>
        <w:rPr/>
      </w:pPr>
      <w:r>
        <w:rPr/>
        <w:t>“</w:t>
      </w:r>
      <w:r>
        <w:rPr>
          <w:rFonts w:ascii="Times New Roman" w:hAnsi="Times New Roman"/>
          <w:sz w:val="20"/>
          <w:u w:val="single"/>
        </w:rPr>
        <w:t>Daily Simple SOFR</w:t>
      </w:r>
      <w:r>
        <w:rPr>
          <w:rFonts w:ascii="Times New Roman" w:hAnsi="Times New Roman"/>
          <w:sz w:val="20"/>
        </w:rPr>
        <w:t>” means, for any day (a “</w:t>
      </w:r>
      <w:r>
        <w:rPr>
          <w:rFonts w:ascii="Times New Roman" w:hAnsi="Times New Roman"/>
          <w:sz w:val="20"/>
          <w:u w:val="single"/>
        </w:rPr>
        <w:t>SOFR Rate Day</w:t>
      </w:r>
      <w:r>
        <w:rPr>
          <w:rFonts w:ascii="Times New Roman" w:hAnsi="Times New Roman"/>
          <w:sz w:val="20"/>
        </w:rPr>
        <w:t>”), the interest rate per annum determined by the Administrative Agent by dividing (the resulting quotient rounded upwards, at the Administrative Agent’s discretion, to the nearest 1/100th of 1%) (A) SOFR for the day (the “</w:t>
      </w:r>
      <w:r>
        <w:rPr>
          <w:rFonts w:ascii="Times New Roman" w:hAnsi="Times New Roman"/>
          <w:sz w:val="20"/>
          <w:u w:val="single"/>
        </w:rPr>
        <w:t>SOFR Determination Date</w:t>
      </w:r>
      <w:r>
        <w:rPr>
          <w:rFonts w:ascii="Times New Roman" w:hAnsi="Times New Roman"/>
          <w:sz w:val="20"/>
        </w:rPr>
        <w:t xml:space="preserve">”) that is 2 Business Days prior to (i) such SOFR Rate Day if such SOFR Rate Day is a Business Day or (ii) the Business Day immediately preceding such SOFR Rate Day if such SOFR Rate Day is not a Business Day, by (B) a number equal to 1.00 minus the SOFR Reserve Percentage, in each case, as such SOFR is published by the Federal Reserve Bank of New York (or a successor administrator of the secured overnight financing rate) on the website of the Federal Reserve Bank of New York, currently at http://www.newyorkfed.org, or any successor source identified by the Federal Reserve Bank of New York or its successor administrator for the secured overnight financing rate from time to time. If Daily Simple SOFR as determined above would be less than the SOFR Floor, then Daily Simple SOFR shall be deemed to be the SOFR Floor. If SOFR for any SOFR Determination Date has not been published or replaced with a Benchmark Replacement by 5:00 p.m. (Pittsburgh, Pennsylvania time) on the second Business Day immediately following such SOFR Determination Date, then SOFR for such SOFR Determination Date will be SOFR for the first Business Day preceding such SOFR Determination Date for which SOFR was published in accordance with the definition of “SOFR”; </w:t>
      </w:r>
      <w:r>
        <w:rPr>
          <w:rFonts w:ascii="Times New Roman" w:hAnsi="Times New Roman"/>
          <w:sz w:val="20"/>
          <w:u w:val="single"/>
        </w:rPr>
        <w:t>provided</w:t>
      </w:r>
      <w:r>
        <w:rPr>
          <w:rFonts w:ascii="Times New Roman" w:hAnsi="Times New Roman"/>
          <w:sz w:val="20"/>
        </w:rPr>
        <w:t xml:space="preserve"> that SOFR determined pursuant to this sentence shall be used for purposes of calculating Daily Simple SOFR for no more than 3 consecutive SOFR Rate Days. If and when Daily Simple SOFR as determined above changes, any applicable rate of interest based on Daily Simple SOFR will change automatically without notice to the Borrowers, effective on the date of any such change. </w:t>
      </w:r>
    </w:p>
    <w:p>
      <w:pPr>
        <w:pStyle w:val="TextBody"/>
        <w:bidi w:val="0"/>
        <w:spacing w:before="240" w:after="0"/>
        <w:jc w:val="left"/>
        <w:rPr/>
      </w:pPr>
      <w:r>
        <w:rPr/>
        <w:t>“</w:t>
      </w:r>
      <w:r>
        <w:rPr>
          <w:rFonts w:ascii="Times New Roman" w:hAnsi="Times New Roman"/>
          <w:sz w:val="20"/>
          <w:u w:val="single"/>
        </w:rPr>
        <w:t>Days’ Sales Outstanding</w:t>
      </w:r>
      <w:r>
        <w:rPr>
          <w:rFonts w:ascii="Times New Roman" w:hAnsi="Times New Roman"/>
          <w:sz w:val="20"/>
        </w:rPr>
        <w:t xml:space="preserve">” means, for any Fiscal Month, an amount computed as of the last day of such Fiscal Month equal to: (a) the average of the Outstanding Balance of all Pool Receivables (other than Unbilled Receivables) as of the last day of each of the three most recent Fiscal Months ended on the last day of such Fiscal Month, </w:t>
      </w:r>
      <w:r>
        <w:rPr>
          <w:rFonts w:ascii="Times New Roman" w:hAnsi="Times New Roman"/>
          <w:sz w:val="20"/>
          <w:u w:val="single"/>
        </w:rPr>
        <w:t>divided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(b) (i) the aggregate sales made by the Originators during the three most recent Fiscal Months ended on the last day of such Fiscal Month, </w:t>
      </w:r>
      <w:r>
        <w:rPr>
          <w:rFonts w:ascii="Times New Roman" w:hAnsi="Times New Roman"/>
          <w:sz w:val="20"/>
          <w:u w:val="single"/>
        </w:rPr>
        <w:t>divided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(ii) 90. </w:t>
      </w:r>
    </w:p>
    <w:p>
      <w:pPr>
        <w:pStyle w:val="TextBody"/>
        <w:bidi w:val="0"/>
        <w:spacing w:before="240" w:after="0"/>
        <w:jc w:val="left"/>
        <w:rPr/>
      </w:pPr>
      <w:r>
        <w:rPr/>
        <w:t>“</w:t>
      </w:r>
      <w:r>
        <w:rPr>
          <w:rFonts w:ascii="Times New Roman" w:hAnsi="Times New Roman"/>
          <w:sz w:val="20"/>
          <w:u w:val="single"/>
        </w:rPr>
        <w:t>Debt</w:t>
      </w:r>
      <w:r>
        <w:rPr>
          <w:rFonts w:ascii="Times New Roman" w:hAnsi="Times New Roman"/>
          <w:sz w:val="20"/>
        </w:rPr>
        <w:t xml:space="preserve">” means, as to any Person at any time of determination, any and all indebtedness, obligations or liabilities (whether matured or unmatured, liquidated or unliquidated, direct or indirect, absolute or contingent, or joint or several) of such Person for or in respect of: (i) borrowed money, (ii) amounts raised under or liabilities in respect of any bonds, debentures, notes, note purchase, acceptance or credit facility, or other similar instruments or facilities, (iii) reimbursement obligations (contingent or otherwise) under any letter of credit, (iv) any other transaction (including production payments (excluding royalties), installment purchase agreements, forward sale or purchase agreements, capitalized leases and conditional sales agreements) having the commercial effect of a borrowing of money entered into by such Person to finance its operations or capital requirements (but not including accounts payable incurred in the ordinary course of such Person’s business payable on terms customary in the trade), (v) all net obligations of such Person in respect of interest rate or currency hedges or (vi) any Guaranty of any such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Deemed Collections</w:t>
      </w:r>
      <w:r>
        <w:rPr>
          <w:rFonts w:ascii="Times New Roman" w:hAnsi="Times New Roman"/>
          <w:sz w:val="20"/>
        </w:rPr>
        <w:t xml:space="preserve">” has the meaning set forth in </w:t>
      </w:r>
      <w:r>
        <w:rPr>
          <w:rFonts w:ascii="Times New Roman" w:hAnsi="Times New Roman"/>
          <w:sz w:val="20"/>
          <w:u w:val="single"/>
        </w:rPr>
        <w:t>Section 4.01(d)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Default Ratio</w:t>
      </w:r>
      <w:r>
        <w:rPr>
          <w:rFonts w:ascii="Times New Roman" w:hAnsi="Times New Roman"/>
          <w:sz w:val="20"/>
        </w:rPr>
        <w:t xml:space="preserve">” means the ratio (expressed as a percentage and rounded to the nearest 1/100 of 1%, with 5/1000th of 1% rounded upward) computed as of the last day of each Fiscal Month by </w:t>
      </w:r>
      <w:r>
        <w:rPr>
          <w:rFonts w:ascii="Times New Roman" w:hAnsi="Times New Roman"/>
          <w:sz w:val="20"/>
          <w:u w:val="single"/>
        </w:rPr>
        <w:t>dividing</w:t>
      </w:r>
      <w:r>
        <w:rPr>
          <w:rFonts w:ascii="Times New Roman" w:hAnsi="Times New Roman"/>
          <w:sz w:val="20"/>
        </w:rPr>
        <w:t xml:space="preserve">: (a) the aggregate Outstanding Balance of all Pool Receivables that became Defaulted Receivables during such Fiscal Month, </w:t>
      </w:r>
      <w:r>
        <w:rPr>
          <w:rFonts w:ascii="Times New Roman" w:hAnsi="Times New Roman"/>
          <w:sz w:val="20"/>
          <w:u w:val="single"/>
        </w:rPr>
        <w:t>by</w:t>
      </w:r>
      <w:r>
        <w:rPr>
          <w:rFonts w:ascii="Times New Roman" w:hAnsi="Times New Roman"/>
          <w:sz w:val="20"/>
        </w:rPr>
        <w:t xml:space="preserve"> (b) the aggregate sales made by the Originators during the month that is seven (7) Fiscal Months before such Fiscal Month. </w:t>
      </w:r>
    </w:p>
    <w:p>
      <w:pPr>
        <w:pStyle w:val="TextBody"/>
        <w:bidi w:val="0"/>
        <w:spacing w:before="240" w:after="0"/>
        <w:jc w:val="left"/>
        <w:rPr/>
      </w:pPr>
      <w:r>
        <w:rPr/>
        <w:t>“</w:t>
      </w:r>
      <w:r>
        <w:rPr>
          <w:rFonts w:ascii="Times New Roman" w:hAnsi="Times New Roman"/>
          <w:sz w:val="20"/>
          <w:u w:val="single"/>
        </w:rPr>
        <w:t>Defaulted Receivable</w:t>
      </w:r>
      <w:r>
        <w:rPr>
          <w:rFonts w:ascii="Times New Roman" w:hAnsi="Times New Roman"/>
          <w:sz w:val="20"/>
        </w:rPr>
        <w:t xml:space="preserve">” means a Receivable: </w:t>
      </w:r>
    </w:p>
    <w:p>
      <w:pPr>
        <w:pStyle w:val="TextBody"/>
        <w:bidi w:val="0"/>
        <w:spacing w:before="120" w:after="0"/>
        <w:jc w:val="left"/>
        <w:rPr>
          <w:rFonts w:ascii="Times New Roman" w:hAnsi="Times New Roman"/>
          <w:sz w:val="20"/>
        </w:rPr>
      </w:pPr>
      <w:r>
        <w:rPr>
          <w:rFonts w:ascii="Times New Roman" w:hAnsi="Times New Roman"/>
          <w:sz w:val="20"/>
        </w:rPr>
        <w:t xml:space="preserve">(a) as to which any payment, or part thereof, remains unpaid for more than 180 days from the original due date for such payment; </w:t>
      </w:r>
    </w:p>
    <w:p>
      <w:pPr>
        <w:pStyle w:val="TextBody"/>
        <w:bidi w:val="0"/>
        <w:spacing w:before="120" w:after="0"/>
        <w:jc w:val="left"/>
        <w:rPr>
          <w:rFonts w:ascii="Times New Roman" w:hAnsi="Times New Roman"/>
          <w:sz w:val="20"/>
        </w:rPr>
      </w:pPr>
      <w:r>
        <w:rPr>
          <w:rFonts w:ascii="Times New Roman" w:hAnsi="Times New Roman"/>
          <w:sz w:val="20"/>
        </w:rPr>
        <w:t xml:space="preserve">(b) as to which an Insolvency Proceeding shall have occurred with respect to any Obligor thereof or any other Person obligated thereon or owning any Related Security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(c) that has been written off the applicable Originator’s or the applicable Borrower’s books as uncollectible; or </w:t>
      </w:r>
    </w:p>
    <w:p>
      <w:pPr>
        <w:pStyle w:val="TextBody"/>
        <w:bidi w:val="0"/>
        <w:spacing w:before="120" w:after="0"/>
        <w:jc w:val="left"/>
        <w:rPr>
          <w:rFonts w:ascii="Times New Roman" w:hAnsi="Times New Roman"/>
          <w:sz w:val="20"/>
        </w:rPr>
      </w:pPr>
      <w:r>
        <w:rPr>
          <w:rFonts w:ascii="Times New Roman" w:hAnsi="Times New Roman"/>
          <w:sz w:val="20"/>
        </w:rPr>
        <w:t xml:space="preserve">(d) that, consistent with the Credit and Collection Policy, should be written off the applicable Originator’s or the applicable Borrower’s books as uncollectible;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each case above such amount shall be calculated without giving effect to any netting of credits that have not been matched to a particular Receivable for the purposes of aged trial balance reporting. </w:t>
      </w:r>
    </w:p>
    <w:p>
      <w:pPr>
        <w:pStyle w:val="TextBody"/>
        <w:bidi w:val="0"/>
        <w:spacing w:before="240" w:after="0"/>
        <w:jc w:val="left"/>
        <w:rPr/>
      </w:pPr>
      <w:r>
        <w:rPr/>
        <w:t>“</w:t>
      </w:r>
      <w:r>
        <w:rPr>
          <w:rFonts w:ascii="Times New Roman" w:hAnsi="Times New Roman"/>
          <w:sz w:val="20"/>
          <w:u w:val="single"/>
        </w:rPr>
        <w:t>Defaulting Lender</w:t>
      </w:r>
      <w:r>
        <w:rPr>
          <w:rFonts w:ascii="Times New Roman" w:hAnsi="Times New Roman"/>
          <w:sz w:val="20"/>
        </w:rPr>
        <w:t xml:space="preserve">” means any Lender that (a) has failed, within two (2) Business Days of the date required to be funded or paid to (i) fund any portion of its Loans (or the Capital thereof) or (ii) pay over to any Credit Party any other amount required to be paid by it hereunder, unless, in the case of </w:t>
      </w:r>
      <w:r>
        <w:rPr>
          <w:rFonts w:ascii="Times New Roman" w:hAnsi="Times New Roman"/>
          <w:sz w:val="20"/>
          <w:u w:val="single"/>
        </w:rPr>
        <w:t>clause (i)</w:t>
      </w:r>
      <w:r>
        <w:rPr>
          <w:rFonts w:ascii="Times New Roman" w:hAnsi="Times New Roman"/>
          <w:sz w:val="20"/>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under this Agreement, provided that such Lender shall cease to be a Defaulting Lender pursuant to this </w:t>
      </w:r>
      <w:r>
        <w:rPr>
          <w:rFonts w:ascii="Times New Roman" w:hAnsi="Times New Roman"/>
          <w:sz w:val="20"/>
          <w:u w:val="single"/>
        </w:rPr>
        <w:t>clause (c)</w:t>
      </w:r>
      <w:r>
        <w:rPr>
          <w:rFonts w:ascii="Times New Roman" w:hAnsi="Times New Roman"/>
          <w:sz w:val="20"/>
        </w:rPr>
        <w:t xml:space="preserve"> upon such Credit Party’s receipt of such certification in form and substance satisfactory to it and the Administrative Agent, or (d) has become the subject of an Insolvency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Delinquency Ratio</w:t>
      </w:r>
      <w:r>
        <w:rPr>
          <w:rFonts w:ascii="Times New Roman" w:hAnsi="Times New Roman"/>
          <w:sz w:val="20"/>
        </w:rPr>
        <w:t xml:space="preserve">” means the ratio (expressed as a percentage and rounded to the nearest 1/100 of 1%, with 5/1000th of 1% rounded upward) computed as of the last day of each Fiscal Month by </w:t>
      </w:r>
      <w:r>
        <w:rPr>
          <w:rFonts w:ascii="Times New Roman" w:hAnsi="Times New Roman"/>
          <w:sz w:val="20"/>
          <w:u w:val="single"/>
        </w:rPr>
        <w:t>dividing</w:t>
      </w:r>
      <w:r>
        <w:rPr>
          <w:rFonts w:ascii="Times New Roman" w:hAnsi="Times New Roman"/>
          <w:sz w:val="20"/>
        </w:rPr>
        <w:t xml:space="preserve">: (a) the aggregate Outstanding Balance of all Pool Receivables that were Delinquent Receivables on such day, </w:t>
      </w:r>
      <w:r>
        <w:rPr>
          <w:rFonts w:ascii="Times New Roman" w:hAnsi="Times New Roman"/>
          <w:sz w:val="20"/>
          <w:u w:val="single"/>
        </w:rPr>
        <w:t>by</w:t>
      </w:r>
      <w:r>
        <w:rPr>
          <w:rFonts w:ascii="Times New Roman" w:hAnsi="Times New Roman"/>
          <w:sz w:val="20"/>
        </w:rPr>
        <w:t xml:space="preserve"> (b) the aggregate Outstanding Balance of all Pool Receivables on such day. </w:t>
      </w:r>
    </w:p>
    <w:p>
      <w:pPr>
        <w:pStyle w:val="TextBody"/>
        <w:bidi w:val="0"/>
        <w:spacing w:before="240" w:after="0"/>
        <w:jc w:val="left"/>
        <w:rPr/>
      </w:pPr>
      <w:r>
        <w:rPr/>
        <w:t>“</w:t>
      </w:r>
      <w:r>
        <w:rPr>
          <w:rFonts w:ascii="Times New Roman" w:hAnsi="Times New Roman"/>
          <w:sz w:val="20"/>
          <w:u w:val="single"/>
        </w:rPr>
        <w:t>Delinquent Receivable</w:t>
      </w:r>
      <w:r>
        <w:rPr>
          <w:rFonts w:ascii="Times New Roman" w:hAnsi="Times New Roman"/>
          <w:sz w:val="20"/>
        </w:rPr>
        <w:t xml:space="preserve">” means a Receivable as to which any payment, or part thereof, remains unpaid for more than </w:t>
      </w:r>
      <w:r>
        <w:rPr>
          <w:rFonts w:ascii="Times New Roman" w:hAnsi="Times New Roman"/>
          <w:strike/>
          <w:color w:val="FF0000"/>
          <w:sz w:val="20"/>
        </w:rPr>
        <w:t>120</w:t>
      </w:r>
      <w:r>
        <w:rPr>
          <w:rFonts w:ascii="Times New Roman" w:hAnsi="Times New Roman"/>
          <w:color w:val="0000FF"/>
          <w:sz w:val="20"/>
          <w:u w:val="single"/>
          <w:bdr w:val="double" w:sz="2" w:space="1" w:color="000000"/>
        </w:rPr>
        <w:t>150</w:t>
      </w:r>
      <w:r>
        <w:rPr>
          <w:rFonts w:ascii="Times New Roman" w:hAnsi="Times New Roman"/>
          <w:sz w:val="20"/>
        </w:rPr>
        <w:t xml:space="preserve"> days from the original due date for such payment;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amount shall be calculated without giving effect to any netting of credits that have not been matched to a particular Receivable for the purposes of aged trial balance reporting. </w:t>
      </w:r>
    </w:p>
    <w:p>
      <w:pPr>
        <w:pStyle w:val="TextBody"/>
        <w:bidi w:val="0"/>
        <w:spacing w:before="240" w:after="0"/>
        <w:jc w:val="left"/>
        <w:rPr/>
      </w:pPr>
      <w:r>
        <w:rPr/>
        <w:t>“</w:t>
      </w:r>
      <w:r>
        <w:rPr>
          <w:rFonts w:ascii="Times New Roman" w:hAnsi="Times New Roman"/>
          <w:sz w:val="20"/>
          <w:u w:val="single"/>
        </w:rPr>
        <w:t>Dilution Horizon Ratio</w:t>
      </w:r>
      <w:r>
        <w:rPr>
          <w:rFonts w:ascii="Times New Roman" w:hAnsi="Times New Roman"/>
          <w:sz w:val="20"/>
        </w:rPr>
        <w:t xml:space="preserve">” means, for any Fiscal Month, the ratio (expressed as a percentage and rounded to the nearest 1/100th of 1%, with 5/1000th of 1% rounded upward) computed as of the last day of such Fiscal Month by </w:t>
      </w:r>
      <w:r>
        <w:rPr>
          <w:rFonts w:ascii="Times New Roman" w:hAnsi="Times New Roman"/>
          <w:sz w:val="20"/>
          <w:u w:val="single"/>
        </w:rPr>
        <w:t>dividing</w:t>
      </w:r>
      <w:r>
        <w:rPr>
          <w:rFonts w:ascii="Times New Roman" w:hAnsi="Times New Roman"/>
          <w:sz w:val="20"/>
        </w:rPr>
        <w:t xml:space="preserve">: (a) the sum of (i) the aggregate sales made by the Originators during such Fiscal Month </w:t>
      </w:r>
      <w:r>
        <w:rPr>
          <w:rFonts w:ascii="Times New Roman" w:hAnsi="Times New Roman"/>
          <w:sz w:val="20"/>
          <w:u w:val="single"/>
        </w:rPr>
        <w:t>plus</w:t>
      </w:r>
      <w:r>
        <w:rPr>
          <w:rFonts w:ascii="Times New Roman" w:hAnsi="Times New Roman"/>
          <w:sz w:val="20"/>
        </w:rPr>
        <w:t xml:space="preserve"> (ii) the product of (x) 50.0%,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(y) the aggregate sales made by the Originators during the immediately preceding Fiscal Month, </w:t>
      </w:r>
      <w:r>
        <w:rPr>
          <w:rFonts w:ascii="Times New Roman" w:hAnsi="Times New Roman"/>
          <w:sz w:val="20"/>
          <w:u w:val="single"/>
        </w:rPr>
        <w:t>by</w:t>
      </w:r>
      <w:r>
        <w:rPr>
          <w:rFonts w:ascii="Times New Roman" w:hAnsi="Times New Roman"/>
          <w:sz w:val="20"/>
        </w:rPr>
        <w:t xml:space="preserve"> (b) the Net Receivables Pool Balance as of the last day of such Fiscal Month. Within thirty (30) days of the completion and the receipt by the Administrative Agent of the results of any annual audit or field exam of the Receivables and the servicing and origination practices of the Servicer and the Originators, the numerator of the Dilution Horizon Ratio may be adjusted by the Administrative Agent upon not less than five (5) Business Days’ notice to the Borrowers to reflect such number of Fiscal Months as the Administrative Agent reasonably believes best reflects the business practices of the Servicer and the Originators and the actual amount of dilution and Deemed Collections that occur with respect to Pool Receivables based on the weighted average dilution lag calculation completed as part of such audit or field exam. </w:t>
      </w:r>
    </w:p>
    <w:p>
      <w:pPr>
        <w:pStyle w:val="TextBody"/>
        <w:bidi w:val="0"/>
        <w:spacing w:before="240" w:after="0"/>
        <w:jc w:val="left"/>
        <w:rPr/>
      </w:pPr>
      <w:r>
        <w:rPr/>
        <w:t>“</w:t>
      </w:r>
      <w:r>
        <w:rPr>
          <w:rFonts w:ascii="Times New Roman" w:hAnsi="Times New Roman"/>
          <w:sz w:val="20"/>
          <w:u w:val="single"/>
        </w:rPr>
        <w:t>Dilution Ratio</w:t>
      </w:r>
      <w:r>
        <w:rPr>
          <w:rFonts w:ascii="Times New Roman" w:hAnsi="Times New Roman"/>
          <w:sz w:val="20"/>
        </w:rPr>
        <w:t xml:space="preserve">” means, for any Fiscal Month, the ratio (expressed as a percentage and rounded to the nearest 1/100th of 1%, with 5/1000th of 1% rounded upward), computed as of the last day of each Fiscal Month by </w:t>
      </w:r>
      <w:r>
        <w:rPr>
          <w:rFonts w:ascii="Times New Roman" w:hAnsi="Times New Roman"/>
          <w:sz w:val="20"/>
          <w:u w:val="single"/>
        </w:rPr>
        <w:t>dividing</w:t>
      </w:r>
      <w:r>
        <w:rPr>
          <w:rFonts w:ascii="Times New Roman" w:hAnsi="Times New Roman"/>
          <w:sz w:val="20"/>
        </w:rPr>
        <w:t xml:space="preserve">: (a) the aggregate amount of Deemed Collections during such Fiscal Month, </w:t>
      </w:r>
      <w:r>
        <w:rPr>
          <w:rFonts w:ascii="Times New Roman" w:hAnsi="Times New Roman"/>
          <w:sz w:val="20"/>
          <w:u w:val="single"/>
        </w:rPr>
        <w:t>by</w:t>
      </w:r>
      <w:r>
        <w:rPr>
          <w:rFonts w:ascii="Times New Roman" w:hAnsi="Times New Roman"/>
          <w:sz w:val="20"/>
        </w:rPr>
        <w:t xml:space="preserve"> (b) the aggregate sales made by the Originators during the Fiscal Month that is one month prior to such Fiscal Month. </w:t>
      </w:r>
    </w:p>
    <w:p>
      <w:pPr>
        <w:pStyle w:val="TextBody"/>
        <w:bidi w:val="0"/>
        <w:spacing w:before="240" w:after="0"/>
        <w:jc w:val="left"/>
        <w:rPr/>
      </w:pPr>
      <w:r>
        <w:rPr/>
        <w:t>“</w:t>
      </w:r>
      <w:r>
        <w:rPr>
          <w:rFonts w:ascii="Times New Roman" w:hAnsi="Times New Roman"/>
          <w:sz w:val="20"/>
          <w:u w:val="single"/>
        </w:rPr>
        <w:t>Dilution Reserve Percentage</w:t>
      </w:r>
      <w:r>
        <w:rPr>
          <w:rFonts w:ascii="Times New Roman" w:hAnsi="Times New Roman"/>
          <w:sz w:val="20"/>
        </w:rPr>
        <w:t xml:space="preserve">” means, at any time of determination, the product (expressed as a percentage and rounded to the nearest 1/100th of 1%, with 5/1000th of 1% rounded upward) of (a) the Dilution Horizon Ratio,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(b) the sum of (i) 2.25 times the average of the Dilution Ratios for the twelve most recent Fiscal Months and (ii) the Dilution Volatility Component. </w:t>
      </w:r>
    </w:p>
    <w:p>
      <w:pPr>
        <w:pStyle w:val="TextBody"/>
        <w:bidi w:val="0"/>
        <w:spacing w:before="240" w:after="0"/>
        <w:jc w:val="left"/>
        <w:rPr/>
      </w:pPr>
      <w:r>
        <w:rPr/>
        <w:t>“</w:t>
      </w:r>
      <w:r>
        <w:rPr>
          <w:rFonts w:ascii="Times New Roman" w:hAnsi="Times New Roman"/>
          <w:sz w:val="20"/>
          <w:u w:val="single"/>
        </w:rPr>
        <w:t>Dilution Volatility Component</w:t>
      </w:r>
      <w:r>
        <w:rPr>
          <w:rFonts w:ascii="Times New Roman" w:hAnsi="Times New Roman"/>
          <w:sz w:val="20"/>
        </w:rPr>
        <w:t xml:space="preserve">” means, for any Fiscal Month, the product (expressed as a percentage and rounded to the nearest 1/100th of 1%, with 5/1000th of 1% rounded upward) of: </w:t>
      </w:r>
    </w:p>
    <w:p>
      <w:pPr>
        <w:pStyle w:val="TextBody"/>
        <w:bidi w:val="0"/>
        <w:spacing w:before="120" w:after="0"/>
        <w:jc w:val="left"/>
        <w:rPr>
          <w:rFonts w:ascii="Times New Roman" w:hAnsi="Times New Roman"/>
          <w:sz w:val="20"/>
        </w:rPr>
      </w:pPr>
      <w:r>
        <w:rPr>
          <w:rFonts w:ascii="Times New Roman" w:hAnsi="Times New Roman"/>
          <w:sz w:val="20"/>
        </w:rPr>
        <w:t xml:space="preserve">(a) the positive difference, if any, between: (i) the highest Dilution Ratio for any Fiscal Month (excluding each Excluded Fiscal Month) during the twelve (12) most recent Fiscal Months and (ii) the arithmetic average of the Dilution Ratios for such twelve (12) Fiscal Months (which average shall be calculated excluding the Dilution Ratio for each Excluded Fiscal Month);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quotient of (i) the highest Dilution Ratio for any Fiscal Month (excluding each Excluded Fiscal Month) during the twelve (12) most recent Fiscal Months, </w:t>
      </w:r>
      <w:r>
        <w:rPr>
          <w:rFonts w:ascii="Times New Roman" w:hAnsi="Times New Roman"/>
          <w:sz w:val="20"/>
          <w:u w:val="single"/>
        </w:rPr>
        <w:t>divided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(ii) the arithmetic average of the Dilution Ratios for such twelve (12) Fiscal Months (which average shall be calculated excluding the Dilution Ratio for each Excluded Fiscal Month). </w:t>
      </w:r>
    </w:p>
    <w:p>
      <w:pPr>
        <w:pStyle w:val="TextBody"/>
        <w:bidi w:val="0"/>
        <w:spacing w:before="240" w:after="0"/>
        <w:jc w:val="left"/>
        <w:rPr/>
      </w:pPr>
      <w:r>
        <w:rPr/>
        <w:t>“</w:t>
      </w:r>
      <w:r>
        <w:rPr>
          <w:rFonts w:ascii="Times New Roman" w:hAnsi="Times New Roman"/>
          <w:sz w:val="20"/>
          <w:u w:val="single"/>
        </w:rPr>
        <w:t>Dollars</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each mean the lawful currency of the United States of America. </w:t>
      </w:r>
    </w:p>
    <w:p>
      <w:pPr>
        <w:pStyle w:val="TextBody"/>
        <w:bidi w:val="0"/>
        <w:spacing w:before="240" w:after="0"/>
        <w:jc w:val="left"/>
        <w:rPr/>
      </w:pPr>
      <w:r>
        <w:rPr/>
        <w:t>“</w:t>
      </w:r>
      <w:r>
        <w:rPr>
          <w:rFonts w:ascii="Times New Roman" w:hAnsi="Times New Roman"/>
          <w:sz w:val="20"/>
          <w:u w:val="single"/>
        </w:rPr>
        <w:t>Eligible Assignee</w:t>
      </w:r>
      <w:r>
        <w:rPr>
          <w:rFonts w:ascii="Times New Roman" w:hAnsi="Times New Roman"/>
          <w:sz w:val="20"/>
        </w:rPr>
        <w:t xml:space="preserve">” means (i) any Lender or any of its Affiliates, (ii) any Person managed by a Lender or any of its Affiliates and (iii) any other financial or other institution; </w:t>
      </w:r>
      <w:r>
        <w:rPr>
          <w:rFonts w:ascii="Times New Roman" w:hAnsi="Times New Roman"/>
          <w:sz w:val="20"/>
          <w:u w:val="single"/>
        </w:rPr>
        <w:t>provided</w:t>
      </w:r>
      <w:r>
        <w:rPr>
          <w:rFonts w:ascii="Times New Roman" w:hAnsi="Times New Roman"/>
          <w:sz w:val="20"/>
        </w:rPr>
        <w:t xml:space="preserve">, that no Defaulting Lender shall be an “Eligible Assignee.” </w:t>
      </w:r>
    </w:p>
    <w:p>
      <w:pPr>
        <w:pStyle w:val="TextBody"/>
        <w:bidi w:val="0"/>
        <w:spacing w:before="240" w:after="0"/>
        <w:jc w:val="left"/>
        <w:rPr/>
      </w:pPr>
      <w:r>
        <w:rPr>
          <w:color w:val="0000FF"/>
          <w:u w:val="single"/>
          <w:bdr w:val="double" w:sz="2" w:space="1" w:color="000000"/>
        </w:rPr>
        <w:t>“</w:t>
      </w:r>
      <w:r>
        <w:rPr/>
        <w:t xml:space="preserve"> </w:t>
      </w:r>
      <w:r>
        <w:rPr>
          <w:rFonts w:ascii="Times New Roman" w:hAnsi="Times New Roman"/>
          <w:color w:val="0000FF"/>
          <w:sz w:val="20"/>
          <w:u w:val="single"/>
          <w:bdr w:val="double" w:sz="2" w:space="1" w:color="000000"/>
        </w:rPr>
        <w:t>Eligible Extended Terms Receivable” means, any Pool Receivable that has a due date which is more than 30 days after the original invoice date of such Receivable.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Eligible Foreign Obligor</w:t>
      </w:r>
      <w:r>
        <w:rPr>
          <w:rFonts w:ascii="Times New Roman" w:hAnsi="Times New Roman"/>
          <w:sz w:val="20"/>
        </w:rPr>
        <w:t xml:space="preserve">” means an Obligor which is neither a U.S. Obligor nor a Sanctioned Person. </w:t>
      </w:r>
    </w:p>
    <w:p>
      <w:pPr>
        <w:pStyle w:val="TextBody"/>
        <w:bidi w:val="0"/>
        <w:spacing w:before="240" w:after="0"/>
        <w:jc w:val="left"/>
        <w:rPr/>
      </w:pPr>
      <w:r>
        <w:rPr/>
        <w:t>“</w:t>
      </w:r>
      <w:r>
        <w:rPr>
          <w:rFonts w:ascii="Times New Roman" w:hAnsi="Times New Roman"/>
          <w:sz w:val="20"/>
          <w:u w:val="single"/>
        </w:rPr>
        <w:t>Eligible Receivable</w:t>
      </w:r>
      <w:r>
        <w:rPr>
          <w:rFonts w:ascii="Times New Roman" w:hAnsi="Times New Roman"/>
          <w:sz w:val="20"/>
        </w:rPr>
        <w:t xml:space="preserve">” means, at any time of determination, a Pool Receivable: </w:t>
      </w:r>
    </w:p>
    <w:p>
      <w:pPr>
        <w:pStyle w:val="TextBody"/>
        <w:bidi w:val="0"/>
        <w:spacing w:before="120" w:after="0"/>
        <w:jc w:val="left"/>
        <w:rPr>
          <w:rFonts w:ascii="Times New Roman" w:hAnsi="Times New Roman"/>
          <w:sz w:val="20"/>
        </w:rPr>
      </w:pPr>
      <w:r>
        <w:rPr>
          <w:rFonts w:ascii="Times New Roman" w:hAnsi="Times New Roman"/>
          <w:sz w:val="20"/>
        </w:rPr>
        <w:t xml:space="preserve">(a) each Obligor of which is: (i) either a U.S. Obligor or an Eligible Foreign Obligor; (ii) not a Sanctioned Person; (iii) not subject to any Insolvency Proceeding; (iv) not an Affiliate of any Lamar Party; (v) not the Obligor with respect to Delinquent Receivables with an aggregate Outstanding Balance exceeding 50% of the aggregate Outstanding Balance of all such Obligor’s Pool Receivables; (vi) not a natural person; and (vii) not a material supplier to any Originator or an Affiliate of a material supplier; </w:t>
      </w:r>
    </w:p>
    <w:p>
      <w:pPr>
        <w:pStyle w:val="TextBody"/>
        <w:bidi w:val="0"/>
        <w:spacing w:before="120" w:after="0"/>
        <w:jc w:val="left"/>
        <w:rPr>
          <w:rFonts w:ascii="Times New Roman" w:hAnsi="Times New Roman"/>
          <w:sz w:val="20"/>
        </w:rPr>
      </w:pPr>
      <w:r>
        <w:rPr>
          <w:rFonts w:ascii="Times New Roman" w:hAnsi="Times New Roman"/>
          <w:sz w:val="20"/>
        </w:rPr>
        <w:t xml:space="preserve">(b) for which an Insolvency Proceeding shall not have occurred with respect to the Obligor thereof or any other Person obligated thereon or owning any Related Security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(c) that is denominated and payable only in Dollars in the United States of America, and each Obligor with respect to which has been instructed to remit Collections in respect thereof directly to (i) a Lock-Box or Collection Account in the United States of America or (ii) so long as the Mail-Box Eligibility Condition is then satisfied, a Mail-Box in the United States of America; </w:t>
      </w:r>
    </w:p>
    <w:p>
      <w:pPr>
        <w:pStyle w:val="TextBody"/>
        <w:bidi w:val="0"/>
        <w:spacing w:before="120" w:after="0"/>
        <w:jc w:val="left"/>
        <w:rPr>
          <w:rFonts w:ascii="Times New Roman" w:hAnsi="Times New Roman"/>
          <w:sz w:val="20"/>
        </w:rPr>
      </w:pPr>
      <w:r>
        <w:rPr>
          <w:rFonts w:ascii="Times New Roman" w:hAnsi="Times New Roman"/>
          <w:sz w:val="20"/>
        </w:rPr>
        <w:t xml:space="preserve">(d) that does not have a due date which is more than </w:t>
      </w:r>
      <w:r>
        <w:rPr>
          <w:rFonts w:ascii="Times New Roman" w:hAnsi="Times New Roman"/>
          <w:strike/>
          <w:color w:val="FF0000"/>
          <w:sz w:val="20"/>
        </w:rPr>
        <w:t>30</w:t>
      </w:r>
      <w:r>
        <w:rPr>
          <w:rFonts w:ascii="Times New Roman" w:hAnsi="Times New Roman"/>
          <w:color w:val="0000FF"/>
          <w:sz w:val="20"/>
          <w:u w:val="single"/>
          <w:bdr w:val="double" w:sz="2" w:space="1" w:color="000000"/>
        </w:rPr>
        <w:t>120</w:t>
      </w:r>
      <w:r>
        <w:rPr>
          <w:rFonts w:ascii="Times New Roman" w:hAnsi="Times New Roman"/>
          <w:sz w:val="20"/>
        </w:rPr>
        <w:t xml:space="preserve"> days after the original invoice date of such Receivable; </w:t>
      </w:r>
    </w:p>
    <w:p>
      <w:pPr>
        <w:pStyle w:val="TextBody"/>
        <w:bidi w:val="0"/>
        <w:spacing w:before="120" w:after="0"/>
        <w:jc w:val="left"/>
        <w:rPr>
          <w:rFonts w:ascii="Times New Roman" w:hAnsi="Times New Roman"/>
          <w:sz w:val="20"/>
        </w:rPr>
      </w:pPr>
      <w:r>
        <w:rPr>
          <w:rFonts w:ascii="Times New Roman" w:hAnsi="Times New Roman"/>
          <w:sz w:val="20"/>
        </w:rPr>
        <w:t xml:space="preserve">(e) that (i) arises under a Contract for the sale of goods or services in the ordinary course of the applicable Originator’s business and (ii) does not constitute a loan or other similar financial accommodation being provided by the applicable Originator;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that arises under a duly authorized Contract that (i) is in full force and effect, (ii) is governed by the law of the United States of America or of any State thereof, (iii) is a legal, valid and binding obligation of (A) the related Advertiser Obligor and (B) to the extent such Receivable is an Agency Receivable, the related Agency Obligor, in each case as applicable, enforceable against such Obligor in accordance with its terms, except as such enforceability may be limited by applicable bankruptcy, insolvency, reorganization or other similar laws affecting the enforcement of creditors’ rights generally and by general principles of equity regardless of whether enforceability is considered in a proceeding in equity or at law and (iv) the payments thereunder are free and clear of any withholding Taxes; </w:t>
      </w:r>
    </w:p>
    <w:p>
      <w:pPr>
        <w:pStyle w:val="TextBody"/>
        <w:bidi w:val="0"/>
        <w:spacing w:before="120" w:after="0"/>
        <w:jc w:val="left"/>
        <w:rPr>
          <w:rFonts w:ascii="Times New Roman" w:hAnsi="Times New Roman"/>
          <w:sz w:val="20"/>
        </w:rPr>
      </w:pPr>
      <w:r>
        <w:rPr>
          <w:rFonts w:ascii="Times New Roman" w:hAnsi="Times New Roman"/>
          <w:sz w:val="20"/>
        </w:rPr>
        <w:t xml:space="preserve">(g) that does not arise under a Contract as to which any rights (including, without limitation, rights to payment) have been assigned to, or are subject to assignment by, any third party (other than in accordance with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(h) that has been transferred by an Originator to a Borrower pursuant to a Purchase and Sale Agreement with respect to which transfer all conditions precedent under the Purchase and Sale Agreement have been met; </w:t>
      </w:r>
    </w:p>
    <w:p>
      <w:pPr>
        <w:pStyle w:val="TextBody"/>
        <w:bidi w:val="0"/>
        <w:spacing w:before="120" w:after="0"/>
        <w:jc w:val="left"/>
        <w:rPr>
          <w:rFonts w:ascii="Times New Roman" w:hAnsi="Times New Roman"/>
          <w:sz w:val="20"/>
        </w:rPr>
      </w:pPr>
      <w:r>
        <w:rPr>
          <w:rFonts w:ascii="Times New Roman" w:hAnsi="Times New Roman"/>
          <w:sz w:val="20"/>
        </w:rPr>
        <w:t xml:space="preserve">(i) that, together with the Contract related thereto, conforms in all material respects with all Applicable Laws (including any applicable laws relating to usury, truth in lending, fair credit billing, fair credit reporting, equal credit opportunity, fair debt collection practices and privacy); </w:t>
      </w:r>
    </w:p>
    <w:p>
      <w:pPr>
        <w:pStyle w:val="TextBody"/>
        <w:bidi w:val="0"/>
        <w:spacing w:before="120" w:after="0"/>
        <w:jc w:val="left"/>
        <w:rPr>
          <w:rFonts w:ascii="Times New Roman" w:hAnsi="Times New Roman"/>
          <w:sz w:val="20"/>
        </w:rPr>
      </w:pPr>
      <w:r>
        <w:rPr>
          <w:rFonts w:ascii="Times New Roman" w:hAnsi="Times New Roman"/>
          <w:sz w:val="20"/>
        </w:rPr>
        <w:t xml:space="preserve">(j) with respect to which all material consents, licenses, approvals or authorizations of, or registrations or declarations with or notices to, any Governmental Authority or other Person required to be obtained, effected or given by an Originator in connection with the creation of such Receivable, the execution, delivery and performance by such Originator of the related Contract or the assignment thereof under the applicable Purchase and Sale Agreement have been duly obtained, effected or given and are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(k) that is not subject to any existing dispute, right of rescission, set-off, counterclaim, any other defense against the applicable Originator (or any assignee of such Originator) or Adverse Claim, and no Obligor of which holds any right as against the applicable Originator to cause such Originator to repurchase the goods or merchandise, the sale of which shall have given rise to such Receivable; </w:t>
      </w:r>
    </w:p>
    <w:p>
      <w:pPr>
        <w:pStyle w:val="TextBody"/>
        <w:bidi w:val="0"/>
        <w:spacing w:before="120" w:after="0"/>
        <w:jc w:val="left"/>
        <w:rPr>
          <w:rFonts w:ascii="Times New Roman" w:hAnsi="Times New Roman"/>
          <w:sz w:val="20"/>
        </w:rPr>
      </w:pPr>
      <w:r>
        <w:rPr>
          <w:rFonts w:ascii="Times New Roman" w:hAnsi="Times New Roman"/>
          <w:sz w:val="20"/>
        </w:rPr>
        <w:t xml:space="preserve">(l) that satisfies all applicable requirements of the Credit and Collection Policy; </w:t>
      </w:r>
    </w:p>
    <w:p>
      <w:pPr>
        <w:pStyle w:val="TextBody"/>
        <w:bidi w:val="0"/>
        <w:spacing w:before="120" w:after="0"/>
        <w:jc w:val="left"/>
        <w:rPr>
          <w:rFonts w:ascii="Times New Roman" w:hAnsi="Times New Roman"/>
          <w:sz w:val="20"/>
        </w:rPr>
      </w:pPr>
      <w:r>
        <w:rPr>
          <w:rFonts w:ascii="Times New Roman" w:hAnsi="Times New Roman"/>
          <w:sz w:val="20"/>
        </w:rPr>
        <w:t xml:space="preserve">(m) that, together with the Contract related thereto, has not been modified, waived or restructured since its creation, except as permitted pursuant to </w:t>
      </w:r>
      <w:r>
        <w:rPr>
          <w:rFonts w:ascii="Times New Roman" w:hAnsi="Times New Roman"/>
          <w:sz w:val="20"/>
          <w:u w:val="single"/>
        </w:rPr>
        <w:t>Section 9.02</w:t>
      </w:r>
      <w:r>
        <w:rPr>
          <w:rFonts w:ascii="Times New Roman" w:hAnsi="Times New Roman"/>
          <w:sz w:val="20"/>
        </w:rPr>
        <w:t xml:space="preserv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(n) in which a Borrower owns good and marketable title, free and clear of any Adverse Claims, and that is freely assignable (including without any consent of any related Obligor or any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(o) for which the Administrative Agent (on behalf of the Secured Parties) shall have a valid and enforceable first priority perfected security interest therein and in the Related Security and Collections with respect thereto, in each case free and clear of any Adverse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that (x) constitutes an “account” or “general intangible” (as defined in the UCC), (y) is not evidenced by instruments or chattel paper and (z) does not constitute, or arise from the sale of, as-extracted collateral (as defined in the UCC); </w:t>
      </w:r>
    </w:p>
    <w:p>
      <w:pPr>
        <w:pStyle w:val="TextBody"/>
        <w:bidi w:val="0"/>
        <w:spacing w:before="120" w:after="0"/>
        <w:jc w:val="left"/>
        <w:rPr>
          <w:rFonts w:ascii="Times New Roman" w:hAnsi="Times New Roman"/>
          <w:sz w:val="20"/>
        </w:rPr>
      </w:pPr>
      <w:r>
        <w:rPr>
          <w:rFonts w:ascii="Times New Roman" w:hAnsi="Times New Roman"/>
          <w:sz w:val="20"/>
        </w:rPr>
        <w:t xml:space="preserve">(q) that is neither a Defaulted Receivable nor a Delinquent Receivable; </w:t>
      </w:r>
    </w:p>
    <w:p>
      <w:pPr>
        <w:pStyle w:val="TextBody"/>
        <w:bidi w:val="0"/>
        <w:spacing w:before="120" w:after="0"/>
        <w:jc w:val="left"/>
        <w:rPr>
          <w:rFonts w:ascii="Times New Roman" w:hAnsi="Times New Roman"/>
          <w:sz w:val="20"/>
        </w:rPr>
      </w:pPr>
      <w:r>
        <w:rPr>
          <w:rFonts w:ascii="Times New Roman" w:hAnsi="Times New Roman"/>
          <w:sz w:val="20"/>
        </w:rPr>
        <w:t xml:space="preserve">(r) for which no Originator, no Borrower, the Parent, the Performance Guarantor or the Servicer has established any offset or netting arrangements (including customer deposits and advance payments (including payments relating to unearned revenues)) with any related Obligor in connection with the ordinary course of payment of such Receivable; </w:t>
      </w:r>
    </w:p>
    <w:p>
      <w:pPr>
        <w:pStyle w:val="TextBody"/>
        <w:bidi w:val="0"/>
        <w:spacing w:before="120" w:after="0"/>
        <w:jc w:val="left"/>
        <w:rPr>
          <w:rFonts w:ascii="Times New Roman" w:hAnsi="Times New Roman"/>
          <w:sz w:val="20"/>
        </w:rPr>
      </w:pPr>
      <w:r>
        <w:rPr>
          <w:rFonts w:ascii="Times New Roman" w:hAnsi="Times New Roman"/>
          <w:sz w:val="20"/>
        </w:rPr>
        <w:t xml:space="preserve">(s) that represents amounts earned and payable by each related Obligor that either (i) constitute Eligible Unperformed Receivables or (ii) are not subject to the performance of additional services by the Originator thereof or by the related Borrower and the related goods or merchandise shall have been shipped and/or services performed, other than, in the case of an Eligible Unbilled Receivable, the billing or invoicing of such Receivable; </w:t>
      </w:r>
    </w:p>
    <w:p>
      <w:pPr>
        <w:pStyle w:val="TextBody"/>
        <w:bidi w:val="0"/>
        <w:spacing w:before="120" w:after="0"/>
        <w:jc w:val="left"/>
        <w:rPr>
          <w:rFonts w:ascii="Times New Roman" w:hAnsi="Times New Roman"/>
          <w:sz w:val="20"/>
        </w:rPr>
      </w:pPr>
      <w:r>
        <w:rPr>
          <w:rFonts w:ascii="Times New Roman" w:hAnsi="Times New Roman"/>
          <w:sz w:val="20"/>
        </w:rPr>
        <w:t xml:space="preserve">(t) which (i) does not arise from a sale of accounts made as part of a sale of a business or constitute an assignment for the purpose of collection only, (ii) is not a transfer of a single account made in whole or partial satisfaction of a preexisting indebtedness or an assignment of a right to payment under a contract to an assignee that is also obligated to perform under the contract and (iii) is not a transfer of an interest in or an assignment of a claim under a policy of insurance; </w:t>
      </w:r>
    </w:p>
    <w:p>
      <w:pPr>
        <w:pStyle w:val="TextBody"/>
        <w:bidi w:val="0"/>
        <w:spacing w:before="120" w:after="0"/>
        <w:jc w:val="left"/>
        <w:rPr>
          <w:rFonts w:ascii="Times New Roman" w:hAnsi="Times New Roman"/>
          <w:sz w:val="20"/>
        </w:rPr>
      </w:pPr>
      <w:r>
        <w:rPr>
          <w:rFonts w:ascii="Times New Roman" w:hAnsi="Times New Roman"/>
          <w:sz w:val="20"/>
        </w:rPr>
        <w:t xml:space="preserve">(u) which does not relate to the sale of any consigned goods or finished goods which have incorporated any consigned goods into such finished goods; </w:t>
      </w:r>
    </w:p>
    <w:p>
      <w:pPr>
        <w:pStyle w:val="TextBody"/>
        <w:bidi w:val="0"/>
        <w:spacing w:before="240" w:after="0"/>
        <w:jc w:val="left"/>
        <w:rPr>
          <w:rFonts w:ascii="Times New Roman" w:hAnsi="Times New Roman"/>
          <w:sz w:val="20"/>
        </w:rPr>
      </w:pPr>
      <w:r>
        <w:rPr>
          <w:rFonts w:ascii="Times New Roman" w:hAnsi="Times New Roman"/>
          <w:sz w:val="20"/>
        </w:rPr>
        <w:t xml:space="preserve">(v) for which the related Originator has recognized the related revenue on its financial books and records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(w) which represents all or part of the sales price or other right to payment in connection with the provision by an Originator of advertising space on out-of-home advertising structures and sites in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(x) for which neither the related Originator nor any Affiliate thereof is holding any deposits received by or on behalf of any related Obligor; </w:t>
      </w:r>
      <w:r>
        <w:rPr>
          <w:rFonts w:ascii="Times New Roman" w:hAnsi="Times New Roman"/>
          <w:sz w:val="20"/>
          <w:u w:val="single"/>
        </w:rPr>
        <w:t>provided</w:t>
      </w:r>
      <w:r>
        <w:rPr>
          <w:rFonts w:ascii="Times New Roman" w:hAnsi="Times New Roman"/>
          <w:sz w:val="20"/>
        </w:rPr>
        <w:t xml:space="preserve">, that only the portion of such Pool Receivable in an amount equal to such deposits shall be ineligible; </w:t>
      </w:r>
    </w:p>
    <w:p>
      <w:pPr>
        <w:pStyle w:val="TextBody"/>
        <w:bidi w:val="0"/>
        <w:spacing w:before="120" w:after="0"/>
        <w:jc w:val="left"/>
        <w:rPr>
          <w:rFonts w:ascii="Times New Roman" w:hAnsi="Times New Roman"/>
          <w:sz w:val="20"/>
        </w:rPr>
      </w:pPr>
      <w:r>
        <w:rPr>
          <w:rFonts w:ascii="Times New Roman" w:hAnsi="Times New Roman"/>
          <w:sz w:val="20"/>
        </w:rPr>
        <w:t xml:space="preserve">(y) that, if such Receivable is an Unbilled Receivable, is an Eligible Unbilled Receivable; and </w:t>
      </w:r>
    </w:p>
    <w:p>
      <w:pPr>
        <w:pStyle w:val="TextBody"/>
        <w:bidi w:val="0"/>
        <w:spacing w:before="120" w:after="0"/>
        <w:jc w:val="left"/>
        <w:rPr>
          <w:rFonts w:ascii="Times New Roman" w:hAnsi="Times New Roman"/>
          <w:sz w:val="20"/>
        </w:rPr>
      </w:pPr>
      <w:r>
        <w:rPr>
          <w:rFonts w:ascii="Times New Roman" w:hAnsi="Times New Roman"/>
          <w:sz w:val="20"/>
        </w:rPr>
        <w:t xml:space="preserve">(z) for which the related invoice does not include any Excluded Receivable. </w:t>
      </w:r>
    </w:p>
    <w:p>
      <w:pPr>
        <w:pStyle w:val="TextBody"/>
        <w:bidi w:val="0"/>
        <w:spacing w:before="240" w:after="0"/>
        <w:jc w:val="left"/>
        <w:rPr/>
      </w:pPr>
      <w:r>
        <w:rPr/>
        <w:t>“</w:t>
      </w:r>
      <w:r>
        <w:rPr>
          <w:rFonts w:ascii="Times New Roman" w:hAnsi="Times New Roman"/>
          <w:sz w:val="20"/>
          <w:u w:val="single"/>
        </w:rPr>
        <w:t>Eligible Unbilled Receivable</w:t>
      </w:r>
      <w:r>
        <w:rPr>
          <w:rFonts w:ascii="Times New Roman" w:hAnsi="Times New Roman"/>
          <w:sz w:val="20"/>
        </w:rPr>
        <w:t xml:space="preserve">” means, at any time, any Unbilled Receivable if (a) the related Originator has recognized the related revenue on its financial books and records under GAAP, and (b) not more than thirty (30) days have expired since the date such Unbilled Receivable arose.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Eligible Unperformed Receivable</w:t>
      </w:r>
      <w:r>
        <w:rPr>
          <w:rFonts w:ascii="Times New Roman" w:hAnsi="Times New Roman"/>
          <w:sz w:val="20"/>
        </w:rPr>
        <w:t xml:space="preserve">” means, at any time of determination, any Unperformed Receivable for which (a) all obligations of the related Originator with respect to such Unperformed Receivable have been fully performed (including the posting of the relating advertisement), other than the maintenance of the posting of the related advertisement for the entire period of time required under the related Contract, (b) the related Contract has not been cancelled (and no notice of cancellation has been delivered to any Lamar Party) and no Obligor with respect to the related Contract is permitted thereunder or otherwise to cancel such Unperformed Receivable with less than 60 days’ notice to the related Originator, (c) the related Originator reasonably believes that it will be able to perform all of its obligations with respect to such Unperformed Receivable under and in accordance with the related Contract, (d) the related Originator has recognized a portion of the related revenue on its financial books and records in accordance with GAAP and (e) the related Originator is not required to maintain the posting of the related advertisement for such Unperformed Receivable for a period of time in excess of 30 days before such Unperformed Receivable will cease constituting an Unperformed Receivable.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from time to time, and any rule or regulation issued thereunder.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with respect to any Person, any corporation, trade or business which together with the Person is a member of a controlled group of corporations or a controlled group of trades or businesses and would be deemed a “single employer” within the meaning of Sections 414(b), (c) or (m) of the Code or Section 4001(b) of ERISA. </w:t>
      </w:r>
    </w:p>
    <w:p>
      <w:pPr>
        <w:pStyle w:val="TextBody"/>
        <w:bidi w:val="0"/>
        <w:spacing w:before="240" w:after="0"/>
        <w:jc w:val="left"/>
        <w:rPr/>
      </w:pPr>
      <w:r>
        <w:rPr/>
        <w:t>“</w:t>
      </w:r>
      <w:r>
        <w:rPr>
          <w:rFonts w:ascii="Times New Roman" w:hAnsi="Times New Roman"/>
          <w:sz w:val="20"/>
          <w:u w:val="single"/>
        </w:rPr>
        <w:t>Erroneous Payment</w:t>
      </w:r>
      <w:r>
        <w:rPr>
          <w:rFonts w:ascii="Times New Roman" w:hAnsi="Times New Roman"/>
          <w:sz w:val="20"/>
        </w:rPr>
        <w:t>” has the meaning assigned to it in Section</w:t>
      </w:r>
      <w:r>
        <w:rPr>
          <w:rFonts w:ascii="Times New Roman" w:hAnsi="Times New Roman"/>
          <w:sz w:val="20"/>
          <w:u w:val="single"/>
        </w:rPr>
        <w:t> 11.11(a)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Erroneous Payment Deficiency Assignment</w:t>
      </w:r>
      <w:r>
        <w:rPr>
          <w:rFonts w:ascii="Times New Roman" w:hAnsi="Times New Roman"/>
          <w:sz w:val="20"/>
        </w:rPr>
        <w:t xml:space="preserve">” has the meaning assigned to it in </w:t>
      </w:r>
      <w:r>
        <w:rPr>
          <w:rFonts w:ascii="Times New Roman" w:hAnsi="Times New Roman"/>
          <w:sz w:val="20"/>
          <w:u w:val="single"/>
        </w:rPr>
        <w:t>Section 11.11(d)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Erroneous Payment Return Deficiency</w:t>
      </w:r>
      <w:r>
        <w:rPr>
          <w:rFonts w:ascii="Times New Roman" w:hAnsi="Times New Roman"/>
          <w:sz w:val="20"/>
        </w:rPr>
        <w:t xml:space="preserve">” has the meaning assigned to it in </w:t>
      </w:r>
      <w:r>
        <w:rPr>
          <w:rFonts w:ascii="Times New Roman" w:hAnsi="Times New Roman"/>
          <w:sz w:val="20"/>
          <w:u w:val="single"/>
        </w:rPr>
        <w:t>Section 11.11(d)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Erroneous Payment Subrogation Rights</w:t>
      </w:r>
      <w:r>
        <w:rPr>
          <w:rFonts w:ascii="Times New Roman" w:hAnsi="Times New Roman"/>
          <w:sz w:val="20"/>
        </w:rPr>
        <w:t xml:space="preserve">” has the meaning assigned to it in </w:t>
      </w:r>
      <w:r>
        <w:rPr>
          <w:rFonts w:ascii="Times New Roman" w:hAnsi="Times New Roman"/>
          <w:sz w:val="20"/>
          <w:u w:val="single"/>
        </w:rPr>
        <w:t>Section 11.11(d)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ESG Certificate</w:t>
      </w:r>
      <w:r>
        <w:rPr>
          <w:rFonts w:ascii="Times New Roman" w:hAnsi="Times New Roman"/>
          <w:sz w:val="20"/>
        </w:rPr>
        <w:t xml:space="preserve">” has the meaning set forth in </w:t>
      </w:r>
      <w:r>
        <w:rPr>
          <w:rFonts w:ascii="Times New Roman" w:hAnsi="Times New Roman"/>
          <w:sz w:val="20"/>
          <w:u w:val="single"/>
        </w:rPr>
        <w:t>Section 8.02(u)</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ESG Margin Effective Date</w:t>
      </w:r>
      <w:r>
        <w:rPr>
          <w:rFonts w:ascii="Times New Roman" w:hAnsi="Times New Roman"/>
          <w:sz w:val="20"/>
        </w:rPr>
        <w:t xml:space="preserve">” means the date (if any) mutually agreed to by the Borrowers, the Servicer, the Administrative Agent, the Sustainability Agent and the Majority Lenders. </w:t>
      </w:r>
    </w:p>
    <w:p>
      <w:pPr>
        <w:pStyle w:val="TextBody"/>
        <w:bidi w:val="0"/>
        <w:spacing w:before="240" w:after="0"/>
        <w:jc w:val="left"/>
        <w:rPr/>
      </w:pPr>
      <w:r>
        <w:rPr/>
        <w:t>“</w:t>
      </w:r>
      <w:r>
        <w:rPr>
          <w:rFonts w:ascii="Times New Roman" w:hAnsi="Times New Roman"/>
          <w:sz w:val="20"/>
          <w:u w:val="single"/>
        </w:rPr>
        <w:t>ESG Reporting Month</w:t>
      </w:r>
      <w:r>
        <w:rPr>
          <w:rFonts w:ascii="Times New Roman" w:hAnsi="Times New Roman"/>
          <w:sz w:val="20"/>
        </w:rPr>
        <w:t xml:space="preserve">” has the meaning set forth in </w:t>
      </w:r>
      <w:r>
        <w:rPr>
          <w:rFonts w:ascii="Times New Roman" w:hAnsi="Times New Roman"/>
          <w:sz w:val="20"/>
          <w:u w:val="single"/>
        </w:rPr>
        <w:t>Section 8.02(u)</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has the meaning specified in </w:t>
      </w:r>
      <w:r>
        <w:rPr>
          <w:rFonts w:ascii="Times New Roman" w:hAnsi="Times New Roman"/>
          <w:sz w:val="20"/>
          <w:u w:val="single"/>
        </w:rPr>
        <w:t>Section 10.01</w:t>
      </w:r>
      <w:r>
        <w:rPr>
          <w:rFonts w:ascii="Times New Roman" w:hAnsi="Times New Roman"/>
          <w:sz w:val="20"/>
        </w:rPr>
        <w:t xml:space="preserve">. For the avoidance of doubt, any Event of Default that occurs shall be deemed to be continuing at all times thereafter unless and until waived in accordance with </w:t>
      </w:r>
      <w:r>
        <w:rPr>
          <w:rFonts w:ascii="Times New Roman" w:hAnsi="Times New Roman"/>
          <w:sz w:val="20"/>
          <w:u w:val="single"/>
        </w:rPr>
        <w:t>Section 14.01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Excess Concentration</w:t>
      </w:r>
      <w:r>
        <w:rPr>
          <w:rFonts w:ascii="Times New Roman" w:hAnsi="Times New Roman"/>
          <w:sz w:val="20"/>
        </w:rPr>
        <w:t xml:space="preserve">” means the sum of the following amounts,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the sum of the amounts calculated for each of the Applicable Obligors equal to the excess (if any) of (i) the aggregate Outstanding Balance of the Eligible Receivables of such Applicable Obligor, </w:t>
      </w:r>
      <w:r>
        <w:rPr>
          <w:rFonts w:ascii="Times New Roman" w:hAnsi="Times New Roman"/>
          <w:sz w:val="20"/>
          <w:u w:val="single"/>
        </w:rPr>
        <w:t>over</w:t>
      </w:r>
      <w:r>
        <w:rPr>
          <w:rFonts w:ascii="Times New Roman" w:hAnsi="Times New Roman"/>
          <w:sz w:val="20"/>
        </w:rPr>
        <w:t xml:space="preserve"> (ii) the product of (x) such Applicable Obligor’s Concentration Percentage,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(y) the aggregate Outstanding Balance of all Eligible Receivables then in the Receivables Pool;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excess (if any) of (i) the aggregate Outstanding Balance of all Eligible Receivables that have remained unpaid for more than 60 days but less than 91 days after the original due date of such Receivable, </w:t>
      </w:r>
      <w:r>
        <w:rPr>
          <w:rFonts w:ascii="Times New Roman" w:hAnsi="Times New Roman"/>
          <w:sz w:val="20"/>
          <w:u w:val="single"/>
        </w:rPr>
        <w:t>over</w:t>
      </w:r>
      <w:r>
        <w:rPr>
          <w:rFonts w:ascii="Times New Roman" w:hAnsi="Times New Roman"/>
          <w:sz w:val="20"/>
        </w:rPr>
        <w:t xml:space="preserve"> (ii) the product of (x) 30.0%,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(y) the aggregate sales made by the Originators during the month that is three (3) Fiscal Months before the then-current Fiscal Month as of the date of determination;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the excess (if any) of (i) the aggregate Outstanding Balance of all Eligible Receivables that have remained unpaid for more than 90 days but less than 121 days after the original due date of such Receivable, </w:t>
      </w:r>
      <w:r>
        <w:rPr>
          <w:rFonts w:ascii="Times New Roman" w:hAnsi="Times New Roman"/>
          <w:sz w:val="20"/>
          <w:u w:val="single"/>
        </w:rPr>
        <w:t>over</w:t>
      </w:r>
      <w:r>
        <w:rPr>
          <w:rFonts w:ascii="Times New Roman" w:hAnsi="Times New Roman"/>
          <w:sz w:val="20"/>
        </w:rPr>
        <w:t xml:space="preserve"> (ii) the product of (x) 15.0%, </w:t>
      </w:r>
      <w:r>
        <w:rPr>
          <w:rFonts w:ascii="Times New Roman" w:hAnsi="Times New Roman"/>
          <w:sz w:val="20"/>
          <w:u w:val="single"/>
        </w:rPr>
        <w:t>multiplied by</w:t>
      </w:r>
      <w:r>
        <w:rPr>
          <w:rFonts w:ascii="Times New Roman" w:hAnsi="Times New Roman"/>
          <w:sz w:val="20"/>
        </w:rPr>
        <w:t xml:space="preserve"> (y) the aggregate sales made by the Originators during the month that is four (4) Fiscal Months before the then-current Fiscal Month as of the date of determination;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the excess (if any) of (i) the aggregate Outstanding Balance of all Eligible Receivables that are Unbilled Receivables, </w:t>
      </w:r>
      <w:r>
        <w:rPr>
          <w:rFonts w:ascii="Times New Roman" w:hAnsi="Times New Roman"/>
          <w:sz w:val="20"/>
          <w:u w:val="single"/>
        </w:rPr>
        <w:t>over</w:t>
      </w:r>
      <w:r>
        <w:rPr>
          <w:rFonts w:ascii="Times New Roman" w:hAnsi="Times New Roman"/>
          <w:sz w:val="20"/>
        </w:rPr>
        <w:t xml:space="preserve"> (ii) the product of (x) 10.0%, </w:t>
      </w:r>
      <w:r>
        <w:rPr>
          <w:rFonts w:ascii="Times New Roman" w:hAnsi="Times New Roman"/>
          <w:sz w:val="20"/>
          <w:u w:val="single"/>
        </w:rPr>
        <w:t>multiplied by</w:t>
      </w:r>
      <w:r>
        <w:rPr>
          <w:rFonts w:ascii="Times New Roman" w:hAnsi="Times New Roman"/>
          <w:sz w:val="20"/>
        </w:rPr>
        <w:t xml:space="preserve"> (y) the aggregate Outstanding Balance of all Eligible Receivables then in the Receivables Pool;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the excess (if any) of (i) the aggregate Outstanding Balance of all Eligible Receivables, any Obligor of which is a Governmental Authority, </w:t>
      </w:r>
      <w:r>
        <w:rPr>
          <w:rFonts w:ascii="Times New Roman" w:hAnsi="Times New Roman"/>
          <w:sz w:val="20"/>
          <w:u w:val="single"/>
        </w:rPr>
        <w:t>over</w:t>
      </w:r>
      <w:r>
        <w:rPr>
          <w:rFonts w:ascii="Times New Roman" w:hAnsi="Times New Roman"/>
          <w:sz w:val="20"/>
        </w:rPr>
        <w:t xml:space="preserve"> (ii) the product of (x) 2.0%,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(y) the aggregate Outstanding Balance of all Eligible Receivables then in the Receivables Pool;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the excess (if any) of (i) the aggregate Outstanding Balance of all Eligible Receivables, any Obligor of which is an Eligible Foreign Obligor, </w:t>
      </w:r>
      <w:r>
        <w:rPr>
          <w:rFonts w:ascii="Times New Roman" w:hAnsi="Times New Roman"/>
          <w:sz w:val="20"/>
          <w:u w:val="single"/>
        </w:rPr>
        <w:t>over</w:t>
      </w:r>
      <w:r>
        <w:rPr>
          <w:rFonts w:ascii="Times New Roman" w:hAnsi="Times New Roman"/>
          <w:sz w:val="20"/>
        </w:rPr>
        <w:t xml:space="preserve"> (ii) the product of (x) 2.0%, </w:t>
      </w:r>
      <w:r>
        <w:rPr>
          <w:rFonts w:ascii="Times New Roman" w:hAnsi="Times New Roman"/>
          <w:sz w:val="20"/>
          <w:u w:val="single"/>
        </w:rPr>
        <w:t>multiplied by</w:t>
      </w:r>
      <w:r>
        <w:rPr>
          <w:rFonts w:ascii="Times New Roman" w:hAnsi="Times New Roman"/>
          <w:sz w:val="20"/>
        </w:rPr>
        <w:t xml:space="preserve"> (y) the aggregate Outstanding Balance of all Eligible Receivables then in the Receivables Pool;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the excess (if any) of (i) the aggregate Outstanding Balance of all Eligible Receivables that are Unperformed Receivables, </w:t>
      </w:r>
      <w:r>
        <w:rPr>
          <w:rFonts w:ascii="Times New Roman" w:hAnsi="Times New Roman"/>
          <w:sz w:val="20"/>
          <w:u w:val="single"/>
        </w:rPr>
        <w:t>over</w:t>
      </w:r>
      <w:r>
        <w:rPr>
          <w:rFonts w:ascii="Times New Roman" w:hAnsi="Times New Roman"/>
          <w:sz w:val="20"/>
        </w:rPr>
        <w:t xml:space="preserve"> (ii) the product of (x) 45.0%, </w:t>
      </w:r>
      <w:r>
        <w:rPr>
          <w:rFonts w:ascii="Times New Roman" w:hAnsi="Times New Roman"/>
          <w:sz w:val="20"/>
          <w:u w:val="single"/>
        </w:rPr>
        <w:t>multiplied by</w:t>
      </w:r>
      <w:r>
        <w:rPr>
          <w:rFonts w:ascii="Times New Roman" w:hAnsi="Times New Roman"/>
          <w:sz w:val="20"/>
        </w:rPr>
        <w:t xml:space="preserve"> (y) the aggregate Outstanding Balance of all Eligible Receivables then in the Receivables Pool;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during the continuance of a Ratings Event Level II the Administrative Agent may, upon ten (10) Business Days’ prior notice to the Borrowers, reduce the percentage in </w:t>
      </w:r>
      <w:r>
        <w:rPr>
          <w:rFonts w:ascii="Times New Roman" w:hAnsi="Times New Roman"/>
          <w:sz w:val="20"/>
          <w:u w:val="single"/>
        </w:rPr>
        <w:t>clause (ii)(x)</w:t>
      </w:r>
      <w:r>
        <w:rPr>
          <w:rFonts w:ascii="Times New Roman" w:hAnsi="Times New Roman"/>
          <w:sz w:val="20"/>
        </w:rPr>
        <w:t xml:space="preserve"> above to 22.5%</w:t>
      </w:r>
      <w:r>
        <w:rPr>
          <w:rFonts w:ascii="Times New Roman" w:hAnsi="Times New Roman"/>
          <w:strike/>
          <w:color w:val="FF0000"/>
          <w:sz w:val="20"/>
        </w:rPr>
        <w:t>.</w:t>
      </w:r>
      <w:r>
        <w:rPr>
          <w:rFonts w:ascii="Times New Roman" w:hAnsi="Times New Roman"/>
          <w:color w:val="0000FF"/>
          <w:sz w:val="20"/>
          <w:u w:val="single"/>
          <w:bdr w:val="double" w:sz="2" w:space="1" w:color="000000"/>
        </w:rPr>
        <w:t>; 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(h) the excess (if any) of (i) the aggregate Outstanding Balance of all Eligible Receivables that are Eligible Extended Terms Receivables, over (ii) the product of (x) 5.0%, multiplied by (y) the aggregate Outstanding Balance of all Eligible Receivables then in the Receivables Pool; 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(i) the excess (if any) of (i) the aggregate Outstanding Balance of all Eligible Receivables that have remained unpaid for more than 121 days but less than 150 days after the original due date of such Receivable, over (ii) the product of (x) 15.0%, multiplied by (y) the aggregate sales made by the Originators during the month that is five (5) Fiscal Months before the then-current Fiscal Month as of the date of determination.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as amended or otherwise modified from time to time. </w:t>
      </w:r>
    </w:p>
    <w:p>
      <w:pPr>
        <w:pStyle w:val="TextBody"/>
        <w:bidi w:val="0"/>
        <w:spacing w:before="240" w:after="0"/>
        <w:jc w:val="left"/>
        <w:rPr/>
      </w:pPr>
      <w:r>
        <w:rPr/>
        <w:t>“</w:t>
      </w:r>
      <w:r>
        <w:rPr>
          <w:rFonts w:ascii="Times New Roman" w:hAnsi="Times New Roman"/>
          <w:sz w:val="20"/>
          <w:u w:val="single"/>
        </w:rPr>
        <w:t>Excluded Fiscal Month</w:t>
      </w:r>
      <w:r>
        <w:rPr>
          <w:rFonts w:ascii="Times New Roman" w:hAnsi="Times New Roman"/>
          <w:sz w:val="20"/>
        </w:rPr>
        <w:t xml:space="preserve">” means each of April 2020, May 2020 and June 2020. </w:t>
      </w:r>
    </w:p>
    <w:p>
      <w:pPr>
        <w:pStyle w:val="TextBody"/>
        <w:bidi w:val="0"/>
        <w:spacing w:before="240" w:after="0"/>
        <w:jc w:val="left"/>
        <w:rPr/>
      </w:pPr>
      <w:r>
        <w:rPr/>
        <w:t>“</w:t>
      </w:r>
      <w:r>
        <w:rPr>
          <w:rFonts w:ascii="Times New Roman" w:hAnsi="Times New Roman"/>
          <w:sz w:val="20"/>
          <w:u w:val="single"/>
        </w:rPr>
        <w:t>Excluded Obligor</w:t>
      </w:r>
      <w:r>
        <w:rPr>
          <w:rFonts w:ascii="Times New Roman" w:hAnsi="Times New Roman"/>
          <w:sz w:val="20"/>
        </w:rPr>
        <w:t xml:space="preserve">” means any obligor that is engaged in the manufacture, distribution, or dispensing of cannabis or any Schedule I Controlled Substance (within the meaning of 21 CFR 1308). </w:t>
      </w:r>
    </w:p>
    <w:p>
      <w:pPr>
        <w:pStyle w:val="TextBody"/>
        <w:bidi w:val="0"/>
        <w:spacing w:before="240" w:after="0"/>
        <w:jc w:val="left"/>
        <w:rPr/>
      </w:pPr>
      <w:r>
        <w:rPr/>
        <w:t>“</w:t>
      </w:r>
      <w:r>
        <w:rPr>
          <w:rFonts w:ascii="Times New Roman" w:hAnsi="Times New Roman"/>
          <w:sz w:val="20"/>
          <w:u w:val="single"/>
        </w:rPr>
        <w:t>Excluded Receivable</w:t>
      </w:r>
      <w:r>
        <w:rPr>
          <w:rFonts w:ascii="Times New Roman" w:hAnsi="Times New Roman"/>
          <w:sz w:val="20"/>
        </w:rPr>
        <w:t xml:space="preserve">” means any Receivable (as defined without giving effect to the </w:t>
      </w:r>
      <w:r>
        <w:rPr>
          <w:rFonts w:ascii="Times New Roman" w:hAnsi="Times New Roman"/>
          <w:i/>
          <w:sz w:val="20"/>
        </w:rPr>
        <w:t>proviso</w:t>
      </w:r>
      <w:r>
        <w:rPr>
          <w:rFonts w:ascii="Times New Roman" w:hAnsi="Times New Roman"/>
          <w:sz w:val="20"/>
        </w:rPr>
        <w:t xml:space="preserve"> in the definition thereof) that is owing by an Excluded Obligor. </w:t>
      </w:r>
    </w:p>
    <w:p>
      <w:pPr>
        <w:pStyle w:val="TextBody"/>
        <w:bidi w:val="0"/>
        <w:spacing w:before="240" w:after="0"/>
        <w:jc w:val="left"/>
        <w:rPr/>
      </w:pPr>
      <w:r>
        <w:rPr/>
        <w:t>“</w:t>
      </w:r>
      <w:r>
        <w:rPr>
          <w:rFonts w:ascii="Times New Roman" w:hAnsi="Times New Roman"/>
          <w:sz w:val="20"/>
          <w:u w:val="single"/>
        </w:rPr>
        <w:t>Excluded Taxes</w:t>
      </w:r>
      <w:r>
        <w:rPr>
          <w:rFonts w:ascii="Times New Roman" w:hAnsi="Times New Roman"/>
          <w:sz w:val="20"/>
        </w:rPr>
        <w:t xml:space="preserve">” means any of the following Taxes imposed on or with respect to an Affected Person or required to be withheld or deducted from a payment to an Affected Person: (a) Taxes imposed on or measured by net income (however denominated), franchise Taxes and branch profits Taxes, in each case, (i) imposed as a result of such Affected Person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the Loans or Commitment pursuant to a law in effect on the date on which (i) such Lender makes a Loan or its Commitment or (ii) such Lender changes its lending office, except in each case to the extent that amounts with respect to such Taxes were payable either to such Lender’s assignor immediately before such Lender became a party hereto or to such Lender immediately before it changed its lending office, (c) Taxes attributable to such Affected Person’s failure to comply with </w:t>
      </w:r>
      <w:r>
        <w:rPr>
          <w:rFonts w:ascii="Times New Roman" w:hAnsi="Times New Roman"/>
          <w:sz w:val="20"/>
          <w:u w:val="single"/>
        </w:rPr>
        <w:t>Section 5.03(f)</w:t>
      </w:r>
      <w:r>
        <w:rPr>
          <w:rFonts w:ascii="Times New Roman" w:hAnsi="Times New Roman"/>
          <w:sz w:val="20"/>
        </w:rPr>
        <w:t xml:space="preserve"> and (d) any U.S. federal withholding Taxes imposed pursuant to FATCA. </w:t>
      </w:r>
    </w:p>
    <w:p>
      <w:pPr>
        <w:pStyle w:val="TextBody"/>
        <w:bidi w:val="0"/>
        <w:spacing w:before="240" w:after="0"/>
        <w:jc w:val="left"/>
        <w:rPr/>
      </w:pPr>
      <w:r>
        <w:rPr/>
        <w:t>“</w:t>
      </w:r>
      <w:r>
        <w:rPr>
          <w:rFonts w:ascii="Times New Roman" w:hAnsi="Times New Roman"/>
          <w:sz w:val="20"/>
          <w:u w:val="single"/>
        </w:rPr>
        <w:t>Exiting Lender</w:t>
      </w:r>
      <w:r>
        <w:rPr>
          <w:rFonts w:ascii="Times New Roman" w:hAnsi="Times New Roman"/>
          <w:sz w:val="20"/>
        </w:rPr>
        <w:t xml:space="preserve">” has the meaning set forth in </w:t>
      </w:r>
      <w:r>
        <w:rPr>
          <w:rFonts w:ascii="Times New Roman" w:hAnsi="Times New Roman"/>
          <w:sz w:val="20"/>
          <w:u w:val="single"/>
        </w:rPr>
        <w:t>Section 2.02(h)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Facility Limit</w:t>
      </w:r>
      <w:r>
        <w:rPr>
          <w:rFonts w:ascii="Times New Roman" w:hAnsi="Times New Roman"/>
          <w:sz w:val="20"/>
        </w:rPr>
        <w:t xml:space="preserve">” means, $250,000,000, as reduced or increased from time to time pursuant to the terms hereof. References to the unused portion of the Facility Limit shall mean, at any time of determination, an amount equal to (x) the Facility Limit at such time, </w:t>
      </w:r>
      <w:r>
        <w:rPr>
          <w:rFonts w:ascii="Times New Roman" w:hAnsi="Times New Roman"/>
          <w:sz w:val="20"/>
          <w:u w:val="single"/>
        </w:rPr>
        <w:t>minus</w:t>
      </w:r>
      <w:r>
        <w:rPr>
          <w:rFonts w:ascii="Times New Roman" w:hAnsi="Times New Roman"/>
          <w:sz w:val="20"/>
        </w:rPr>
        <w:t xml:space="preserve"> (y) the Aggregate Capital at such time. </w:t>
      </w:r>
    </w:p>
    <w:p>
      <w:pPr>
        <w:pStyle w:val="TextBody"/>
        <w:bidi w:val="0"/>
        <w:spacing w:before="240" w:after="0"/>
        <w:jc w:val="left"/>
        <w:rPr/>
      </w:pPr>
      <w:r>
        <w:rPr/>
        <w:t>“</w:t>
      </w:r>
      <w:r>
        <w:rPr>
          <w:rFonts w:ascii="Times New Roman" w:hAnsi="Times New Roman"/>
          <w:sz w:val="20"/>
          <w:u w:val="single"/>
        </w:rPr>
        <w:t>FATCA</w:t>
      </w:r>
      <w:r>
        <w:rPr>
          <w:rFonts w:ascii="Times New Roman" w:hAnsi="Times New Roman"/>
          <w:sz w:val="20"/>
        </w:rPr>
        <w:t xml:space="preserve">”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any applicable intergovernmental agreement entered into between the United States and any other Governmental Authority in connection with the implementation of the foregoing and any fiscal or regulatory legislation, rules or official practices adopted pursuant to any such intergovernmental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Federal Reserve Board</w:t>
      </w:r>
      <w:r>
        <w:rPr>
          <w:rFonts w:ascii="Times New Roman" w:hAnsi="Times New Roman"/>
          <w:sz w:val="20"/>
        </w:rPr>
        <w:t xml:space="preserve">” means the Board of Governors of the Federal Reserve System, or any entity succeeding to any of its principal functions. </w:t>
      </w:r>
    </w:p>
    <w:p>
      <w:pPr>
        <w:pStyle w:val="TextBody"/>
        <w:bidi w:val="0"/>
        <w:spacing w:before="240" w:after="0"/>
        <w:jc w:val="left"/>
        <w:rPr/>
      </w:pPr>
      <w:r>
        <w:rPr/>
        <w:t>“</w:t>
      </w:r>
      <w:r>
        <w:rPr>
          <w:rFonts w:ascii="Times New Roman" w:hAnsi="Times New Roman"/>
          <w:sz w:val="20"/>
          <w:u w:val="single"/>
        </w:rPr>
        <w:t>Fee Letter</w:t>
      </w:r>
      <w:r>
        <w:rPr>
          <w:rFonts w:ascii="Times New Roman" w:hAnsi="Times New Roman"/>
          <w:sz w:val="20"/>
        </w:rPr>
        <w:t xml:space="preserve">” has the meaning specified in </w:t>
      </w:r>
      <w:r>
        <w:rPr>
          <w:rFonts w:ascii="Times New Roman" w:hAnsi="Times New Roman"/>
          <w:sz w:val="20"/>
          <w:u w:val="single"/>
        </w:rPr>
        <w:t>Section 2.03(a)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Fees</w:t>
      </w:r>
      <w:r>
        <w:rPr>
          <w:rFonts w:ascii="Times New Roman" w:hAnsi="Times New Roman"/>
          <w:sz w:val="20"/>
        </w:rPr>
        <w:t xml:space="preserve">” has the meaning specified in </w:t>
      </w:r>
      <w:r>
        <w:rPr>
          <w:rFonts w:ascii="Times New Roman" w:hAnsi="Times New Roman"/>
          <w:sz w:val="20"/>
          <w:u w:val="single"/>
        </w:rPr>
        <w:t>Section 2.03(a)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Fifth Amendment Effective Date</w:t>
      </w:r>
      <w:r>
        <w:rPr>
          <w:rFonts w:ascii="Times New Roman" w:hAnsi="Times New Roman"/>
          <w:sz w:val="20"/>
        </w:rPr>
        <w:t xml:space="preserve">” means May 24, 2021. </w:t>
      </w:r>
    </w:p>
    <w:p>
      <w:pPr>
        <w:pStyle w:val="TextBody"/>
        <w:bidi w:val="0"/>
        <w:spacing w:before="240" w:after="0"/>
        <w:jc w:val="left"/>
        <w:rPr/>
      </w:pPr>
      <w:r>
        <w:rPr/>
        <w:t>“</w:t>
      </w:r>
      <w:r>
        <w:rPr>
          <w:rFonts w:ascii="Times New Roman" w:hAnsi="Times New Roman"/>
          <w:sz w:val="20"/>
          <w:u w:val="single"/>
        </w:rPr>
        <w:t>Final Maturity Date</w:t>
      </w:r>
      <w:r>
        <w:rPr>
          <w:rFonts w:ascii="Times New Roman" w:hAnsi="Times New Roman"/>
          <w:sz w:val="20"/>
        </w:rPr>
        <w:t xml:space="preserve">” means the date that (i) is one hundred eighty (180) days following the Termination Date or (ii) such earlier date on which the Aggregate Capital and all other Borrower Obligations become due and payable pursuant to </w:t>
      </w:r>
      <w:r>
        <w:rPr>
          <w:rFonts w:ascii="Times New Roman" w:hAnsi="Times New Roman"/>
          <w:sz w:val="20"/>
          <w:u w:val="single"/>
        </w:rPr>
        <w:t>Section 10.01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Final Payout Date</w:t>
      </w:r>
      <w:r>
        <w:rPr>
          <w:rFonts w:ascii="Times New Roman" w:hAnsi="Times New Roman"/>
          <w:sz w:val="20"/>
        </w:rPr>
        <w:t xml:space="preserve">” means the date on or after the Termination Date when (i) the Aggregate Capital and Aggregate Interest have been paid in full, (ii) all Borrower Obligations shall have been paid in full, (iii) all other amounts owing to the Credit Parties and any other Borrower Indemnified Party or Affected Person hereunder and under the other Transaction Documents have been paid in full and (iv) all accrued Servicing Fees have been paid in full. </w:t>
      </w:r>
    </w:p>
    <w:p>
      <w:pPr>
        <w:pStyle w:val="TextBody"/>
        <w:bidi w:val="0"/>
        <w:spacing w:before="240" w:after="0"/>
        <w:jc w:val="left"/>
        <w:rPr/>
      </w:pPr>
      <w:r>
        <w:rPr/>
        <w:t>“</w:t>
      </w:r>
      <w:r>
        <w:rPr>
          <w:rFonts w:ascii="Times New Roman" w:hAnsi="Times New Roman"/>
          <w:sz w:val="20"/>
          <w:u w:val="single"/>
        </w:rPr>
        <w:t>Financial Covenant Event</w:t>
      </w:r>
      <w:r>
        <w:rPr>
          <w:rFonts w:ascii="Times New Roman" w:hAnsi="Times New Roman"/>
          <w:sz w:val="20"/>
        </w:rPr>
        <w:t xml:space="preserve">” shall be deemed to have occurred if, at any time, the Secured Debt Ratio exceeds 4.50 to 1.00. </w:t>
      </w:r>
    </w:p>
    <w:p>
      <w:pPr>
        <w:pStyle w:val="TextBody"/>
        <w:bidi w:val="0"/>
        <w:spacing w:before="240" w:after="0"/>
        <w:jc w:val="left"/>
        <w:rPr/>
      </w:pPr>
      <w:r>
        <w:rPr/>
        <w:t>“</w:t>
      </w:r>
      <w:r>
        <w:rPr>
          <w:rFonts w:ascii="Times New Roman" w:hAnsi="Times New Roman"/>
          <w:sz w:val="20"/>
          <w:u w:val="single"/>
        </w:rPr>
        <w:t>Financial Officer</w:t>
      </w:r>
      <w:r>
        <w:rPr>
          <w:rFonts w:ascii="Times New Roman" w:hAnsi="Times New Roman"/>
          <w:sz w:val="20"/>
        </w:rPr>
        <w:t xml:space="preserve">” of any Person means, the chief executive officer, the chief financial officer, the chief accounting officer, the principal accounting officer, the controller, the treasurer or the assistant treasurer of such Person. </w:t>
      </w:r>
    </w:p>
    <w:p>
      <w:pPr>
        <w:pStyle w:val="TextBody"/>
        <w:bidi w:val="0"/>
        <w:spacing w:before="240" w:after="0"/>
        <w:jc w:val="left"/>
        <w:rPr/>
      </w:pPr>
      <w:r>
        <w:rPr/>
        <w:t>“</w:t>
      </w:r>
      <w:r>
        <w:rPr>
          <w:rFonts w:ascii="Times New Roman" w:hAnsi="Times New Roman"/>
          <w:sz w:val="20"/>
          <w:u w:val="single"/>
        </w:rPr>
        <w:t>First Amendment Effective Date</w:t>
      </w:r>
      <w:r>
        <w:rPr>
          <w:rFonts w:ascii="Times New Roman" w:hAnsi="Times New Roman"/>
          <w:sz w:val="20"/>
        </w:rPr>
        <w:t xml:space="preserve">” means February 6, 2020. </w:t>
      </w:r>
    </w:p>
    <w:p>
      <w:pPr>
        <w:pStyle w:val="TextBody"/>
        <w:bidi w:val="0"/>
        <w:spacing w:before="240" w:after="0"/>
        <w:jc w:val="left"/>
        <w:rPr/>
      </w:pPr>
      <w:r>
        <w:rPr/>
        <w:t>“</w:t>
      </w:r>
      <w:r>
        <w:rPr>
          <w:rFonts w:ascii="Times New Roman" w:hAnsi="Times New Roman"/>
          <w:sz w:val="20"/>
          <w:u w:val="single"/>
        </w:rPr>
        <w:t>Fiscal Month</w:t>
      </w:r>
      <w:r>
        <w:rPr>
          <w:rFonts w:ascii="Times New Roman" w:hAnsi="Times New Roman"/>
          <w:sz w:val="20"/>
        </w:rPr>
        <w:t xml:space="preserve">” means each calendar month. </w:t>
      </w:r>
    </w:p>
    <w:p>
      <w:pPr>
        <w:pStyle w:val="TextBody"/>
        <w:bidi w:val="0"/>
        <w:spacing w:before="240" w:after="0"/>
        <w:jc w:val="left"/>
        <w:rPr/>
      </w:pPr>
      <w:r>
        <w:rPr/>
        <w:t>“</w:t>
      </w:r>
      <w:r>
        <w:rPr>
          <w:rFonts w:ascii="Times New Roman" w:hAnsi="Times New Roman"/>
          <w:sz w:val="20"/>
          <w:u w:val="single"/>
        </w:rPr>
        <w:t>Floor</w:t>
      </w:r>
      <w:r>
        <w:rPr>
          <w:rFonts w:ascii="Times New Roman" w:hAnsi="Times New Roman"/>
          <w:sz w:val="20"/>
        </w:rPr>
        <w:t xml:space="preserve">” means a rate of interest equal to zero (0.00%) per annum.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in the United States of America, consistently applied.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Government Official</w:t>
      </w:r>
      <w:r>
        <w:rPr>
          <w:rFonts w:ascii="Times New Roman" w:hAnsi="Times New Roman"/>
          <w:sz w:val="20"/>
        </w:rPr>
        <w:t xml:space="preserve">” means any officer, employee, official, representative, or any Person acting for or on behalf of any Governmental Authority, government-owned or government-controlled association, organization, business, or enterprise, or public international organization, any political party or official thereof and any candidate for political office. </w:t>
      </w:r>
    </w:p>
    <w:p>
      <w:pPr>
        <w:pStyle w:val="TextBody"/>
        <w:bidi w:val="0"/>
        <w:spacing w:before="240" w:after="0"/>
        <w:jc w:val="left"/>
        <w:rPr/>
      </w:pPr>
      <w:r>
        <w:rPr/>
        <w:t>“</w:t>
      </w:r>
      <w:r>
        <w:rPr>
          <w:rFonts w:ascii="Times New Roman" w:hAnsi="Times New Roman"/>
          <w:sz w:val="20"/>
          <w:u w:val="single"/>
        </w:rPr>
        <w:t>Group A Obligor</w:t>
      </w:r>
      <w:r>
        <w:rPr>
          <w:rFonts w:ascii="Times New Roman" w:hAnsi="Times New Roman"/>
          <w:sz w:val="20"/>
        </w:rPr>
        <w:t xml:space="preserve">” means any Applicable Obligor (or its parent or majority owner, as applicable, if such Applicable Obligor is not rated) with a short-term rating of at least: (a) “A-1” by S&amp;P, or if such Applicable Obligor does not have a short-term rating from S&amp;P, a rating of “A+” or better by S&amp;P on such Applicable Obligor’s, its parent’s, or its majority owner’s (as applicable) long-term senior unsecured and uncredit-enhanced debt securities, </w:t>
      </w:r>
      <w:r>
        <w:rPr>
          <w:rFonts w:ascii="Times New Roman" w:hAnsi="Times New Roman"/>
          <w:sz w:val="20"/>
          <w:u w:val="single"/>
        </w:rPr>
        <w:t>or</w:t>
      </w:r>
      <w:r>
        <w:rPr>
          <w:rFonts w:ascii="Times New Roman" w:hAnsi="Times New Roman"/>
          <w:sz w:val="20"/>
        </w:rPr>
        <w:t xml:space="preserve"> (b) “P-1” by Moody’s, or if such Applicable Obligor does not have a short-term rating from Moody’s, “A1” or better by Moody’s on such Applicable Obligor’s, its parent’s or its majority owner’s (as applicable) long-term senior unsecured and uncredit-enhanced debt securities. Notwithstanding the foregoing, any Applicable Obligor that is a Subsidiary of an Applicable Obligor that satisfies the definition of “Group A Obligor” shall be deemed to be a Group A Obligor and shall be aggregated with the Obligor that satisfies such definition for the purposes of determining the “Concentration Reserve Percentage” and </w:t>
      </w:r>
      <w:r>
        <w:rPr>
          <w:rFonts w:ascii="Times New Roman" w:hAnsi="Times New Roman"/>
          <w:sz w:val="20"/>
          <w:u w:val="single"/>
        </w:rPr>
        <w:t>clause (a)</w:t>
      </w:r>
      <w:r>
        <w:rPr>
          <w:rFonts w:ascii="Times New Roman" w:hAnsi="Times New Roman"/>
          <w:sz w:val="20"/>
        </w:rPr>
        <w:t xml:space="preserve"> of the definition of “Excess Concentration” for such Obligors, unless such deemed Applicable Obligor separately satisfies the definition of “Group B Obligor”, or “Group C Obligor”, in which case such Applicable Obligor shall be separately treated as a Group B Obligor or a Group C Obligor, as the case may be, and shall be aggregated and combined for such purposes with any of its Subsidiaries that are Applicable Obligors. </w:t>
      </w:r>
    </w:p>
    <w:p>
      <w:pPr>
        <w:pStyle w:val="TextBody"/>
        <w:bidi w:val="0"/>
        <w:spacing w:before="240" w:after="0"/>
        <w:jc w:val="left"/>
        <w:rPr/>
      </w:pPr>
      <w:r>
        <w:rPr/>
        <w:t>“</w:t>
      </w:r>
      <w:r>
        <w:rPr>
          <w:rFonts w:ascii="Times New Roman" w:hAnsi="Times New Roman"/>
          <w:sz w:val="20"/>
          <w:u w:val="single"/>
        </w:rPr>
        <w:t>Group B Obligor</w:t>
      </w:r>
      <w:r>
        <w:rPr>
          <w:rFonts w:ascii="Times New Roman" w:hAnsi="Times New Roman"/>
          <w:sz w:val="20"/>
        </w:rPr>
        <w:t xml:space="preserve">” means an Applicable Obligor (or its parent or majority owner, as applicable, if such Applicable Obligor is not rated) that is not a Group A Obligor, with a short-term rating of at least: (a) “A-2” by S&amp;P, or if such Applicable Obligor does not have a short-term rating from S&amp;P, a rating of “BBB+” or better by S&amp;P on such Applicable Obligor’s, its parent’s or its majority owner’s (as applicable) long-term senior unsecured and uncredit-enhanced debt securities, </w:t>
      </w:r>
      <w:r>
        <w:rPr>
          <w:rFonts w:ascii="Times New Roman" w:hAnsi="Times New Roman"/>
          <w:sz w:val="20"/>
          <w:u w:val="single"/>
        </w:rPr>
        <w:t>or</w:t>
      </w:r>
      <w:r>
        <w:rPr>
          <w:rFonts w:ascii="Times New Roman" w:hAnsi="Times New Roman"/>
          <w:sz w:val="20"/>
        </w:rPr>
        <w:t xml:space="preserve"> (b) “P-2” by Moody’s, or if such Applicable Obligor does not have a short-term rating from Moody’s, “Baa1” or better by Moody’s on such Applicable Obligor’s, its parent’s or its majority owner’s (as applicable) long-term senior unsecured and uncredit-enhanced debt securities. Notwithstanding the foregoing, any Applicable Obligor that is a Subsidiary of an Applicable Obligor that satisfies the definition of “Group B Obligor” shall be deemed to be a Group B Obligor and shall be aggregated with the Applicable Obligor that satisfies such definition for the purposes of determining the “Concentration Reserve Percentage” and </w:t>
      </w:r>
      <w:r>
        <w:rPr>
          <w:rFonts w:ascii="Times New Roman" w:hAnsi="Times New Roman"/>
          <w:sz w:val="20"/>
          <w:u w:val="single"/>
        </w:rPr>
        <w:t>clause (a)</w:t>
      </w:r>
      <w:r>
        <w:rPr>
          <w:rFonts w:ascii="Times New Roman" w:hAnsi="Times New Roman"/>
          <w:sz w:val="20"/>
        </w:rPr>
        <w:t xml:space="preserve"> of the definition of “Excess Concentration” for such Applicable Obligors, unless such deemed Applicable Obligor separately satisfies the definition of “Group A Obligor” or “Group C Obligor”, in which case such Applicable Obligor shall be separately treated as a Group A Obligor or a Group C Obligor, as the case may be, and shall be aggregated and combined for such purposes with any of its Subsidiaries that are Applicable Obligors. </w:t>
      </w:r>
    </w:p>
    <w:p>
      <w:pPr>
        <w:pStyle w:val="TextBody"/>
        <w:bidi w:val="0"/>
        <w:spacing w:before="240" w:after="0"/>
        <w:jc w:val="left"/>
        <w:rPr/>
      </w:pPr>
      <w:r>
        <w:rPr/>
        <w:t>“</w:t>
      </w:r>
      <w:r>
        <w:rPr>
          <w:rFonts w:ascii="Times New Roman" w:hAnsi="Times New Roman"/>
          <w:sz w:val="20"/>
          <w:u w:val="single"/>
        </w:rPr>
        <w:t>Group C Obligor</w:t>
      </w:r>
      <w:r>
        <w:rPr>
          <w:rFonts w:ascii="Times New Roman" w:hAnsi="Times New Roman"/>
          <w:sz w:val="20"/>
        </w:rPr>
        <w:t xml:space="preserve">” means an Applicable Obligor (or its parent or majority owner, as applicable, if such Applicable Obligor is not rated) that is not a Group A Obligor or a Group B Obligor, with a short-term rating of at least: (a) “A-3” by S&amp;P, or if such Applicable Obligor does not have a short-term rating from S&amp;P, a rating of “BBB-” or better by S&amp;P on such Applicable Obligor’s, its parent’s or its majority owner’s (as applicable) long-term senior unsecured and uncredit-enhanced debt securities, </w:t>
      </w:r>
      <w:r>
        <w:rPr>
          <w:rFonts w:ascii="Times New Roman" w:hAnsi="Times New Roman"/>
          <w:sz w:val="20"/>
          <w:u w:val="single"/>
        </w:rPr>
        <w:t>or</w:t>
      </w:r>
      <w:r>
        <w:rPr>
          <w:rFonts w:ascii="Times New Roman" w:hAnsi="Times New Roman"/>
          <w:sz w:val="20"/>
        </w:rPr>
        <w:t xml:space="preserve"> (b) “P-3” by Moody’s, or if such Applicable Obligor does not have a short-term rating from Moody’s, “Baa3” or better by Moody’s on such Applicable Obligor’s, its parent’s or its majority owner’s (as applicable) long-term senior unsecured and uncredit-enhanced debt securities. Notwithstanding the foregoing, any Applicable Obligor that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Subsidiary of an Applicable Obligor that satisfies the definition of “Group C Obligor” shall be deemed to be a Group C Obligor and shall be aggregated with the Applicable Obligor that satisfies such definition for the purposes of determining the “Concentration Reserve Percentage” and </w:t>
      </w:r>
      <w:r>
        <w:rPr>
          <w:rFonts w:ascii="Times New Roman" w:hAnsi="Times New Roman"/>
          <w:sz w:val="20"/>
          <w:u w:val="single"/>
        </w:rPr>
        <w:t>clause (a)</w:t>
      </w:r>
      <w:r>
        <w:rPr>
          <w:rFonts w:ascii="Times New Roman" w:hAnsi="Times New Roman"/>
          <w:sz w:val="20"/>
        </w:rPr>
        <w:t xml:space="preserve"> of the definition of “Excess Concentration” for such Applicable Obligors, unless such deemed Applicable Obligor separately satisfies the definition of “Group A Obligor” or “Group B Obligor” in which case such Applicable Obligor shall be separately treated as a Group A Obligor or a Group B Obligor, as the case may be, and shall be aggregated and combined for such purposes with any of its Subsidiaries that are Applicable Obligors. </w:t>
      </w:r>
    </w:p>
    <w:p>
      <w:pPr>
        <w:pStyle w:val="TextBody"/>
        <w:bidi w:val="0"/>
        <w:spacing w:before="240" w:after="0"/>
        <w:jc w:val="left"/>
        <w:rPr/>
      </w:pPr>
      <w:r>
        <w:rPr/>
        <w:t>“</w:t>
      </w:r>
      <w:r>
        <w:rPr>
          <w:rFonts w:ascii="Times New Roman" w:hAnsi="Times New Roman"/>
          <w:sz w:val="20"/>
          <w:u w:val="single"/>
        </w:rPr>
        <w:t>Group D Obligor</w:t>
      </w:r>
      <w:r>
        <w:rPr>
          <w:rFonts w:ascii="Times New Roman" w:hAnsi="Times New Roman"/>
          <w:sz w:val="20"/>
        </w:rPr>
        <w:t xml:space="preserve">” means any Applicable Obligor that is not a Group A Obligor, Group B Obligor or Group C Obligor; </w:t>
      </w:r>
      <w:r>
        <w:rPr>
          <w:rFonts w:ascii="Times New Roman" w:hAnsi="Times New Roman"/>
          <w:sz w:val="20"/>
          <w:u w:val="single"/>
        </w:rPr>
        <w:t>provided</w:t>
      </w:r>
      <w:r>
        <w:rPr>
          <w:rFonts w:ascii="Times New Roman" w:hAnsi="Times New Roman"/>
          <w:sz w:val="20"/>
        </w:rPr>
        <w:t xml:space="preserve">, that any Applicable Obligor (or its parent or majority owner, as applicable, if such Applicable Obligor is unrated) that is not rated by both Moody’s and S&amp;P shall be a Group D Obligor. </w:t>
      </w:r>
    </w:p>
    <w:p>
      <w:pPr>
        <w:pStyle w:val="TextBody"/>
        <w:bidi w:val="0"/>
        <w:spacing w:before="240" w:after="0"/>
        <w:jc w:val="left"/>
        <w:rPr/>
      </w:pPr>
      <w:r>
        <w:rPr/>
        <w:t>“</w:t>
      </w:r>
      <w:r>
        <w:rPr>
          <w:rFonts w:ascii="Times New Roman" w:hAnsi="Times New Roman"/>
          <w:sz w:val="20"/>
          <w:u w:val="single"/>
        </w:rPr>
        <w:t>Guaranty</w:t>
      </w:r>
      <w:r>
        <w:rPr>
          <w:rFonts w:ascii="Times New Roman" w:hAnsi="Times New Roman"/>
          <w:sz w:val="20"/>
        </w:rPr>
        <w:t xml:space="preserve">” means, with respect to any Person, any obligation of such Person guarantying or in effect guarantying any Debt, liability or obligation of any other Person in any manner, whether directly or indirectly, including any such liability arising by virtue of partnership agreements, including any agreement to indemnify or hold harmless any other Person, any performance bond or other suretyship arrangement and any other form of assurance against loss, except endorsement of negotiable or other instruments for deposit or collection in the ordinary course of business. </w:t>
      </w:r>
    </w:p>
    <w:p>
      <w:pPr>
        <w:pStyle w:val="TextBody"/>
        <w:bidi w:val="0"/>
        <w:spacing w:before="240" w:after="0"/>
        <w:jc w:val="left"/>
        <w:rPr/>
      </w:pPr>
      <w:r>
        <w:rPr/>
        <w:t>“</w:t>
      </w:r>
      <w:r>
        <w:rPr>
          <w:rFonts w:ascii="Times New Roman" w:hAnsi="Times New Roman"/>
          <w:sz w:val="20"/>
          <w:u w:val="single"/>
        </w:rPr>
        <w:t>Holdings</w:t>
      </w:r>
      <w:r>
        <w:rPr>
          <w:rFonts w:ascii="Times New Roman" w:hAnsi="Times New Roman"/>
          <w:sz w:val="20"/>
        </w:rPr>
        <w:t xml:space="preserve">” means Lamar Advertising Company, a Delaware corporation. </w:t>
      </w:r>
    </w:p>
    <w:p>
      <w:pPr>
        <w:pStyle w:val="TextBody"/>
        <w:bidi w:val="0"/>
        <w:spacing w:before="240" w:after="0"/>
        <w:jc w:val="left"/>
        <w:rPr/>
      </w:pPr>
      <w:r>
        <w:rPr/>
        <w:t>“</w:t>
      </w:r>
      <w:r>
        <w:rPr>
          <w:rFonts w:ascii="Times New Roman" w:hAnsi="Times New Roman"/>
          <w:sz w:val="20"/>
          <w:u w:val="single"/>
        </w:rPr>
        <w:t>Indemnified Taxes</w:t>
      </w:r>
      <w:r>
        <w:rPr>
          <w:rFonts w:ascii="Times New Roman" w:hAnsi="Times New Roman"/>
          <w:sz w:val="20"/>
        </w:rPr>
        <w:t xml:space="preserve">” means (a) Taxes, other than Excluded Taxes, imposed on or with respect to any payment made by or on account of any obligation of the Borrowers or any of their respective Affiliates under any Transaction Document and (b) to the extent not otherwise described in </w:t>
      </w:r>
      <w:r>
        <w:rPr>
          <w:rFonts w:ascii="Times New Roman" w:hAnsi="Times New Roman"/>
          <w:sz w:val="20"/>
          <w:u w:val="single"/>
        </w:rPr>
        <w:t>clause (a)</w:t>
      </w:r>
      <w:r>
        <w:rPr>
          <w:rFonts w:ascii="Times New Roman" w:hAnsi="Times New Roman"/>
          <w:sz w:val="20"/>
        </w:rPr>
        <w:t xml:space="preserve"> above, Other Taxes. </w:t>
      </w:r>
    </w:p>
    <w:p>
      <w:pPr>
        <w:pStyle w:val="TextBody"/>
        <w:bidi w:val="0"/>
        <w:spacing w:before="240" w:after="0"/>
        <w:jc w:val="left"/>
        <w:rPr/>
      </w:pPr>
      <w:r>
        <w:rPr/>
        <w:t>“</w:t>
      </w:r>
      <w:r>
        <w:rPr>
          <w:rFonts w:ascii="Times New Roman" w:hAnsi="Times New Roman"/>
          <w:sz w:val="20"/>
          <w:u w:val="single"/>
        </w:rPr>
        <w:t>Independent Manager</w:t>
      </w:r>
      <w:r>
        <w:rPr>
          <w:rFonts w:ascii="Times New Roman" w:hAnsi="Times New Roman"/>
          <w:sz w:val="20"/>
        </w:rPr>
        <w:t xml:space="preserve">” has the meaning set forth in </w:t>
      </w:r>
      <w:r>
        <w:rPr>
          <w:rFonts w:ascii="Times New Roman" w:hAnsi="Times New Roman"/>
          <w:sz w:val="20"/>
          <w:u w:val="single"/>
        </w:rPr>
        <w:t>Section 8.03(c)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Information Package</w:t>
      </w:r>
      <w:r>
        <w:rPr>
          <w:rFonts w:ascii="Times New Roman" w:hAnsi="Times New Roman"/>
          <w:sz w:val="20"/>
        </w:rPr>
        <w:t xml:space="preserve">” means a report, in substantially the form of </w:t>
      </w:r>
      <w:r>
        <w:rPr>
          <w:rFonts w:ascii="Times New Roman" w:hAnsi="Times New Roman"/>
          <w:sz w:val="20"/>
          <w:u w:val="single"/>
        </w:rPr>
        <w:t>Exhibit 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Insolvency Proceeding</w:t>
      </w:r>
      <w:r>
        <w:rPr>
          <w:rFonts w:ascii="Times New Roman" w:hAnsi="Times New Roman"/>
          <w:sz w:val="20"/>
        </w:rPr>
        <w:t xml:space="preserve">” means (a) any case, action or proceeding before any court or other Governmental Authority relating to bankruptcy, reorganization, insolvency, liquidation, receivership, dissolution, winding-up or relief of debtors or (b) any general assignment for the benefit of creditors of a Person, composition, marshaling of assets for creditors of a Person, or other, similar arrangement in respect of its creditors generally or any substantial portion of its creditors, in each of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undertaken under U.S. Federal, state or foreign law, including the Bankruptcy Code. </w:t>
      </w:r>
    </w:p>
    <w:p>
      <w:pPr>
        <w:pStyle w:val="TextBody"/>
        <w:bidi w:val="0"/>
        <w:spacing w:before="240" w:after="0"/>
        <w:jc w:val="left"/>
        <w:rPr/>
      </w:pPr>
      <w:r>
        <w:rPr/>
        <w:t>“</w:t>
      </w:r>
      <w:r>
        <w:rPr>
          <w:rFonts w:ascii="Times New Roman" w:hAnsi="Times New Roman"/>
          <w:sz w:val="20"/>
          <w:u w:val="single"/>
        </w:rPr>
        <w:t>Intended Tax Treatment</w:t>
      </w:r>
      <w:r>
        <w:rPr>
          <w:rFonts w:ascii="Times New Roman" w:hAnsi="Times New Roman"/>
          <w:sz w:val="20"/>
        </w:rPr>
        <w:t xml:space="preserve">” has the meaning set forth in </w:t>
      </w:r>
      <w:r>
        <w:rPr>
          <w:rFonts w:ascii="Times New Roman" w:hAnsi="Times New Roman"/>
          <w:sz w:val="20"/>
          <w:u w:val="single"/>
        </w:rPr>
        <w:t>Section 14.14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Intercompany Loan</w:t>
      </w:r>
      <w:r>
        <w:rPr>
          <w:rFonts w:ascii="Times New Roman" w:hAnsi="Times New Roman"/>
          <w:sz w:val="20"/>
        </w:rPr>
        <w:t xml:space="preserve">” has the meaning set forth in the applicable Purchase and Sale Agreement. </w:t>
      </w:r>
    </w:p>
    <w:p>
      <w:pPr>
        <w:pStyle w:val="TextBody"/>
        <w:bidi w:val="0"/>
        <w:spacing w:before="240" w:after="0"/>
        <w:jc w:val="left"/>
        <w:rPr/>
      </w:pPr>
      <w:r>
        <w:rPr/>
        <w:t>“</w:t>
      </w:r>
      <w:r>
        <w:rPr>
          <w:rFonts w:ascii="Times New Roman" w:hAnsi="Times New Roman"/>
          <w:sz w:val="20"/>
          <w:u w:val="single"/>
        </w:rPr>
        <w:t>Intercompany Loan Agreement</w:t>
      </w:r>
      <w:r>
        <w:rPr>
          <w:rFonts w:ascii="Times New Roman" w:hAnsi="Times New Roman"/>
          <w:sz w:val="20"/>
        </w:rPr>
        <w:t xml:space="preserve">” has the meaning set forth in the applicable Purchase and Sale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Interest</w:t>
      </w:r>
      <w:r>
        <w:rPr>
          <w:rFonts w:ascii="Times New Roman" w:hAnsi="Times New Roman"/>
          <w:sz w:val="20"/>
        </w:rPr>
        <w:t xml:space="preserve">” means, for each Loan for any day during any Interest Period (or portion thereof), the amount of interest accrued on the Capital of such Loan during such Interest Period (or portion thereof) in accordance with </w:t>
      </w:r>
      <w:r>
        <w:rPr>
          <w:rFonts w:ascii="Times New Roman" w:hAnsi="Times New Roman"/>
          <w:sz w:val="20"/>
          <w:u w:val="single"/>
        </w:rPr>
        <w:t>Section 2.03(b)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Interest Period</w:t>
      </w:r>
      <w:r>
        <w:rPr>
          <w:rFonts w:ascii="Times New Roman" w:hAnsi="Times New Roman"/>
          <w:sz w:val="20"/>
        </w:rPr>
        <w:t xml:space="preserve">” means, with respect to each Loan, (a) before the Termination Date: (i) initially, the period commencing on the date such Loan is made pursuant to </w:t>
      </w:r>
      <w:r>
        <w:rPr>
          <w:rFonts w:ascii="Times New Roman" w:hAnsi="Times New Roman"/>
          <w:sz w:val="20"/>
          <w:u w:val="single"/>
        </w:rPr>
        <w:t>Section 2.01</w:t>
      </w:r>
      <w:r>
        <w:rPr>
          <w:rFonts w:ascii="Times New Roman" w:hAnsi="Times New Roman"/>
          <w:sz w:val="20"/>
        </w:rPr>
        <w:t xml:space="preserve"> (or in the case of any fees payable hereunder, commencing on the Closing Date) and ending on (but including) the last day of the Fiscal Month in which such Loan was made and (ii) thereafter, each Fiscal Month and (b) on and after the Termination Date, such period (including a period of one day) as shall be selected from time to time by the Administrative Agent (with the consent or at the direction of the Majority Lenders) or, in the absence of any such selection, each Fiscal Month. </w:t>
      </w:r>
    </w:p>
    <w:p>
      <w:pPr>
        <w:pStyle w:val="TextBody"/>
        <w:bidi w:val="0"/>
        <w:spacing w:before="240" w:after="0"/>
        <w:jc w:val="left"/>
        <w:rPr/>
      </w:pPr>
      <w:r>
        <w:rPr/>
        <w:t>“</w:t>
      </w:r>
      <w:r>
        <w:rPr>
          <w:rFonts w:ascii="Times New Roman" w:hAnsi="Times New Roman"/>
          <w:sz w:val="20"/>
          <w:u w:val="single"/>
        </w:rPr>
        <w:t>Interest Rate</w:t>
      </w:r>
      <w:r>
        <w:rPr>
          <w:rFonts w:ascii="Times New Roman" w:hAnsi="Times New Roman"/>
          <w:sz w:val="20"/>
        </w:rPr>
        <w:t xml:space="preserve">” means, for any day in any Interest Period for any Loan (or any portion of Capital thereof): </w:t>
      </w:r>
    </w:p>
    <w:p>
      <w:pPr>
        <w:pStyle w:val="TextBody"/>
        <w:bidi w:val="0"/>
        <w:spacing w:before="12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Sections 5.04</w:t>
      </w:r>
      <w:r>
        <w:rPr>
          <w:rFonts w:ascii="Times New Roman" w:hAnsi="Times New Roman"/>
          <w:sz w:val="20"/>
        </w:rPr>
        <w:t xml:space="preserve"> and </w:t>
      </w:r>
      <w:r>
        <w:rPr>
          <w:rFonts w:ascii="Times New Roman" w:hAnsi="Times New Roman"/>
          <w:sz w:val="20"/>
          <w:u w:val="single"/>
        </w:rPr>
        <w:t>5.06</w:t>
      </w:r>
      <w:r>
        <w:rPr>
          <w:rFonts w:ascii="Times New Roman" w:hAnsi="Times New Roman"/>
          <w:sz w:val="20"/>
        </w:rPr>
        <w:t xml:space="preserve"> and so long as no Event of Default has occurred and is continuing on such day, either (x) if the Borrowers have elected for such Loan (or any Portion of Capital thereof) to accrue interest by reference to the Term SOFR Rate during such Interest Period in accordance with </w:t>
      </w:r>
      <w:r>
        <w:rPr>
          <w:rFonts w:ascii="Times New Roman" w:hAnsi="Times New Roman"/>
          <w:sz w:val="20"/>
          <w:u w:val="single"/>
        </w:rPr>
        <w:t>Section 2.03</w:t>
      </w:r>
      <w:r>
        <w:rPr>
          <w:rFonts w:ascii="Times New Roman" w:hAnsi="Times New Roman"/>
          <w:sz w:val="20"/>
        </w:rPr>
        <w:t xml:space="preserve">, the Term SOFR Rate for such day, or (y) in any other case (including if no such election has been made), Daily 1M SOFR; or </w:t>
      </w:r>
    </w:p>
    <w:p>
      <w:pPr>
        <w:pStyle w:val="TextBody"/>
        <w:bidi w:val="0"/>
        <w:spacing w:before="120" w:after="0"/>
        <w:jc w:val="left"/>
        <w:rPr>
          <w:rFonts w:ascii="Times New Roman" w:hAnsi="Times New Roman"/>
          <w:sz w:val="20"/>
        </w:rPr>
      </w:pPr>
      <w:r>
        <w:rPr>
          <w:rFonts w:ascii="Times New Roman" w:hAnsi="Times New Roman"/>
          <w:sz w:val="20"/>
        </w:rPr>
        <w:t xml:space="preserve">(b) for any day while an Event of Default has occurred and is continuing, an interest rate per annum equal to the sum of 2.50% per annum plus the greater of (i) the interest rate per annum determined for such Loan and such day pursuant to </w:t>
      </w:r>
      <w:r>
        <w:rPr>
          <w:rFonts w:ascii="Times New Roman" w:hAnsi="Times New Roman"/>
          <w:sz w:val="20"/>
          <w:u w:val="single"/>
        </w:rPr>
        <w:t>clause (a)</w:t>
      </w:r>
      <w:r>
        <w:rPr>
          <w:rFonts w:ascii="Times New Roman" w:hAnsi="Times New Roman"/>
          <w:sz w:val="20"/>
        </w:rPr>
        <w:t xml:space="preserve"> above, and (ii) the Base Rate in effect on such day;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provision of this Agreement shall require the payment or permit the collection of Interest in excess of the maximum permitted by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Interest for any Loan shall not be considered paid by any distribution to the extent that at any time all or a portion of such distribution is rescinded or must otherwise be returned for any reason. </w:t>
      </w:r>
    </w:p>
    <w:p>
      <w:pPr>
        <w:pStyle w:val="TextBody"/>
        <w:bidi w:val="0"/>
        <w:spacing w:before="240" w:after="0"/>
        <w:jc w:val="left"/>
        <w:rPr/>
      </w:pPr>
      <w:r>
        <w:rPr/>
        <w:t>“</w:t>
      </w:r>
      <w:r>
        <w:rPr>
          <w:rFonts w:ascii="Times New Roman" w:hAnsi="Times New Roman"/>
          <w:sz w:val="20"/>
          <w:u w:val="single"/>
        </w:rPr>
        <w:t>Interim Report</w:t>
      </w:r>
      <w:r>
        <w:rPr>
          <w:rFonts w:ascii="Times New Roman" w:hAnsi="Times New Roman"/>
          <w:sz w:val="20"/>
        </w:rPr>
        <w:t xml:space="preserve">” means a report, in substantially the form of </w:t>
      </w:r>
      <w:r>
        <w:rPr>
          <w:rFonts w:ascii="Times New Roman" w:hAnsi="Times New Roman"/>
          <w:sz w:val="20"/>
          <w:u w:val="single"/>
        </w:rPr>
        <w:t>Exhibit 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International Trade Laws</w:t>
      </w:r>
      <w:r>
        <w:rPr>
          <w:rFonts w:ascii="Times New Roman" w:hAnsi="Times New Roman"/>
          <w:sz w:val="20"/>
        </w:rPr>
        <w:t xml:space="preserve">” means all Laws relating to economic and financial sanctions, trade embargoes, export controls, customs and anti-boycott measures. </w:t>
      </w:r>
    </w:p>
    <w:p>
      <w:pPr>
        <w:pStyle w:val="TextBody"/>
        <w:bidi w:val="0"/>
        <w:spacing w:before="240" w:after="0"/>
        <w:jc w:val="left"/>
        <w:rPr/>
      </w:pPr>
      <w:r>
        <w:rPr/>
        <w:t>“</w:t>
      </w:r>
      <w:r>
        <w:rPr>
          <w:rFonts w:ascii="Times New Roman" w:hAnsi="Times New Roman"/>
          <w:sz w:val="20"/>
          <w:u w:val="single"/>
        </w:rPr>
        <w:t>Investment Company Act</w:t>
      </w:r>
      <w:r>
        <w:rPr>
          <w:rFonts w:ascii="Times New Roman" w:hAnsi="Times New Roman"/>
          <w:sz w:val="20"/>
        </w:rPr>
        <w:t xml:space="preserve">” means the Investment Company Act of 1940, as amended or otherwise modified from time to time. </w:t>
      </w:r>
    </w:p>
    <w:p>
      <w:pPr>
        <w:pStyle w:val="TextBody"/>
        <w:bidi w:val="0"/>
        <w:spacing w:before="240" w:after="0"/>
        <w:jc w:val="left"/>
        <w:rPr/>
      </w:pPr>
      <w:r>
        <w:rPr/>
        <w:t>“</w:t>
      </w:r>
      <w:r>
        <w:rPr>
          <w:rFonts w:ascii="Times New Roman" w:hAnsi="Times New Roman"/>
          <w:sz w:val="20"/>
          <w:u w:val="single"/>
        </w:rPr>
        <w:t>Lamar</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to this Agreement. </w:t>
      </w:r>
    </w:p>
    <w:p>
      <w:pPr>
        <w:pStyle w:val="TextBody"/>
        <w:bidi w:val="0"/>
        <w:spacing w:before="240" w:after="0"/>
        <w:jc w:val="left"/>
        <w:rPr/>
      </w:pPr>
      <w:r>
        <w:rPr/>
        <w:t>“</w:t>
      </w:r>
      <w:r>
        <w:rPr>
          <w:rFonts w:ascii="Times New Roman" w:hAnsi="Times New Roman"/>
          <w:sz w:val="20"/>
          <w:u w:val="single"/>
        </w:rPr>
        <w:t>Lamar Party</w:t>
      </w:r>
      <w:r>
        <w:rPr>
          <w:rFonts w:ascii="Times New Roman" w:hAnsi="Times New Roman"/>
          <w:sz w:val="20"/>
        </w:rPr>
        <w:t xml:space="preserve">” means each Borrower, the Servicer, each Originator and the Performance Guarantor.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any law(s) (including common law), constitution, statute, treaty, regulation, rule, ordinance, opinion, issued guidance, release, ruling, order, executive order, injunction, writ, decree, bond, judgment, authorization or approval, lien or award of or any settlement arrangement, by agreement, consent or otherwise, with any Governmental Authority, foreign or domestic.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LCR Security</w:t>
      </w:r>
      <w:r>
        <w:rPr>
          <w:rFonts w:ascii="Times New Roman" w:hAnsi="Times New Roman"/>
          <w:sz w:val="20"/>
        </w:rPr>
        <w:t xml:space="preserve">” means any commercial paper or security (other than equity securities issued to Holdings or any Originator that is a consolidated subsidiary of Holdings under GAAP) within the meaning of Paragraph __.32(e)(viii) of the final rules titled Liquidity Coverage Ratio: Liquidity Risk Measurement Standards, 79 Fed. Reg. 197, 61440 et seq. (October 10, 2014). </w:t>
      </w:r>
    </w:p>
    <w:p>
      <w:pPr>
        <w:pStyle w:val="TextBody"/>
        <w:bidi w:val="0"/>
        <w:spacing w:before="240" w:after="0"/>
        <w:jc w:val="left"/>
        <w:rPr/>
      </w:pPr>
      <w:r>
        <w:rPr/>
        <w:t>“</w:t>
      </w:r>
      <w:r>
        <w:rPr>
          <w:rFonts w:ascii="Times New Roman" w:hAnsi="Times New Roman"/>
          <w:sz w:val="20"/>
          <w:u w:val="single"/>
        </w:rPr>
        <w:t>Lenders</w:t>
      </w:r>
      <w:r>
        <w:rPr>
          <w:rFonts w:ascii="Times New Roman" w:hAnsi="Times New Roman"/>
          <w:sz w:val="20"/>
        </w:rPr>
        <w:t xml:space="preserve">” means PNC and each other Person that is or becomes a party to this Agreement in the capacity of a “Lender”. </w:t>
      </w:r>
    </w:p>
    <w:p>
      <w:pPr>
        <w:pStyle w:val="TextBody"/>
        <w:bidi w:val="0"/>
        <w:spacing w:before="240" w:after="0"/>
        <w:jc w:val="left"/>
        <w:rPr/>
      </w:pPr>
      <w:r>
        <w:rPr/>
        <w:t>“</w:t>
      </w:r>
      <w:r>
        <w:rPr>
          <w:rFonts w:ascii="Times New Roman" w:hAnsi="Times New Roman"/>
          <w:sz w:val="20"/>
          <w:u w:val="single"/>
        </w:rPr>
        <w:t>Loan</w:t>
      </w:r>
      <w:r>
        <w:rPr>
          <w:rFonts w:ascii="Times New Roman" w:hAnsi="Times New Roman"/>
          <w:sz w:val="20"/>
        </w:rPr>
        <w:t xml:space="preserve">” means any loan made by a Lender pursuant to </w:t>
      </w:r>
      <w:r>
        <w:rPr>
          <w:rFonts w:ascii="Times New Roman" w:hAnsi="Times New Roman"/>
          <w:sz w:val="20"/>
          <w:u w:val="single"/>
        </w:rPr>
        <w:t>Section 2.02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Loan Request</w:t>
      </w:r>
      <w:r>
        <w:rPr>
          <w:rFonts w:ascii="Times New Roman" w:hAnsi="Times New Roman"/>
          <w:sz w:val="20"/>
        </w:rPr>
        <w:t xml:space="preserve">” means a letter in substantially the form of </w:t>
      </w:r>
      <w:r>
        <w:rPr>
          <w:rFonts w:ascii="Times New Roman" w:hAnsi="Times New Roman"/>
          <w:sz w:val="20"/>
          <w:u w:val="single"/>
        </w:rPr>
        <w:t>Exhibit A</w:t>
      </w:r>
      <w:r>
        <w:rPr>
          <w:rFonts w:ascii="Times New Roman" w:hAnsi="Times New Roman"/>
          <w:sz w:val="20"/>
        </w:rPr>
        <w:t xml:space="preserve"> hereto executed and delivered by a Borrower to the Administrative Agent and the Lenders pursuant to </w:t>
      </w:r>
      <w:r>
        <w:rPr>
          <w:rFonts w:ascii="Times New Roman" w:hAnsi="Times New Roman"/>
          <w:sz w:val="20"/>
          <w:u w:val="single"/>
        </w:rPr>
        <w:t>Section 2.02(a)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Lock-Box</w:t>
      </w:r>
      <w:r>
        <w:rPr>
          <w:rFonts w:ascii="Times New Roman" w:hAnsi="Times New Roman"/>
          <w:sz w:val="20"/>
        </w:rPr>
        <w:t xml:space="preserve">” means each locked postal box with respect to which a Collection Account Bank has executed an Account Control Agreement pursuant to which it has been granted exclusive access for the purpose of retrieving and processing payments made on the Receivables and which is listed on </w:t>
      </w:r>
      <w:r>
        <w:rPr>
          <w:rFonts w:ascii="Times New Roman" w:hAnsi="Times New Roman"/>
          <w:sz w:val="20"/>
          <w:u w:val="single"/>
        </w:rPr>
        <w:t>Schedule II</w:t>
      </w:r>
      <w:r>
        <w:rPr>
          <w:rFonts w:ascii="Times New Roman" w:hAnsi="Times New Roman"/>
          <w:sz w:val="20"/>
        </w:rPr>
        <w:t xml:space="preserve"> (as such schedule may be modified from time to time in connection with the addition or removal of any Lock-Box in accordance with the terms hereof). </w:t>
      </w:r>
    </w:p>
    <w:p>
      <w:pPr>
        <w:pStyle w:val="TextBody"/>
        <w:bidi w:val="0"/>
        <w:spacing w:before="240" w:after="0"/>
        <w:jc w:val="left"/>
        <w:rPr/>
      </w:pPr>
      <w:r>
        <w:rPr/>
        <w:t>“</w:t>
      </w:r>
      <w:r>
        <w:rPr>
          <w:rFonts w:ascii="Times New Roman" w:hAnsi="Times New Roman"/>
          <w:sz w:val="20"/>
          <w:u w:val="single"/>
        </w:rPr>
        <w:t>Loss Horizon Ratio</w:t>
      </w:r>
      <w:r>
        <w:rPr>
          <w:rFonts w:ascii="Times New Roman" w:hAnsi="Times New Roman"/>
          <w:sz w:val="20"/>
        </w:rPr>
        <w:t xml:space="preserve">” means, at any time of determination, the ratio (expressed as a percentage and rounded to the nearest 1/100 of 1%, with 5/1000th of 1% rounded upward) computed as of the last day of each Fiscal Month by </w:t>
      </w:r>
      <w:r>
        <w:rPr>
          <w:rFonts w:ascii="Times New Roman" w:hAnsi="Times New Roman"/>
          <w:sz w:val="20"/>
          <w:u w:val="single"/>
        </w:rPr>
        <w:t>dividing</w:t>
      </w:r>
      <w:r>
        <w:rPr>
          <w:rFonts w:ascii="Times New Roman" w:hAnsi="Times New Roman"/>
          <w:sz w:val="20"/>
        </w:rPr>
        <w:t xml:space="preserve">: </w:t>
      </w:r>
    </w:p>
    <w:p>
      <w:pPr>
        <w:pStyle w:val="TextBody"/>
        <w:bidi w:val="0"/>
        <w:spacing w:before="120" w:after="0"/>
        <w:jc w:val="left"/>
        <w:rPr>
          <w:rFonts w:ascii="Times New Roman" w:hAnsi="Times New Roman"/>
          <w:color w:val="FF0000"/>
          <w:sz w:val="20"/>
        </w:rPr>
      </w:pPr>
      <w:r>
        <w:rPr>
          <w:rFonts w:ascii="Times New Roman" w:hAnsi="Times New Roman"/>
          <w:strike/>
          <w:color w:val="FF0000"/>
          <w:sz w:val="20"/>
        </w:rPr>
        <w:t xml:space="preserve">(a) the sum of (i) the aggregate sales made by the Originators during the four (4) most recent Fiscal Months, </w:t>
      </w:r>
      <w:r>
        <w:rPr>
          <w:rFonts w:ascii="Times New Roman" w:hAnsi="Times New Roman"/>
          <w:strike/>
          <w:color w:val="FF0000"/>
          <w:sz w:val="20"/>
          <w:u w:val="single"/>
        </w:rPr>
        <w:t>plus</w:t>
      </w:r>
      <w:r>
        <w:rPr>
          <w:rFonts w:ascii="Times New Roman" w:hAnsi="Times New Roman"/>
          <w:color w:val="FF0000"/>
          <w:sz w:val="20"/>
        </w:rPr>
        <w:t xml:space="preserve"> </w:t>
      </w:r>
      <w:r>
        <w:rPr>
          <w:rFonts w:ascii="Times New Roman" w:hAnsi="Times New Roman"/>
          <w:strike/>
          <w:color w:val="FF0000"/>
          <w:sz w:val="20"/>
        </w:rPr>
        <w:t xml:space="preserve">(ii) the product of (x) 70%, </w:t>
      </w:r>
      <w:r>
        <w:rPr>
          <w:rFonts w:ascii="Times New Roman" w:hAnsi="Times New Roman"/>
          <w:strike/>
          <w:color w:val="FF0000"/>
          <w:sz w:val="20"/>
          <w:u w:val="single"/>
        </w:rPr>
        <w:t>multiplied by</w:t>
      </w:r>
      <w:r>
        <w:rPr>
          <w:rFonts w:ascii="Times New Roman" w:hAnsi="Times New Roman"/>
          <w:color w:val="FF0000"/>
          <w:sz w:val="20"/>
        </w:rPr>
        <w:t xml:space="preserve"> </w:t>
      </w:r>
      <w:r>
        <w:rPr>
          <w:rFonts w:ascii="Times New Roman" w:hAnsi="Times New Roman"/>
          <w:strike/>
          <w:color w:val="FF0000"/>
          <w:sz w:val="20"/>
        </w:rPr>
        <w:t xml:space="preserve">(y) the aggregate sales made by the Originators during the 5th most recent Fiscal Month; </w:t>
      </w:r>
      <w:r>
        <w:rPr>
          <w:rFonts w:ascii="Times New Roman" w:hAnsi="Times New Roman"/>
          <w:strike/>
          <w:color w:val="FF0000"/>
          <w:sz w:val="20"/>
          <w:u w:val="single"/>
        </w:rPr>
        <w:t>by</w:t>
      </w:r>
      <w:r>
        <w:rPr>
          <w:rFonts w:ascii="Times New Roman" w:hAnsi="Times New Roman"/>
          <w:color w:val="FF0000"/>
          <w:sz w:val="20"/>
        </w:rPr>
        <w:t xml:space="preserve"> </w:t>
      </w:r>
    </w:p>
    <w:p>
      <w:pPr>
        <w:pStyle w:val="TextBody"/>
        <w:bidi w:val="0"/>
        <w:spacing w:before="12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(a) the aggregate sales made by the Originators during the five (5) most recent Fiscal Months; by </w:t>
      </w:r>
    </w:p>
    <w:p>
      <w:pPr>
        <w:pStyle w:val="TextBody"/>
        <w:bidi w:val="0"/>
        <w:spacing w:before="120" w:after="0"/>
        <w:jc w:val="left"/>
        <w:rPr>
          <w:rFonts w:ascii="Times New Roman" w:hAnsi="Times New Roman"/>
          <w:sz w:val="20"/>
        </w:rPr>
      </w:pPr>
      <w:r>
        <w:rPr>
          <w:rFonts w:ascii="Times New Roman" w:hAnsi="Times New Roman"/>
          <w:sz w:val="20"/>
        </w:rPr>
        <w:t xml:space="preserve">(b) the Net Receivables Pool Balance as of such date. </w:t>
      </w:r>
    </w:p>
    <w:p>
      <w:pPr>
        <w:pStyle w:val="TextBody"/>
        <w:bidi w:val="0"/>
        <w:spacing w:before="240" w:after="0"/>
        <w:jc w:val="left"/>
        <w:rPr/>
      </w:pPr>
      <w:r>
        <w:rPr/>
        <w:t>“</w:t>
      </w:r>
      <w:r>
        <w:rPr>
          <w:rFonts w:ascii="Times New Roman" w:hAnsi="Times New Roman"/>
          <w:sz w:val="20"/>
          <w:u w:val="single"/>
        </w:rPr>
        <w:t>Loss Reserve Percentage</w:t>
      </w:r>
      <w:r>
        <w:rPr>
          <w:rFonts w:ascii="Times New Roman" w:hAnsi="Times New Roman"/>
          <w:sz w:val="20"/>
        </w:rPr>
        <w:t xml:space="preserve">” means, at any time of determination, the product (expressed as a percentage and rounded to the nearest 1/100th of 1%, with 5/1000th of 1% rounded upward) of (a) 2.25,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(b) the highest average of the Default Ratios for any three (3) consecutive Fiscal Months during the twelve (12) most recent Fiscal Months,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(c) the Loss Horizon Ratio. </w:t>
      </w:r>
    </w:p>
    <w:p>
      <w:pPr>
        <w:pStyle w:val="TextBody"/>
        <w:bidi w:val="0"/>
        <w:spacing w:before="240" w:after="0"/>
        <w:jc w:val="left"/>
        <w:rPr/>
      </w:pPr>
      <w:r>
        <w:rPr/>
        <w:t>“</w:t>
      </w:r>
      <w:r>
        <w:rPr>
          <w:rFonts w:ascii="Times New Roman" w:hAnsi="Times New Roman"/>
          <w:sz w:val="20"/>
          <w:u w:val="single"/>
        </w:rPr>
        <w:t>Mail-Box</w:t>
      </w:r>
      <w:r>
        <w:rPr>
          <w:rFonts w:ascii="Times New Roman" w:hAnsi="Times New Roman"/>
          <w:sz w:val="20"/>
        </w:rPr>
        <w:t xml:space="preserve">” means each address of the Servicer or any Originator which is listed on </w:t>
      </w:r>
      <w:r>
        <w:rPr>
          <w:rFonts w:ascii="Times New Roman" w:hAnsi="Times New Roman"/>
          <w:sz w:val="20"/>
          <w:u w:val="single"/>
        </w:rPr>
        <w:t>Schedule IV</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Mail-Box Eligibility Condition</w:t>
      </w:r>
      <w:r>
        <w:rPr>
          <w:rFonts w:ascii="Times New Roman" w:hAnsi="Times New Roman"/>
          <w:sz w:val="20"/>
        </w:rPr>
        <w:t xml:space="preserve">” means, as of any date of determination, the satisfaction of each of the following conditions (i) substantially all payments on the Pool Receivables or other Collections that are received in any Mail-Box are promptly (but in any event within two (2) Business Days after receipt) remitted directly into a Collection Account and (ii) with respect to any Receivable and the related Obligor, if a Servicer Termination Event or a Ratings Event Level II has occurred and is continuing and the Administrative Agent has instructed (or directed any Borrower or the Servicer to so instruct) such Obligor to remit payments under Pool Receivables directly to a Collection Account or a Lock-Box (or directly to the Administrative Agent or its designee), the most recent payment remitted by such Obligor following receipt of such instruction was made to a Collection Account or a Lock-Box (or directly to the Administrative Agent or its designee). </w:t>
      </w:r>
    </w:p>
    <w:p>
      <w:pPr>
        <w:pStyle w:val="TextBody"/>
        <w:bidi w:val="0"/>
        <w:spacing w:before="240" w:after="0"/>
        <w:jc w:val="left"/>
        <w:rPr/>
      </w:pPr>
      <w:r>
        <w:rPr/>
        <w:t>“</w:t>
      </w:r>
      <w:r>
        <w:rPr>
          <w:rFonts w:ascii="Times New Roman" w:hAnsi="Times New Roman"/>
          <w:sz w:val="20"/>
          <w:u w:val="single"/>
        </w:rPr>
        <w:t>Majority Lenders</w:t>
      </w:r>
      <w:r>
        <w:rPr>
          <w:rFonts w:ascii="Times New Roman" w:hAnsi="Times New Roman"/>
          <w:sz w:val="20"/>
        </w:rPr>
        <w:t xml:space="preserve">” means Lenders representing more than 50% of the aggregate Commitments of all Lenders (or, if the Commitments have been terminated, Lenders representing more than 50% of the aggregate outstanding Capital held by all the Lenders).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means relative to any Person (</w:t>
      </w:r>
      <w:r>
        <w:rPr>
          <w:rFonts w:ascii="Times New Roman" w:hAnsi="Times New Roman"/>
          <w:i/>
          <w:sz w:val="20"/>
        </w:rPr>
        <w:t>provided</w:t>
      </w:r>
      <w:r>
        <w:rPr>
          <w:rFonts w:ascii="Times New Roman" w:hAnsi="Times New Roman"/>
          <w:sz w:val="20"/>
        </w:rPr>
        <w:t xml:space="preserve"> that if no particular Person is specified, “Material Adverse Effect” shall be deemed to be relative to both (i) the Servicer, the Performance Guarantor and the Originators, taken as a whole and (ii) the Borrowers, individually and in the aggregate) with respect to any event or circumstance, a material adverse effect on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the assets, operations, business or financial condition of the Servicer, the Performance Guarantor and the Originators,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(b) the assets, operations, business or financial condition of any Borrower; </w:t>
      </w:r>
    </w:p>
    <w:p>
      <w:pPr>
        <w:pStyle w:val="TextBody"/>
        <w:bidi w:val="0"/>
        <w:spacing w:before="120" w:after="0"/>
        <w:jc w:val="left"/>
        <w:rPr>
          <w:rFonts w:ascii="Times New Roman" w:hAnsi="Times New Roman"/>
          <w:sz w:val="20"/>
        </w:rPr>
      </w:pPr>
      <w:r>
        <w:rPr>
          <w:rFonts w:ascii="Times New Roman" w:hAnsi="Times New Roman"/>
          <w:sz w:val="20"/>
        </w:rPr>
        <w:t xml:space="preserve">(c) the ability of the Borrowers, the Servicer, the Performance Guarantor or any Originator to perform its obligations under this Agreement or any other Transaction Document to which it is a party; </w:t>
      </w:r>
    </w:p>
    <w:p>
      <w:pPr>
        <w:pStyle w:val="TextBody"/>
        <w:bidi w:val="0"/>
        <w:spacing w:before="120" w:after="0"/>
        <w:jc w:val="left"/>
        <w:rPr>
          <w:rFonts w:ascii="Times New Roman" w:hAnsi="Times New Roman"/>
          <w:sz w:val="20"/>
        </w:rPr>
      </w:pPr>
      <w:r>
        <w:rPr>
          <w:rFonts w:ascii="Times New Roman" w:hAnsi="Times New Roman"/>
          <w:sz w:val="20"/>
        </w:rPr>
        <w:t xml:space="preserve">(d) the validity or enforceability of this Agreement or any other Transaction Document, or the validity, enforceability, value or collectibility of any material portion of the Pool Receivables; </w:t>
      </w:r>
    </w:p>
    <w:p>
      <w:pPr>
        <w:pStyle w:val="TextBody"/>
        <w:bidi w:val="0"/>
        <w:spacing w:before="120" w:after="0"/>
        <w:jc w:val="left"/>
        <w:rPr>
          <w:rFonts w:ascii="Times New Roman" w:hAnsi="Times New Roman"/>
          <w:sz w:val="20"/>
        </w:rPr>
      </w:pPr>
      <w:r>
        <w:rPr>
          <w:rFonts w:ascii="Times New Roman" w:hAnsi="Times New Roman"/>
          <w:sz w:val="20"/>
        </w:rPr>
        <w:t xml:space="preserve">(e) the status, perfection, enforceability or priority of the Administrative Agent’s security interest in any material portion of the Collateral; or </w:t>
      </w:r>
    </w:p>
    <w:p>
      <w:pPr>
        <w:pStyle w:val="TextBody"/>
        <w:bidi w:val="0"/>
        <w:spacing w:before="120" w:after="0"/>
        <w:jc w:val="left"/>
        <w:rPr>
          <w:rFonts w:ascii="Times New Roman" w:hAnsi="Times New Roman"/>
          <w:sz w:val="20"/>
        </w:rPr>
      </w:pPr>
      <w:r>
        <w:rPr>
          <w:rFonts w:ascii="Times New Roman" w:hAnsi="Times New Roman"/>
          <w:sz w:val="20"/>
        </w:rPr>
        <w:t xml:space="preserve">(f) the rights and remedies of any Credit Party under the Transaction Documents or associated with its respective interest in the Collateral. </w:t>
      </w:r>
    </w:p>
    <w:p>
      <w:pPr>
        <w:pStyle w:val="TextBody"/>
        <w:bidi w:val="0"/>
        <w:spacing w:before="240" w:after="0"/>
        <w:jc w:val="left"/>
        <w:rPr/>
      </w:pPr>
      <w:r>
        <w:rPr/>
        <w:t>“</w:t>
      </w:r>
      <w:r>
        <w:rPr>
          <w:rFonts w:ascii="Times New Roman" w:hAnsi="Times New Roman"/>
          <w:sz w:val="20"/>
          <w:u w:val="single"/>
        </w:rPr>
        <w:t>Material Indebtedness</w:t>
      </w:r>
      <w:r>
        <w:rPr>
          <w:rFonts w:ascii="Times New Roman" w:hAnsi="Times New Roman"/>
          <w:sz w:val="20"/>
        </w:rPr>
        <w:t xml:space="preserve">” shall mean (i) Debt under the Credit Agreement and (ii) Debt of any one or more of Holdings, the Lamar Parties or any Subsidiary thereof in an aggregate principal amount exceeding $100,000,000.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Maximum Commitment Increase Amount” has the meaning set forth in Section 2.02(g).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Minimum Dilution Reserve Percentage</w:t>
      </w:r>
      <w:r>
        <w:rPr>
          <w:rFonts w:ascii="Times New Roman" w:hAnsi="Times New Roman"/>
          <w:sz w:val="20"/>
        </w:rPr>
        <w:t xml:space="preserve">” means, at any time of determination, the product (expressed as a percentage and rounded to the nearest 1/100th of 1%, with 5/1000th of 1% rounded upward) of (a) the average of the Dilution Ratios for the twelve (12) most recent Fiscal Months, </w:t>
      </w:r>
      <w:r>
        <w:rPr>
          <w:rFonts w:ascii="Times New Roman" w:hAnsi="Times New Roman"/>
          <w:sz w:val="20"/>
          <w:u w:val="single"/>
        </w:rPr>
        <w:t>multiplied by</w:t>
      </w:r>
      <w:r>
        <w:rPr>
          <w:rFonts w:ascii="Times New Roman" w:hAnsi="Times New Roman"/>
          <w:sz w:val="20"/>
        </w:rPr>
        <w:t xml:space="preserve"> (b) the Dilution Horizon Ratio.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Minimum Funding Threshold</w:t>
      </w:r>
      <w:r>
        <w:rPr>
          <w:rFonts w:ascii="Times New Roman" w:hAnsi="Times New Roman"/>
          <w:sz w:val="20"/>
        </w:rPr>
        <w:t xml:space="preserve">” means, on any day, an amount equal to the lesser of (a) the product of (i) 50.00% times (ii) the aggregate Commitment of all Lenders at such time and (b) the Borrowing Base at such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 any day that is a Minimum Funding Threshold Holiday, the Minimum Funding Threshold shall be zero ($0). </w:t>
      </w:r>
    </w:p>
    <w:p>
      <w:pPr>
        <w:pStyle w:val="TextBody"/>
        <w:bidi w:val="0"/>
        <w:spacing w:before="240" w:after="0"/>
        <w:jc w:val="left"/>
        <w:rPr/>
      </w:pPr>
      <w:r>
        <w:rPr/>
        <w:t>“</w:t>
      </w:r>
      <w:r>
        <w:rPr>
          <w:rFonts w:ascii="Times New Roman" w:hAnsi="Times New Roman"/>
          <w:sz w:val="20"/>
          <w:u w:val="single"/>
        </w:rPr>
        <w:t>Minimum Funding Threshold Holiday</w:t>
      </w:r>
      <w:r>
        <w:rPr>
          <w:rFonts w:ascii="Times New Roman" w:hAnsi="Times New Roman"/>
          <w:sz w:val="20"/>
        </w:rPr>
        <w:t xml:space="preserve">” means any day (or period of days) designated as a Minimum Funding Threshold Holiday by the Borrowers in writing to the Administrative Agent;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Borrowers shall not designate more than sixty (60) days as Minimum Funding Threshold Holidays in any calendar year. </w:t>
      </w:r>
    </w:p>
    <w:p>
      <w:pPr>
        <w:pStyle w:val="TextBody"/>
        <w:bidi w:val="0"/>
        <w:spacing w:before="240" w:after="0"/>
        <w:jc w:val="left"/>
        <w:rPr/>
      </w:pPr>
      <w:r>
        <w:rPr/>
        <w:t>“</w:t>
      </w:r>
      <w:r>
        <w:rPr>
          <w:rFonts w:ascii="Times New Roman" w:hAnsi="Times New Roman"/>
          <w:sz w:val="20"/>
          <w:u w:val="single"/>
        </w:rPr>
        <w:t>Monthly Settlement Date</w:t>
      </w:r>
      <w:r>
        <w:rPr>
          <w:rFonts w:ascii="Times New Roman" w:hAnsi="Times New Roman"/>
          <w:sz w:val="20"/>
        </w:rPr>
        <w:t xml:space="preserve">” means the 25th day of each calendar month (or if such day is not a Business Day, the next occurring Business Day). </w:t>
      </w:r>
    </w:p>
    <w:p>
      <w:pPr>
        <w:pStyle w:val="TextBody"/>
        <w:bidi w:val="0"/>
        <w:spacing w:before="240" w:after="0"/>
        <w:jc w:val="left"/>
        <w:rPr/>
      </w:pPr>
      <w:r>
        <w:rPr/>
        <w:t>“</w:t>
      </w:r>
      <w:r>
        <w:rPr>
          <w:rFonts w:ascii="Times New Roman" w:hAnsi="Times New Roman"/>
          <w:sz w:val="20"/>
          <w:u w:val="single"/>
        </w:rPr>
        <w:t>Moody’s</w:t>
      </w:r>
      <w:r>
        <w:rPr>
          <w:rFonts w:ascii="Times New Roman" w:hAnsi="Times New Roman"/>
          <w:sz w:val="20"/>
        </w:rPr>
        <w:t xml:space="preserve">” means Moody’s Investors Service, Inc. and any successor thereto that is a nationally recognized statistical rating organization.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means a multiemployer plan as defined in Section 4001(a)(3) of ERISA to which any Lamar Party or any of their respective ERISA Affiliates is making or accruing an obligation to make contributions, or has within any of the preceding five plan years made or accrued an obligation to make contributions. </w:t>
      </w:r>
    </w:p>
    <w:p>
      <w:pPr>
        <w:pStyle w:val="TextBody"/>
        <w:bidi w:val="0"/>
        <w:spacing w:before="240" w:after="0"/>
        <w:jc w:val="left"/>
        <w:rPr/>
      </w:pPr>
      <w:r>
        <w:rPr/>
        <w:t>“</w:t>
      </w:r>
      <w:r>
        <w:rPr>
          <w:rFonts w:ascii="Times New Roman" w:hAnsi="Times New Roman"/>
          <w:sz w:val="20"/>
          <w:u w:val="single"/>
        </w:rPr>
        <w:t>Net Receivables Pool Balance</w:t>
      </w:r>
      <w:r>
        <w:rPr>
          <w:rFonts w:ascii="Times New Roman" w:hAnsi="Times New Roman"/>
          <w:sz w:val="20"/>
        </w:rPr>
        <w:t xml:space="preserve">” means, at any time of determination: (a) the aggregate Outstanding Balance of all Eligible Receivables then in the Receivables Pool, </w:t>
      </w:r>
      <w:r>
        <w:rPr>
          <w:rFonts w:ascii="Times New Roman" w:hAnsi="Times New Roman"/>
          <w:sz w:val="20"/>
          <w:u w:val="single"/>
        </w:rPr>
        <w:t>minus</w:t>
      </w:r>
      <w:r>
        <w:rPr>
          <w:rFonts w:ascii="Times New Roman" w:hAnsi="Times New Roman"/>
          <w:sz w:val="20"/>
        </w:rPr>
        <w:t xml:space="preserve"> (b) the Excess Concentration. </w:t>
      </w:r>
    </w:p>
    <w:p>
      <w:pPr>
        <w:pStyle w:val="TextBody"/>
        <w:bidi w:val="0"/>
        <w:spacing w:before="240" w:after="0"/>
        <w:jc w:val="left"/>
        <w:rPr/>
      </w:pPr>
      <w:r>
        <w:rPr/>
        <w:t>“</w:t>
      </w:r>
      <w:r>
        <w:rPr>
          <w:rFonts w:ascii="Times New Roman" w:hAnsi="Times New Roman"/>
          <w:sz w:val="20"/>
          <w:u w:val="single"/>
        </w:rPr>
        <w:t>Obligor</w:t>
      </w:r>
      <w:r>
        <w:rPr>
          <w:rFonts w:ascii="Times New Roman" w:hAnsi="Times New Roman"/>
          <w:sz w:val="20"/>
        </w:rPr>
        <w:t xml:space="preserve">” means, with respect to any Receivable, any Person obligated to make payments with respect to such Receivable, including (i) to the extent so obligated, any related advertiser or any advertising agency, agent or licensee of such advertiser or (ii) any guarantor thereof or co-obligor therewith. </w:t>
      </w:r>
    </w:p>
    <w:p>
      <w:pPr>
        <w:pStyle w:val="TextBody"/>
        <w:bidi w:val="0"/>
        <w:spacing w:before="240" w:after="0"/>
        <w:jc w:val="left"/>
        <w:rPr/>
      </w:pPr>
      <w:r>
        <w:rPr/>
        <w:t>“</w:t>
      </w:r>
      <w:r>
        <w:rPr>
          <w:rFonts w:ascii="Times New Roman" w:hAnsi="Times New Roman"/>
          <w:sz w:val="20"/>
          <w:u w:val="single"/>
        </w:rPr>
        <w:t>Obligor Percentage</w:t>
      </w:r>
      <w:r>
        <w:rPr>
          <w:rFonts w:ascii="Times New Roman" w:hAnsi="Times New Roman"/>
          <w:sz w:val="20"/>
        </w:rPr>
        <w:t xml:space="preserve">” means, at any time of determination, for each Obligor, a fraction, expressed as a percentage, (a) the numerator of which is the aggregate Outstanding Balance of the Eligible Receivables of such Obligor and its Affiliates less the amount (if any) then included in the calculation of the Excess Concentration with respect to such Obligor and its Affiliates and (b) the denominator of which is the aggregate Outstanding Balance of all Eligible Receivables at such time. </w:t>
      </w:r>
    </w:p>
    <w:p>
      <w:pPr>
        <w:pStyle w:val="TextBody"/>
        <w:bidi w:val="0"/>
        <w:spacing w:before="240" w:after="0"/>
        <w:jc w:val="left"/>
        <w:rPr/>
      </w:pPr>
      <w:r>
        <w:rPr/>
        <w:t>“</w:t>
      </w:r>
      <w:r>
        <w:rPr>
          <w:rFonts w:ascii="Times New Roman" w:hAnsi="Times New Roman"/>
          <w:sz w:val="20"/>
          <w:u w:val="single"/>
        </w:rPr>
        <w:t>OFAC</w:t>
      </w:r>
      <w:r>
        <w:rPr>
          <w:rFonts w:ascii="Times New Roman" w:hAnsi="Times New Roman"/>
          <w:sz w:val="20"/>
        </w:rPr>
        <w:t xml:space="preserve">” means the Office of Foreign Assets Control of the United States Department of the Treasury. </w:t>
      </w:r>
    </w:p>
    <w:p>
      <w:pPr>
        <w:pStyle w:val="TextBody"/>
        <w:bidi w:val="0"/>
        <w:spacing w:before="240" w:after="0"/>
        <w:jc w:val="left"/>
        <w:rPr/>
      </w:pPr>
      <w:r>
        <w:rPr/>
        <w:t>“</w:t>
      </w:r>
      <w:r>
        <w:rPr>
          <w:rFonts w:ascii="Times New Roman" w:hAnsi="Times New Roman"/>
          <w:sz w:val="20"/>
          <w:u w:val="single"/>
        </w:rPr>
        <w:t>Originator</w:t>
      </w:r>
      <w:r>
        <w:rPr>
          <w:rFonts w:ascii="Times New Roman" w:hAnsi="Times New Roman"/>
          <w:sz w:val="20"/>
        </w:rPr>
        <w:t xml:space="preserve">” means each of the QRS Originators and the TRS Originators. </w:t>
      </w:r>
    </w:p>
    <w:p>
      <w:pPr>
        <w:pStyle w:val="TextBody"/>
        <w:bidi w:val="0"/>
        <w:spacing w:before="240" w:after="0"/>
        <w:jc w:val="left"/>
        <w:rPr/>
      </w:pPr>
      <w:r>
        <w:rPr/>
        <w:t>“</w:t>
      </w:r>
      <w:r>
        <w:rPr>
          <w:rFonts w:ascii="Times New Roman" w:hAnsi="Times New Roman"/>
          <w:sz w:val="20"/>
          <w:u w:val="single"/>
        </w:rPr>
        <w:t>Other Connection Taxes</w:t>
      </w:r>
      <w:r>
        <w:rPr>
          <w:rFonts w:ascii="Times New Roman" w:hAnsi="Times New Roman"/>
          <w:sz w:val="20"/>
        </w:rPr>
        <w:t xml:space="preserve">” means, with respect to any Affected Person, Taxes imposed as a result of a present or former connection between such Affected Person and the jurisdiction imposing such Tax (other than connections arising from such Affected Person having executed, delivered, become a party to, performed its obligations under, received payments under, received or perfected a security interest under, engaged in any other transaction pursuant to or enforced any Transaction Document, or sold or assigned an interest in any Loan or Transaction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Other Taxes</w:t>
      </w:r>
      <w:r>
        <w:rPr>
          <w:rFonts w:ascii="Times New Roman" w:hAnsi="Times New Roman"/>
          <w:sz w:val="20"/>
        </w:rPr>
        <w:t xml:space="preserve">” means any and all present or future stamp, court or documentary, intangible, recording, filing Taxes or any other excise or property Taxes, charges or similar levies or fees arising from any payment made hereunder or from the execution, delivery, performance, registration, enforcement of, from the receipt or perfection of a security interest under, or otherwise in respect of, this Agreement, the other Transaction Documents and the other documents or agreements to be delivered hereunder or thereunder except any Taxes that are Other Connection Taxes imposed with respect to an assignment. </w:t>
      </w:r>
    </w:p>
    <w:p>
      <w:pPr>
        <w:pStyle w:val="TextBody"/>
        <w:bidi w:val="0"/>
        <w:spacing w:before="240" w:after="0"/>
        <w:jc w:val="left"/>
        <w:rPr/>
      </w:pPr>
      <w:r>
        <w:rPr/>
        <w:t>“</w:t>
      </w:r>
      <w:r>
        <w:rPr>
          <w:rFonts w:ascii="Times New Roman" w:hAnsi="Times New Roman"/>
          <w:sz w:val="20"/>
          <w:u w:val="single"/>
        </w:rPr>
        <w:t>Outstanding Balance</w:t>
      </w:r>
      <w:r>
        <w:rPr>
          <w:rFonts w:ascii="Times New Roman" w:hAnsi="Times New Roman"/>
          <w:sz w:val="20"/>
        </w:rPr>
        <w:t xml:space="preserve">” means, at any time of determination, with respect to any Receivable, the then outstanding principal balance thereof. </w:t>
      </w:r>
    </w:p>
    <w:p>
      <w:pPr>
        <w:pStyle w:val="TextBody"/>
        <w:bidi w:val="0"/>
        <w:spacing w:before="240" w:after="0"/>
        <w:jc w:val="left"/>
        <w:rPr/>
      </w:pPr>
      <w:r>
        <w:rPr/>
        <w:t>“</w:t>
      </w:r>
      <w:r>
        <w:rPr>
          <w:rFonts w:ascii="Times New Roman" w:hAnsi="Times New Roman"/>
          <w:sz w:val="20"/>
          <w:u w:val="single"/>
        </w:rPr>
        <w:t>Overnight Bank Funding Rate</w:t>
      </w:r>
      <w:r>
        <w:rPr>
          <w:rFonts w:ascii="Times New Roman" w:hAnsi="Times New Roman"/>
          <w:sz w:val="20"/>
        </w:rPr>
        <w:t>” means for any day, the rate comprised of both overnight federal funds and overnight eurocurrency borrowings by U.S.-managed banking offices of depository institutions, as such composite rate shall be determined by the Federal Reserve Bank of New York (“</w:t>
      </w:r>
      <w:r>
        <w:rPr>
          <w:rFonts w:ascii="Times New Roman" w:hAnsi="Times New Roman"/>
          <w:sz w:val="20"/>
          <w:u w:val="single"/>
        </w:rPr>
        <w:t>NYFRB</w:t>
      </w:r>
      <w:r>
        <w:rPr>
          <w:rFonts w:ascii="Times New Roman" w:hAnsi="Times New Roman"/>
          <w:sz w:val="20"/>
        </w:rPr>
        <w:t xml:space="preserve">”), as set forth on its public website from time to time, and as published on the next succeeding Business Day as the overnight bank funding rate by the NYFRB (or by such other recognized electronic source (such as Bloomberg) selected by the Administrative Agent for the purpose of displaying such rate); </w:t>
      </w:r>
      <w:r>
        <w:rPr>
          <w:rFonts w:ascii="Times New Roman" w:hAnsi="Times New Roman"/>
          <w:sz w:val="20"/>
          <w:u w:val="single"/>
        </w:rPr>
        <w:t>provided</w:t>
      </w:r>
      <w:r>
        <w:rPr>
          <w:rFonts w:ascii="Times New Roman" w:hAnsi="Times New Roman"/>
          <w:sz w:val="20"/>
        </w:rPr>
        <w:t xml:space="preserve">, that if such day is not a Business Day, the Overnight Bank Funding Rate for such day shall be such rate on the immediately preceding Business Day;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rate shall at any time, for any reason, no longer exist, a comparable replacement rate determined by the Administrative Agent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Borrowers. </w:t>
      </w:r>
    </w:p>
    <w:p>
      <w:pPr>
        <w:pStyle w:val="TextBody"/>
        <w:bidi w:val="0"/>
        <w:spacing w:before="240" w:after="0"/>
        <w:jc w:val="left"/>
        <w:rPr/>
      </w:pPr>
      <w:r>
        <w:rPr/>
        <w:t>“</w:t>
      </w:r>
      <w:r>
        <w:rPr>
          <w:rFonts w:ascii="Times New Roman" w:hAnsi="Times New Roman"/>
          <w:sz w:val="20"/>
          <w:u w:val="single"/>
        </w:rPr>
        <w:t>Parent</w:t>
      </w:r>
      <w:r>
        <w:rPr>
          <w:rFonts w:ascii="Times New Roman" w:hAnsi="Times New Roman"/>
          <w:sz w:val="20"/>
        </w:rPr>
        <w:t xml:space="preserve">” means Lamar. </w:t>
      </w:r>
    </w:p>
    <w:p>
      <w:pPr>
        <w:pStyle w:val="TextBody"/>
        <w:bidi w:val="0"/>
        <w:spacing w:before="240" w:after="0"/>
        <w:jc w:val="left"/>
        <w:rPr/>
      </w:pPr>
      <w:r>
        <w:rPr/>
        <w:t>“</w:t>
      </w:r>
      <w:r>
        <w:rPr>
          <w:rFonts w:ascii="Times New Roman" w:hAnsi="Times New Roman"/>
          <w:sz w:val="20"/>
          <w:u w:val="single"/>
        </w:rPr>
        <w:t>Parent Entity</w:t>
      </w:r>
      <w:r>
        <w:rPr>
          <w:rFonts w:ascii="Times New Roman" w:hAnsi="Times New Roman"/>
          <w:sz w:val="20"/>
        </w:rPr>
        <w:t xml:space="preserve">” shall mean any direct or indirect parent of Holdings. </w:t>
      </w:r>
    </w:p>
    <w:p>
      <w:pPr>
        <w:pStyle w:val="TextBody"/>
        <w:bidi w:val="0"/>
        <w:spacing w:before="240" w:after="0"/>
        <w:jc w:val="left"/>
        <w:rPr/>
      </w:pPr>
      <w:r>
        <w:rPr/>
        <w:t>“</w:t>
      </w:r>
      <w:r>
        <w:rPr>
          <w:rFonts w:ascii="Times New Roman" w:hAnsi="Times New Roman"/>
          <w:sz w:val="20"/>
          <w:u w:val="single"/>
        </w:rPr>
        <w:t>Parent Group</w:t>
      </w:r>
      <w:r>
        <w:rPr>
          <w:rFonts w:ascii="Times New Roman" w:hAnsi="Times New Roman"/>
          <w:sz w:val="20"/>
        </w:rPr>
        <w:t xml:space="preserve">” has the meaning set forth in </w:t>
      </w:r>
      <w:r>
        <w:rPr>
          <w:rFonts w:ascii="Times New Roman" w:hAnsi="Times New Roman"/>
          <w:sz w:val="20"/>
          <w:u w:val="single"/>
        </w:rPr>
        <w:t>Section 8.03(c)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Participant</w:t>
      </w:r>
      <w:r>
        <w:rPr>
          <w:rFonts w:ascii="Times New Roman" w:hAnsi="Times New Roman"/>
          <w:sz w:val="20"/>
        </w:rPr>
        <w:t xml:space="preserve">” has the meaning set forth in </w:t>
      </w:r>
      <w:r>
        <w:rPr>
          <w:rFonts w:ascii="Times New Roman" w:hAnsi="Times New Roman"/>
          <w:sz w:val="20"/>
          <w:u w:val="single"/>
        </w:rPr>
        <w:t>Section 14.03(d)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Participant Register</w:t>
      </w:r>
      <w:r>
        <w:rPr>
          <w:rFonts w:ascii="Times New Roman" w:hAnsi="Times New Roman"/>
          <w:sz w:val="20"/>
        </w:rPr>
        <w:t xml:space="preserve">” has the meaning set forth in </w:t>
      </w:r>
      <w:r>
        <w:rPr>
          <w:rFonts w:ascii="Times New Roman" w:hAnsi="Times New Roman"/>
          <w:sz w:val="20"/>
          <w:u w:val="single"/>
        </w:rPr>
        <w:t>Section 14.03(e)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Payment Recipient</w:t>
      </w:r>
      <w:r>
        <w:rPr>
          <w:rFonts w:ascii="Times New Roman" w:hAnsi="Times New Roman"/>
          <w:sz w:val="20"/>
        </w:rPr>
        <w:t xml:space="preserve">” has the meaning set forth in </w:t>
      </w:r>
      <w:r>
        <w:rPr>
          <w:rFonts w:ascii="Times New Roman" w:hAnsi="Times New Roman"/>
          <w:sz w:val="20"/>
          <w:u w:val="single"/>
        </w:rPr>
        <w:t>Section 11.12(a)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PBGC</w:t>
      </w:r>
      <w:r>
        <w:rPr>
          <w:rFonts w:ascii="Times New Roman" w:hAnsi="Times New Roman"/>
          <w:sz w:val="20"/>
        </w:rPr>
        <w:t xml:space="preserve">” means the Pension Benefit Guaranty Corporation, or any successor thereto. </w:t>
      </w:r>
    </w:p>
    <w:p>
      <w:pPr>
        <w:pStyle w:val="TextBody"/>
        <w:bidi w:val="0"/>
        <w:spacing w:before="240" w:after="0"/>
        <w:jc w:val="left"/>
        <w:rPr/>
      </w:pPr>
      <w:r>
        <w:rPr/>
        <w:t>“</w:t>
      </w:r>
      <w:r>
        <w:rPr>
          <w:rFonts w:ascii="Times New Roman" w:hAnsi="Times New Roman"/>
          <w:sz w:val="20"/>
          <w:u w:val="single"/>
        </w:rPr>
        <w:t>Pension Plan</w:t>
      </w:r>
      <w:r>
        <w:rPr>
          <w:rFonts w:ascii="Times New Roman" w:hAnsi="Times New Roman"/>
          <w:sz w:val="20"/>
        </w:rPr>
        <w:t xml:space="preserve">” means a pension plan as defined in Section 3(2) of ERISA that is subject to Title IV of ERISA with respect to which any Lamar Party or any of their respective ERISA Affiliates may have any liability, contingent or otherwise. </w:t>
      </w:r>
    </w:p>
    <w:p>
      <w:pPr>
        <w:pStyle w:val="TextBody"/>
        <w:bidi w:val="0"/>
        <w:spacing w:before="240" w:after="0"/>
        <w:jc w:val="left"/>
        <w:rPr/>
      </w:pPr>
      <w:r>
        <w:rPr/>
        <w:t>“</w:t>
      </w:r>
      <w:r>
        <w:rPr>
          <w:rFonts w:ascii="Times New Roman" w:hAnsi="Times New Roman"/>
          <w:sz w:val="20"/>
          <w:u w:val="single"/>
        </w:rPr>
        <w:t>Percentage</w:t>
      </w:r>
      <w:r>
        <w:rPr>
          <w:rFonts w:ascii="Times New Roman" w:hAnsi="Times New Roman"/>
          <w:sz w:val="20"/>
        </w:rPr>
        <w:t xml:space="preserve">” means, at any time of determination, with respect to any Lender, a fraction (expressed as a percentage), (a) the numerator of which is (i) prior to the termination of all Commitments hereunder, its Commitment at such time or (ii) if all Commitments hereunder have been terminated, the aggregate outstanding Capital of all Loans being funded by the Lenders at such time and (b) the denominator of which is (i) prior to the termination of all Commitments hereunder, the aggregate Commitments of all Lenders at such time or (ii) if all Commitments hereunder have been terminated, the Aggregate Capital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Performance Guarantor</w:t>
      </w:r>
      <w:r>
        <w:rPr>
          <w:rFonts w:ascii="Times New Roman" w:hAnsi="Times New Roman"/>
          <w:sz w:val="20"/>
        </w:rPr>
        <w:t xml:space="preserve">” means Parent. </w:t>
      </w:r>
    </w:p>
    <w:p>
      <w:pPr>
        <w:pStyle w:val="TextBody"/>
        <w:bidi w:val="0"/>
        <w:spacing w:before="240" w:after="0"/>
        <w:jc w:val="left"/>
        <w:rPr/>
      </w:pPr>
      <w:r>
        <w:rPr/>
        <w:t>“</w:t>
      </w:r>
      <w:r>
        <w:rPr>
          <w:rFonts w:ascii="Times New Roman" w:hAnsi="Times New Roman"/>
          <w:sz w:val="20"/>
          <w:u w:val="single"/>
        </w:rPr>
        <w:t>Performance Guaranty</w:t>
      </w:r>
      <w:r>
        <w:rPr>
          <w:rFonts w:ascii="Times New Roman" w:hAnsi="Times New Roman"/>
          <w:sz w:val="20"/>
        </w:rPr>
        <w:t xml:space="preserve">” means the Amended and Restated Performance Guaranty, dated as of the Seventh Amendment Date, by the Performance Guarantor in favor of the Administrative Agent for the benefit of the Secured Parties, as such agreement may be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Permitted Adverse Claim</w:t>
      </w:r>
      <w:r>
        <w:rPr>
          <w:rFonts w:ascii="Times New Roman" w:hAnsi="Times New Roman"/>
          <w:sz w:val="20"/>
        </w:rPr>
        <w:t xml:space="preserve">” means any Adverse Claim (i) in favor of any Collection Account Bank on any Collection Account to the extent permitted under the applicable Account Control Agreement (and only to the extent relating to the Collection Accounts and the amount on deposit therein), (ii) that constitutes an inchoate lien in respect of Taxes that are either (x) not yet due and payable or (y) being contested in good faith and as to which adequate reserves have been provided in accordance with GAAP, but only so long as no enforcement action, execution, levy or foreclosure proceeding shall have been commenced or threatened and the use and value of the property to which the liens attach are not impaired during the pendency of such proceedings, (iii) as to which no enforcement action, execution, levy or foreclosure proceeding shall have been commenced or threatened and that secure the payment of taxes, assessments or governmental charges or levies, if any only to the extent the same are either (x) not yet due and payable or (y) being contested in good faith and as to which adequate reserves have been provided in accordance with GAAP or (iv) solely with respect to any Adverse Claim in respect of Related Security constituting goods (but not proceeds thereof), any Adverse Claim as to which no enforcement action, execution, levy or foreclosure proceeding shall have been commenced or threatened and that only secures the payment of taxes, assessments and governmental charges or levies, to the extent the same are Adverse Claims imposed by law, such as landlord’s, carrier’s, warehousemen’s and mechanic’s liens and other similar liens that (a) arise in the ordinary course of business, (b) do not constitute consensual claims of ownership or liens granted by any Person and (c) secure obligations that are either not yet due and payable or that are being contested in good faith and as to which adequate reserves have been provided in accordance with GAAP. </w:t>
      </w:r>
    </w:p>
    <w:p>
      <w:pPr>
        <w:pStyle w:val="TextBody"/>
        <w:bidi w:val="0"/>
        <w:spacing w:before="240" w:after="0"/>
        <w:jc w:val="left"/>
        <w:rPr/>
      </w:pPr>
      <w:r>
        <w:rPr/>
        <w:t>“</w:t>
      </w:r>
      <w:r>
        <w:rPr>
          <w:rFonts w:ascii="Times New Roman" w:hAnsi="Times New Roman"/>
          <w:sz w:val="20"/>
          <w:u w:val="single"/>
        </w:rPr>
        <w:t>Permitted Disbursements</w:t>
      </w:r>
      <w:r>
        <w:rPr>
          <w:rFonts w:ascii="Times New Roman" w:hAnsi="Times New Roman"/>
          <w:sz w:val="20"/>
        </w:rPr>
        <w:t xml:space="preserve">” means any check or other payment order drawn on or payable against any Collection Account that is issued prior to the Closing Date.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 individual, partnership, corporation (including a business trust), joint stock company, trust, unincorporated association, joint venture, limited liability company or other entity, or any Governmental Authority. </w:t>
      </w:r>
    </w:p>
    <w:p>
      <w:pPr>
        <w:pStyle w:val="TextBody"/>
        <w:bidi w:val="0"/>
        <w:spacing w:before="240" w:after="0"/>
        <w:jc w:val="left"/>
        <w:rPr/>
      </w:pPr>
      <w:r>
        <w:rPr/>
        <w:t>“</w:t>
      </w:r>
      <w:r>
        <w:rPr>
          <w:rFonts w:ascii="Times New Roman" w:hAnsi="Times New Roman"/>
          <w:sz w:val="20"/>
          <w:u w:val="single"/>
        </w:rPr>
        <w:t>PNC</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to this Agreement. </w:t>
      </w:r>
    </w:p>
    <w:p>
      <w:pPr>
        <w:pStyle w:val="TextBody"/>
        <w:bidi w:val="0"/>
        <w:spacing w:before="240" w:after="0"/>
        <w:jc w:val="left"/>
        <w:rPr/>
      </w:pPr>
      <w:r>
        <w:rPr/>
        <w:t>“</w:t>
      </w:r>
      <w:r>
        <w:rPr>
          <w:rFonts w:ascii="Times New Roman" w:hAnsi="Times New Roman"/>
          <w:sz w:val="20"/>
          <w:u w:val="single"/>
        </w:rPr>
        <w:t>Pool Receivable</w:t>
      </w:r>
      <w:r>
        <w:rPr>
          <w:rFonts w:ascii="Times New Roman" w:hAnsi="Times New Roman"/>
          <w:sz w:val="20"/>
        </w:rPr>
        <w:t xml:space="preserve">” means a Receivable in the Receivables Pool. </w:t>
      </w:r>
    </w:p>
    <w:p>
      <w:pPr>
        <w:pStyle w:val="TextBody"/>
        <w:bidi w:val="0"/>
        <w:spacing w:before="240" w:after="0"/>
        <w:jc w:val="left"/>
        <w:rPr/>
      </w:pPr>
      <w:r>
        <w:rPr/>
        <w:t>“</w:t>
      </w:r>
      <w:r>
        <w:rPr>
          <w:rFonts w:ascii="Times New Roman" w:hAnsi="Times New Roman"/>
          <w:sz w:val="20"/>
          <w:u w:val="single"/>
        </w:rPr>
        <w:t>Portion of Capital</w:t>
      </w:r>
      <w:r>
        <w:rPr>
          <w:rFonts w:ascii="Times New Roman" w:hAnsi="Times New Roman"/>
          <w:sz w:val="20"/>
        </w:rPr>
        <w:t xml:space="preserve">” means, with respect to any Lender and its related Capital, the portion of such Capital being funded or maintained by such Lender by reference to a particular interest rate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Post-Closing Date</w:t>
      </w:r>
      <w:r>
        <w:rPr>
          <w:rFonts w:ascii="Times New Roman" w:hAnsi="Times New Roman"/>
          <w:sz w:val="20"/>
        </w:rPr>
        <w:t xml:space="preserve">” means the date occurring sixty (60) days following the Seventh Amendment Date (or such later date as the Administrative Agent shall consent to in writing). </w:t>
      </w:r>
    </w:p>
    <w:p>
      <w:pPr>
        <w:pStyle w:val="TextBody"/>
        <w:bidi w:val="0"/>
        <w:spacing w:before="240" w:after="0"/>
        <w:jc w:val="left"/>
        <w:rPr/>
      </w:pPr>
      <w:r>
        <w:rPr/>
        <w:t>“</w:t>
      </w:r>
      <w:r>
        <w:rPr>
          <w:rFonts w:ascii="Times New Roman" w:hAnsi="Times New Roman"/>
          <w:sz w:val="20"/>
          <w:u w:val="single"/>
        </w:rPr>
        <w:t>Purchase and Sale Agreement</w:t>
      </w:r>
      <w:r>
        <w:rPr>
          <w:rFonts w:ascii="Times New Roman" w:hAnsi="Times New Roman"/>
          <w:sz w:val="20"/>
        </w:rPr>
        <w:t xml:space="preserve">” means each of the QRS Purchase and Sale Agreement and the TRS Purchase and Sale Agreement. </w:t>
      </w:r>
    </w:p>
    <w:p>
      <w:pPr>
        <w:pStyle w:val="TextBody"/>
        <w:bidi w:val="0"/>
        <w:spacing w:before="240" w:after="0"/>
        <w:jc w:val="left"/>
        <w:rPr/>
      </w:pPr>
      <w:r>
        <w:rPr/>
        <w:t>“</w:t>
      </w:r>
      <w:r>
        <w:rPr>
          <w:rFonts w:ascii="Times New Roman" w:hAnsi="Times New Roman"/>
          <w:sz w:val="20"/>
          <w:u w:val="single"/>
        </w:rPr>
        <w:t>Purchase and Sale Termination Event</w:t>
      </w:r>
      <w:r>
        <w:rPr>
          <w:rFonts w:ascii="Times New Roman" w:hAnsi="Times New Roman"/>
          <w:sz w:val="20"/>
        </w:rPr>
        <w:t xml:space="preserve">” has the meaning set forth in the applicable Purchase and Sale Agreement. </w:t>
      </w:r>
    </w:p>
    <w:p>
      <w:pPr>
        <w:pStyle w:val="TextBody"/>
        <w:bidi w:val="0"/>
        <w:spacing w:before="240" w:after="0"/>
        <w:jc w:val="left"/>
        <w:rPr/>
      </w:pPr>
      <w:r>
        <w:rPr/>
        <w:t>“</w:t>
      </w:r>
      <w:r>
        <w:rPr>
          <w:rFonts w:ascii="Times New Roman" w:hAnsi="Times New Roman"/>
          <w:sz w:val="20"/>
          <w:u w:val="single"/>
        </w:rPr>
        <w:t>QRS Borrower</w:t>
      </w:r>
      <w:r>
        <w:rPr>
          <w:rFonts w:ascii="Times New Roman" w:hAnsi="Times New Roman"/>
          <w:sz w:val="20"/>
        </w:rPr>
        <w:t xml:space="preserve">” has the meaning specified in the </w:t>
      </w:r>
      <w:r>
        <w:rPr>
          <w:rFonts w:ascii="Times New Roman" w:hAnsi="Times New Roman"/>
          <w:sz w:val="20"/>
          <w:u w:val="single"/>
        </w:rPr>
        <w:t>preamble</w:t>
      </w:r>
      <w:r>
        <w:rPr>
          <w:rFonts w:ascii="Times New Roman" w:hAnsi="Times New Roman"/>
          <w:sz w:val="20"/>
        </w:rPr>
        <w:t xml:space="preserve"> to this Agreement. </w:t>
      </w:r>
    </w:p>
    <w:p>
      <w:pPr>
        <w:pStyle w:val="TextBody"/>
        <w:bidi w:val="0"/>
        <w:spacing w:before="240" w:after="0"/>
        <w:jc w:val="left"/>
        <w:rPr/>
      </w:pPr>
      <w:r>
        <w:rPr/>
        <w:t>“</w:t>
      </w:r>
      <w:r>
        <w:rPr>
          <w:rFonts w:ascii="Times New Roman" w:hAnsi="Times New Roman"/>
          <w:sz w:val="20"/>
          <w:u w:val="single"/>
        </w:rPr>
        <w:t>QRS Originator</w:t>
      </w:r>
      <w:r>
        <w:rPr>
          <w:rFonts w:ascii="Times New Roman" w:hAnsi="Times New Roman"/>
          <w:sz w:val="20"/>
        </w:rPr>
        <w:t>” and “</w:t>
      </w:r>
      <w:r>
        <w:rPr>
          <w:rFonts w:ascii="Times New Roman" w:hAnsi="Times New Roman"/>
          <w:sz w:val="20"/>
          <w:u w:val="single"/>
        </w:rPr>
        <w:t>QRS Originators</w:t>
      </w:r>
      <w:r>
        <w:rPr>
          <w:rFonts w:ascii="Times New Roman" w:hAnsi="Times New Roman"/>
          <w:sz w:val="20"/>
        </w:rPr>
        <w:t xml:space="preserve">” have the meaning set forth in the QRS Purchase and Sale Agreement, as the same may be modified from time to time by adding new QRS Originators or removing QRS Originators, in each case in accordance with the prior written consent of the Administrative Agent. </w:t>
      </w:r>
    </w:p>
    <w:p>
      <w:pPr>
        <w:pStyle w:val="TextBody"/>
        <w:bidi w:val="0"/>
        <w:spacing w:before="240" w:after="0"/>
        <w:jc w:val="left"/>
        <w:rPr/>
      </w:pPr>
      <w:r>
        <w:rPr/>
        <w:t>“</w:t>
      </w:r>
      <w:r>
        <w:rPr>
          <w:rFonts w:ascii="Times New Roman" w:hAnsi="Times New Roman"/>
          <w:sz w:val="20"/>
          <w:u w:val="single"/>
        </w:rPr>
        <w:t>QRS Purchase and Sale Agreement</w:t>
      </w:r>
      <w:r>
        <w:rPr>
          <w:rFonts w:ascii="Times New Roman" w:hAnsi="Times New Roman"/>
          <w:sz w:val="20"/>
        </w:rPr>
        <w:t xml:space="preserve">” means the Purchase and Sale Agreement, dated as of the Closing Date, among the Servicer, the QRS Originators and the QRS Borrower, as such agreement may be amended, supplemented or otherwise modified from time to time. </w:t>
      </w:r>
    </w:p>
    <w:p>
      <w:pPr>
        <w:pStyle w:val="TextBody"/>
        <w:bidi w:val="0"/>
        <w:spacing w:before="240" w:after="0"/>
        <w:jc w:val="left"/>
        <w:rPr/>
      </w:pPr>
      <w:r>
        <w:rPr/>
        <w:t>“</w:t>
      </w:r>
      <w:r>
        <w:rPr>
          <w:rFonts w:ascii="Times New Roman" w:hAnsi="Times New Roman"/>
          <w:sz w:val="20"/>
          <w:u w:val="single"/>
        </w:rPr>
        <w:t>Qualified Reilly Partnership</w:t>
      </w:r>
      <w:r>
        <w:rPr>
          <w:rFonts w:ascii="Times New Roman" w:hAnsi="Times New Roman"/>
          <w:sz w:val="20"/>
        </w:rPr>
        <w:t xml:space="preserve">” means any general or limited partnership, all of the partnership interests of which are owned by (a) Kevin P. Reilly, Sr., (b) his wife, (c) his children, (d) his children’s spouses, (e) his grandchildren, or (f) trusts of which he, his wife, his children, his children’s spouses and his grandchildren are the sole beneficiaries and for which one or more of such individuals are the sole trustee(s). </w:t>
      </w:r>
    </w:p>
    <w:p>
      <w:pPr>
        <w:pStyle w:val="TextBody"/>
        <w:bidi w:val="0"/>
        <w:spacing w:before="240" w:after="0"/>
        <w:jc w:val="left"/>
        <w:rPr/>
      </w:pPr>
      <w:r>
        <w:rPr/>
        <w:t>“</w:t>
      </w:r>
      <w:r>
        <w:rPr>
          <w:rFonts w:ascii="Times New Roman" w:hAnsi="Times New Roman"/>
          <w:sz w:val="20"/>
          <w:u w:val="single"/>
        </w:rPr>
        <w:t>Qualifying Commingling Report</w:t>
      </w:r>
      <w:r>
        <w:rPr>
          <w:rFonts w:ascii="Times New Roman" w:hAnsi="Times New Roman"/>
          <w:sz w:val="20"/>
        </w:rPr>
        <w:t xml:space="preserve">” has the meaning set forth in </w:t>
      </w:r>
      <w:r>
        <w:rPr>
          <w:rFonts w:ascii="Times New Roman" w:hAnsi="Times New Roman"/>
          <w:sz w:val="20"/>
          <w:u w:val="single"/>
        </w:rPr>
        <w:t>Section 9.04(d)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Ratings Event</w:t>
      </w:r>
      <w:r>
        <w:rPr>
          <w:rFonts w:ascii="Times New Roman" w:hAnsi="Times New Roman"/>
          <w:sz w:val="20"/>
        </w:rPr>
        <w:t xml:space="preserve">” means, at any time of determination, any Ratings Event Level I or any Ratings Event Level II. </w:t>
      </w:r>
    </w:p>
    <w:p>
      <w:pPr>
        <w:pStyle w:val="TextBody"/>
        <w:bidi w:val="0"/>
        <w:spacing w:before="240" w:after="0"/>
        <w:jc w:val="left"/>
        <w:rPr/>
      </w:pPr>
      <w:r>
        <w:rPr/>
        <w:t>“</w:t>
      </w:r>
      <w:r>
        <w:rPr>
          <w:rFonts w:ascii="Times New Roman" w:hAnsi="Times New Roman"/>
          <w:sz w:val="20"/>
          <w:u w:val="single"/>
        </w:rPr>
        <w:t>Ratings Event Level I</w:t>
      </w:r>
      <w:r>
        <w:rPr>
          <w:rFonts w:ascii="Times New Roman" w:hAnsi="Times New Roman"/>
          <w:sz w:val="20"/>
        </w:rPr>
        <w:t xml:space="preserve">” means, at any time of determination, one or more of the following events has occurred and is continuing: (i) Holdings’ (x) corporate credit rating is below BB- by S&amp;P or (y) corporate family rating is below Ba3 by Moody’s, (ii) Holdings does not have a corporate credit rating by S&amp;P or (iii) Holdings does not have a corporate family rating by Moody’s. </w:t>
      </w:r>
    </w:p>
    <w:p>
      <w:pPr>
        <w:pStyle w:val="TextBody"/>
        <w:bidi w:val="0"/>
        <w:spacing w:before="240" w:after="0"/>
        <w:jc w:val="left"/>
        <w:rPr/>
      </w:pPr>
      <w:r>
        <w:rPr/>
        <w:t>“</w:t>
      </w:r>
      <w:r>
        <w:rPr>
          <w:rFonts w:ascii="Times New Roman" w:hAnsi="Times New Roman"/>
          <w:sz w:val="20"/>
          <w:u w:val="single"/>
        </w:rPr>
        <w:t>Ratings Event Level II</w:t>
      </w:r>
      <w:r>
        <w:rPr>
          <w:rFonts w:ascii="Times New Roman" w:hAnsi="Times New Roman"/>
          <w:sz w:val="20"/>
        </w:rPr>
        <w:t xml:space="preserve">” means, at any time of determination, one or more of the following events has occurred and is continuing: (i) Holdings’ (x) corporate credit rating is below B+ by S&amp;P or (y) corporate family rating is below B1 by Moody’s, (ii) Holdings does not have a corporate credit rating by S&amp;P or (iii) Holdings does not have a corporate family rating by Moody’s. </w:t>
      </w:r>
    </w:p>
    <w:p>
      <w:pPr>
        <w:pStyle w:val="TextBody"/>
        <w:bidi w:val="0"/>
        <w:spacing w:before="240" w:after="0"/>
        <w:jc w:val="left"/>
        <w:rPr/>
      </w:pPr>
      <w:r>
        <w:rPr/>
        <w:t>“</w:t>
      </w:r>
      <w:r>
        <w:rPr>
          <w:rFonts w:ascii="Times New Roman" w:hAnsi="Times New Roman"/>
          <w:sz w:val="20"/>
          <w:u w:val="single"/>
        </w:rPr>
        <w:t>Receivable</w:t>
      </w:r>
      <w:r>
        <w:rPr>
          <w:rFonts w:ascii="Times New Roman" w:hAnsi="Times New Roman"/>
          <w:sz w:val="20"/>
        </w:rPr>
        <w:t xml:space="preserve">” means any right to payment of a monetary obligation, whether or not earned by performance, owed to any Originator or any Borrower (as assignee of an Originator), whether constituting an account, chattel paper, payment intangible, instrument or general intangible, in each instance arising in connection with the sale of goods that have been or are to be sold or for services rendered or to be rendered, and includes, without limitation, the obligation to pay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service charges, finance charges, interest, fees and other charges with respect thereto;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Excluded Receivable shall constitute a “Receivable”. Any such right to payment arising from any one transaction, including, without limitation, any such right to payment represented by an individual invoice or agreement, shall constitute a Receivable separate from a Receivable consisting of any such right to payment arising from any other transaction. </w:t>
      </w:r>
    </w:p>
    <w:p>
      <w:pPr>
        <w:pStyle w:val="TextBody"/>
        <w:bidi w:val="0"/>
        <w:spacing w:before="240" w:after="0"/>
        <w:jc w:val="left"/>
        <w:rPr/>
      </w:pPr>
      <w:r>
        <w:rPr/>
        <w:t>“</w:t>
      </w:r>
      <w:r>
        <w:rPr>
          <w:rFonts w:ascii="Times New Roman" w:hAnsi="Times New Roman"/>
          <w:sz w:val="20"/>
          <w:u w:val="single"/>
        </w:rPr>
        <w:t>Receivables Pool</w:t>
      </w:r>
      <w:r>
        <w:rPr>
          <w:rFonts w:ascii="Times New Roman" w:hAnsi="Times New Roman"/>
          <w:sz w:val="20"/>
        </w:rPr>
        <w:t xml:space="preserve">” means, at any time of determination, all of the then outstanding Receivables transferred (or purported to be transferred) to the Borrowers pursuant to the Purchase and Sale Agreements prior to the Termination Date. </w:t>
      </w:r>
    </w:p>
    <w:p>
      <w:pPr>
        <w:pStyle w:val="TextBody"/>
        <w:bidi w:val="0"/>
        <w:spacing w:before="240" w:after="0"/>
        <w:jc w:val="left"/>
        <w:rPr/>
      </w:pPr>
      <w:r>
        <w:rPr/>
        <w:t>“</w:t>
      </w:r>
      <w:r>
        <w:rPr>
          <w:rFonts w:ascii="Times New Roman" w:hAnsi="Times New Roman"/>
          <w:sz w:val="20"/>
          <w:u w:val="single"/>
        </w:rPr>
        <w:t>Register</w:t>
      </w:r>
      <w:r>
        <w:rPr>
          <w:rFonts w:ascii="Times New Roman" w:hAnsi="Times New Roman"/>
          <w:sz w:val="20"/>
        </w:rPr>
        <w:t xml:space="preserve">” has the meaning set forth in </w:t>
      </w:r>
      <w:r>
        <w:rPr>
          <w:rFonts w:ascii="Times New Roman" w:hAnsi="Times New Roman"/>
          <w:sz w:val="20"/>
          <w:u w:val="single"/>
        </w:rPr>
        <w:t>Section 14.03(b)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REIT</w:t>
      </w:r>
      <w:r>
        <w:rPr>
          <w:rFonts w:ascii="Times New Roman" w:hAnsi="Times New Roman"/>
          <w:sz w:val="20"/>
        </w:rPr>
        <w:t xml:space="preserve">” means a “real estate investment trust” as defined and taxed under Sections 856—860 of the Code. </w:t>
      </w:r>
    </w:p>
    <w:p>
      <w:pPr>
        <w:pStyle w:val="TextBody"/>
        <w:bidi w:val="0"/>
        <w:spacing w:before="240" w:after="0"/>
        <w:jc w:val="left"/>
        <w:rPr/>
      </w:pPr>
      <w:r>
        <w:rPr/>
        <w:t>“</w:t>
      </w:r>
      <w:r>
        <w:rPr>
          <w:rFonts w:ascii="Times New Roman" w:hAnsi="Times New Roman"/>
          <w:sz w:val="20"/>
          <w:u w:val="single"/>
        </w:rPr>
        <w:t>Related Rights</w:t>
      </w:r>
      <w:r>
        <w:rPr>
          <w:rFonts w:ascii="Times New Roman" w:hAnsi="Times New Roman"/>
          <w:sz w:val="20"/>
        </w:rPr>
        <w:t xml:space="preserve">” has the meaning set forth in </w:t>
      </w:r>
      <w:r>
        <w:rPr>
          <w:rFonts w:ascii="Times New Roman" w:hAnsi="Times New Roman"/>
          <w:sz w:val="20"/>
          <w:u w:val="single"/>
        </w:rPr>
        <w:t>Section 1.1</w:t>
      </w:r>
      <w:r>
        <w:rPr>
          <w:rFonts w:ascii="Times New Roman" w:hAnsi="Times New Roman"/>
          <w:sz w:val="20"/>
        </w:rPr>
        <w:t xml:space="preserve"> of the Purchase and Sale Agreement. </w:t>
      </w:r>
    </w:p>
    <w:p>
      <w:pPr>
        <w:pStyle w:val="TextBody"/>
        <w:bidi w:val="0"/>
        <w:spacing w:before="240" w:after="0"/>
        <w:jc w:val="left"/>
        <w:rPr/>
      </w:pPr>
      <w:r>
        <w:rPr/>
        <w:t>“</w:t>
      </w:r>
      <w:r>
        <w:rPr>
          <w:rFonts w:ascii="Times New Roman" w:hAnsi="Times New Roman"/>
          <w:sz w:val="20"/>
          <w:u w:val="single"/>
        </w:rPr>
        <w:t>Related Security</w:t>
      </w:r>
      <w:r>
        <w:rPr>
          <w:rFonts w:ascii="Times New Roman" w:hAnsi="Times New Roman"/>
          <w:sz w:val="20"/>
        </w:rPr>
        <w:t xml:space="preserve">” means, with respect to any Receivable: </w:t>
      </w:r>
    </w:p>
    <w:p>
      <w:pPr>
        <w:pStyle w:val="TextBody"/>
        <w:bidi w:val="0"/>
        <w:spacing w:before="120" w:after="0"/>
        <w:jc w:val="left"/>
        <w:rPr>
          <w:rFonts w:ascii="Times New Roman" w:hAnsi="Times New Roman"/>
          <w:sz w:val="20"/>
        </w:rPr>
      </w:pPr>
      <w:r>
        <w:rPr>
          <w:rFonts w:ascii="Times New Roman" w:hAnsi="Times New Roman"/>
          <w:sz w:val="20"/>
        </w:rPr>
        <w:t xml:space="preserve">(a) all of the applicable Borrower’s and each Originator’s interest in any goods (including Returned Goods), and documentation of title evidencing the shipment or storage of any goods (including Returned Goods), the sale of which gave rise to such Receivable; </w:t>
      </w:r>
    </w:p>
    <w:p>
      <w:pPr>
        <w:pStyle w:val="TextBody"/>
        <w:bidi w:val="0"/>
        <w:spacing w:before="120" w:after="0"/>
        <w:jc w:val="left"/>
        <w:rPr>
          <w:rFonts w:ascii="Times New Roman" w:hAnsi="Times New Roman"/>
          <w:sz w:val="20"/>
        </w:rPr>
      </w:pPr>
      <w:r>
        <w:rPr>
          <w:rFonts w:ascii="Times New Roman" w:hAnsi="Times New Roman"/>
          <w:sz w:val="20"/>
        </w:rPr>
        <w:t xml:space="preserve">(b) all instruments and chattel paper that may evidence such Receivable; </w:t>
      </w:r>
    </w:p>
    <w:p>
      <w:pPr>
        <w:pStyle w:val="TextBody"/>
        <w:bidi w:val="0"/>
        <w:spacing w:before="120" w:after="0"/>
        <w:jc w:val="left"/>
        <w:rPr>
          <w:rFonts w:ascii="Times New Roman" w:hAnsi="Times New Roman"/>
          <w:sz w:val="20"/>
        </w:rPr>
      </w:pPr>
      <w:r>
        <w:rPr>
          <w:rFonts w:ascii="Times New Roman" w:hAnsi="Times New Roman"/>
          <w:sz w:val="20"/>
        </w:rPr>
        <w:t xml:space="preserve">(c) all other security interests or liens and property subject thereto from time to time purporting to secure payment of such Receivable, whether pursuant to the Contract related to such Receivable or otherwise, together with all UCC financing statements or similar filings relating thereto; </w:t>
      </w:r>
    </w:p>
    <w:p>
      <w:pPr>
        <w:pStyle w:val="TextBody"/>
        <w:bidi w:val="0"/>
        <w:spacing w:before="120" w:after="0"/>
        <w:jc w:val="left"/>
        <w:rPr>
          <w:rFonts w:ascii="Times New Roman" w:hAnsi="Times New Roman"/>
          <w:sz w:val="20"/>
        </w:rPr>
      </w:pPr>
      <w:r>
        <w:rPr>
          <w:rFonts w:ascii="Times New Roman" w:hAnsi="Times New Roman"/>
          <w:sz w:val="20"/>
        </w:rPr>
        <w:t xml:space="preserve">(d) all of the applicable Borrower’s and each Originator’s rights, interests and claims under the related Contracts and all guaranties, indemnities, insurance and other agreements (including the related Contract) or arrangements of whatever character from time to time supporting or securing payment of such Receivable or otherwise relating to such Receivable, whether pursuant to the Contract related to such Receivable or otherwise; </w:t>
      </w:r>
    </w:p>
    <w:p>
      <w:pPr>
        <w:pStyle w:val="TextBody"/>
        <w:bidi w:val="0"/>
        <w:spacing w:before="120" w:after="0"/>
        <w:jc w:val="left"/>
        <w:rPr>
          <w:rFonts w:ascii="Times New Roman" w:hAnsi="Times New Roman"/>
          <w:sz w:val="20"/>
        </w:rPr>
      </w:pPr>
      <w:r>
        <w:rPr>
          <w:rFonts w:ascii="Times New Roman" w:hAnsi="Times New Roman"/>
          <w:sz w:val="20"/>
        </w:rPr>
        <w:t xml:space="preserve">(e) all books and records of each Borrower and each Originator to the extent related to any of the foregoing, and all rights, remedies, powers, privileges, title and interest (but not obligations) in and to each Lock-Box and all Collection Accounts, into which any Collections or other proceeds with respect to such Receivables may be deposited, and any related investment property acquired with any such Collections or other proceeds (as such term is defined in the applicable UCC); </w:t>
      </w:r>
    </w:p>
    <w:p>
      <w:pPr>
        <w:pStyle w:val="TextBody"/>
        <w:bidi w:val="0"/>
        <w:spacing w:before="120" w:after="0"/>
        <w:jc w:val="left"/>
        <w:rPr>
          <w:rFonts w:ascii="Times New Roman" w:hAnsi="Times New Roman"/>
          <w:sz w:val="20"/>
        </w:rPr>
      </w:pPr>
      <w:r>
        <w:rPr>
          <w:rFonts w:ascii="Times New Roman" w:hAnsi="Times New Roman"/>
          <w:sz w:val="20"/>
        </w:rPr>
        <w:t xml:space="preserve">(f) all of the applicable Borrower’s rights, interests and claims under the applicable Purchase and Sale Agreement and the other Transaction Documents;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all Collections and other proceeds (as defined in the UCC) of any of the foregoing. </w:t>
      </w:r>
    </w:p>
    <w:p>
      <w:pPr>
        <w:pStyle w:val="TextBody"/>
        <w:bidi w:val="0"/>
        <w:spacing w:before="240" w:after="0"/>
        <w:jc w:val="left"/>
        <w:rPr/>
      </w:pPr>
      <w:r>
        <w:rPr/>
        <w:t>“</w:t>
      </w:r>
      <w:r>
        <w:rPr>
          <w:rFonts w:ascii="Times New Roman" w:hAnsi="Times New Roman"/>
          <w:sz w:val="20"/>
          <w:u w:val="single"/>
        </w:rPr>
        <w:t>Release</w:t>
      </w:r>
      <w:r>
        <w:rPr>
          <w:rFonts w:ascii="Times New Roman" w:hAnsi="Times New Roman"/>
          <w:sz w:val="20"/>
        </w:rPr>
        <w:t xml:space="preserve">” has the meaning set forth in </w:t>
      </w:r>
      <w:r>
        <w:rPr>
          <w:rFonts w:ascii="Times New Roman" w:hAnsi="Times New Roman"/>
          <w:sz w:val="20"/>
          <w:u w:val="single"/>
        </w:rPr>
        <w:t>Section 4.01(a)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Reportable Compliance Event</w:t>
      </w:r>
      <w:r>
        <w:rPr>
          <w:rFonts w:ascii="Times New Roman" w:hAnsi="Times New Roman"/>
          <w:sz w:val="20"/>
        </w:rPr>
        <w:t xml:space="preserve">” means that: (a) any Covered Entity becomes a Sanctioned Person, or is charged by indictment, criminal complaint, or similar charging instrument, arraigned, custodially detained, penalized or the subject of an assessment for a penalty, by, or enters into a settlement with a Governmental Authority in connection with any Anti-Corruption Law, Anti-Money Laundering Law or International Trade Law, or any predicate crime to any Anti-Corruption Law, Anti-Money Laundering Law or International Trade Law, or has knowledge of facts or circumstances to the effect that it is reasonably likely that any aspect of its operations represents a violation of any Anti-Corruption Law, Anti-Money Laundering Law or International Trade Law; (b) any Covered Entity engages in a transaction that has caused or would cause any Person hereunder (including any Credit Party and any underwriter, advisor, investor, or otherwise) to be in violation of any International Trade Law or Anti-Corruption Law, including a Covered Entity’s use of any proceeds of the Loans hereunder to directly or indirectly fund any activities or business of, with, or for the benefit of any Person that is a Sanctioned Person, or to fund or facilitate any activities or business of or in any Sanctioned Jurisdiction; (c) any Collateral qualifies as Blocked Property; or (d) any Covered Entity otherwise violates, or reasonably believes that it will violate, any of the International Trade Law or Anti-Corruption Law-specific representations and covenants herein. </w:t>
      </w:r>
    </w:p>
    <w:p>
      <w:pPr>
        <w:pStyle w:val="TextBody"/>
        <w:bidi w:val="0"/>
        <w:spacing w:before="240" w:after="0"/>
        <w:jc w:val="left"/>
        <w:rPr/>
      </w:pPr>
      <w:r>
        <w:rPr/>
        <w:t>“</w:t>
      </w:r>
      <w:r>
        <w:rPr>
          <w:rFonts w:ascii="Times New Roman" w:hAnsi="Times New Roman"/>
          <w:sz w:val="20"/>
          <w:u w:val="single"/>
        </w:rPr>
        <w:t>Reportable Event</w:t>
      </w:r>
      <w:r>
        <w:rPr>
          <w:rFonts w:ascii="Times New Roman" w:hAnsi="Times New Roman"/>
          <w:sz w:val="20"/>
        </w:rPr>
        <w:t xml:space="preserve">” means any reportable event as defined in Section 4043(c) of ERISA or the regulations issued thereunder with respect to a Pension Plan.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has the meaning set forth in </w:t>
      </w:r>
      <w:r>
        <w:rPr>
          <w:rFonts w:ascii="Times New Roman" w:hAnsi="Times New Roman"/>
          <w:sz w:val="20"/>
          <w:u w:val="single"/>
        </w:rPr>
        <w:t>Section 14.06(c)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Required Capital Amount</w:t>
      </w:r>
      <w:r>
        <w:rPr>
          <w:rFonts w:ascii="Times New Roman" w:hAnsi="Times New Roman"/>
          <w:sz w:val="20"/>
        </w:rPr>
        <w:t xml:space="preserve">” means, as of any date of determination, an amount equal to the product of (i) the Loss Reserve Percentage at such time </w:t>
      </w:r>
      <w:r>
        <w:rPr>
          <w:rFonts w:ascii="Times New Roman" w:hAnsi="Times New Roman"/>
          <w:sz w:val="20"/>
          <w:u w:val="single"/>
        </w:rPr>
        <w:t>times</w:t>
      </w:r>
      <w:r>
        <w:rPr>
          <w:rFonts w:ascii="Times New Roman" w:hAnsi="Times New Roman"/>
          <w:sz w:val="20"/>
        </w:rPr>
        <w:t xml:space="preserve"> (ii) the Net Receivables Pool Balance at such time. </w:t>
      </w:r>
    </w:p>
    <w:p>
      <w:pPr>
        <w:pStyle w:val="TextBody"/>
        <w:bidi w:val="0"/>
        <w:spacing w:before="240" w:after="0"/>
        <w:jc w:val="left"/>
        <w:rPr/>
      </w:pPr>
      <w:r>
        <w:rPr/>
        <w:t>“</w:t>
      </w:r>
      <w:r>
        <w:rPr>
          <w:rFonts w:ascii="Times New Roman" w:hAnsi="Times New Roman"/>
          <w:sz w:val="20"/>
          <w:u w:val="single"/>
        </w:rPr>
        <w:t>Restricted Payments</w:t>
      </w:r>
      <w:r>
        <w:rPr>
          <w:rFonts w:ascii="Times New Roman" w:hAnsi="Times New Roman"/>
          <w:sz w:val="20"/>
        </w:rPr>
        <w:t xml:space="preserve">” has the meaning set forth in </w:t>
      </w:r>
      <w:r>
        <w:rPr>
          <w:rFonts w:ascii="Times New Roman" w:hAnsi="Times New Roman"/>
          <w:sz w:val="20"/>
          <w:u w:val="single"/>
        </w:rPr>
        <w:t>Section 8.01(r)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Returned Goods</w:t>
      </w:r>
      <w:r>
        <w:rPr>
          <w:rFonts w:ascii="Times New Roman" w:hAnsi="Times New Roman"/>
          <w:sz w:val="20"/>
        </w:rPr>
        <w:t xml:space="preserve">” means all right, title and interest in and to returned, repossessed or foreclosed goods and/or merchandise the sale of which gave rise to a Receivable; </w:t>
      </w:r>
      <w:r>
        <w:rPr>
          <w:rFonts w:ascii="Times New Roman" w:hAnsi="Times New Roman"/>
          <w:sz w:val="20"/>
          <w:u w:val="single"/>
        </w:rPr>
        <w:t>provided</w:t>
      </w:r>
      <w:r>
        <w:rPr>
          <w:rFonts w:ascii="Times New Roman" w:hAnsi="Times New Roman"/>
          <w:sz w:val="20"/>
        </w:rPr>
        <w:t xml:space="preserve"> that such goods shall no longer constitute Returned Goods after a Deemed Collection has been deposited in a Collection Account with respect to the full Outstanding Balance of the related Receivables. </w:t>
      </w:r>
    </w:p>
    <w:p>
      <w:pPr>
        <w:pStyle w:val="TextBody"/>
        <w:bidi w:val="0"/>
        <w:spacing w:before="240" w:after="0"/>
        <w:jc w:val="left"/>
        <w:rPr/>
      </w:pPr>
      <w:r>
        <w:rPr/>
        <w:t>“</w:t>
      </w:r>
      <w:r>
        <w:rPr>
          <w:rFonts w:ascii="Times New Roman" w:hAnsi="Times New Roman"/>
          <w:sz w:val="20"/>
          <w:u w:val="single"/>
        </w:rPr>
        <w:t>S&amp;P</w:t>
      </w:r>
      <w:r>
        <w:rPr>
          <w:rFonts w:ascii="Times New Roman" w:hAnsi="Times New Roman"/>
          <w:sz w:val="20"/>
        </w:rPr>
        <w:t xml:space="preserve">” means Standard &amp; Poor’s Rating Services, a Standard &amp; Poor’s Financial Services LLC business, and any successor thereto that is a nationally recognized statistical rating organization. </w:t>
      </w:r>
    </w:p>
    <w:p>
      <w:pPr>
        <w:pStyle w:val="TextBody"/>
        <w:bidi w:val="0"/>
        <w:spacing w:before="240" w:after="0"/>
        <w:jc w:val="left"/>
        <w:rPr/>
      </w:pPr>
      <w:r>
        <w:rPr/>
        <w:t>“</w:t>
      </w:r>
      <w:r>
        <w:rPr>
          <w:rFonts w:ascii="Times New Roman" w:hAnsi="Times New Roman"/>
          <w:sz w:val="20"/>
          <w:u w:val="single"/>
        </w:rPr>
        <w:t>Sanctioned Jurisdiction</w:t>
      </w:r>
      <w:r>
        <w:rPr>
          <w:rFonts w:ascii="Times New Roman" w:hAnsi="Times New Roman"/>
          <w:sz w:val="20"/>
        </w:rPr>
        <w:t xml:space="preserve">” means, at any time, a country, area, territory, or jurisdiction that is the subject or target of comprehensive U.S. sanctions.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Sanctioned Person</w:t>
      </w:r>
      <w:r>
        <w:rPr>
          <w:rFonts w:ascii="Times New Roman" w:hAnsi="Times New Roman"/>
          <w:sz w:val="20"/>
        </w:rPr>
        <w:t xml:space="preserve">” means any Person that is (a) located in, organized under the laws of, or ordinarily resident in a Sanctioned Jurisdiction; (b) identified on any sanctions-related list maintained by any Compliance Authority; or (c) owned 50% or more, in the aggregate, directly or indirectly by, controlled by, or acting for, on behalf of, or at the direction of, one or more Persons described in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above. </w:t>
      </w:r>
    </w:p>
    <w:p>
      <w:pPr>
        <w:pStyle w:val="TextBody"/>
        <w:bidi w:val="0"/>
        <w:spacing w:before="240" w:after="0"/>
        <w:jc w:val="left"/>
        <w:rPr/>
      </w:pPr>
      <w:r>
        <w:rPr/>
        <w:t>“</w:t>
      </w:r>
      <w:r>
        <w:rPr>
          <w:rFonts w:ascii="Times New Roman" w:hAnsi="Times New Roman"/>
          <w:sz w:val="20"/>
          <w:u w:val="single"/>
        </w:rPr>
        <w:t>Scheduled Termination Date</w:t>
      </w:r>
      <w:r>
        <w:rPr>
          <w:rFonts w:ascii="Times New Roman" w:hAnsi="Times New Roman"/>
          <w:sz w:val="20"/>
        </w:rPr>
        <w:t xml:space="preserve">” means October </w:t>
      </w:r>
      <w:r>
        <w:rPr>
          <w:rFonts w:ascii="Times New Roman" w:hAnsi="Times New Roman"/>
          <w:strike/>
          <w:color w:val="FF0000"/>
          <w:sz w:val="20"/>
        </w:rPr>
        <w:t>15</w:t>
      </w:r>
      <w:r>
        <w:rPr>
          <w:rFonts w:ascii="Times New Roman" w:hAnsi="Times New Roman"/>
          <w:color w:val="0000FF"/>
          <w:sz w:val="20"/>
          <w:u w:val="single"/>
          <w:bdr w:val="double" w:sz="2" w:space="1" w:color="000000"/>
        </w:rPr>
        <w:t>1</w:t>
      </w:r>
      <w:r>
        <w:rPr>
          <w:rFonts w:ascii="Times New Roman" w:hAnsi="Times New Roman"/>
          <w:sz w:val="20"/>
        </w:rPr>
        <w:t xml:space="preserve">, </w:t>
      </w:r>
      <w:r>
        <w:rPr>
          <w:rFonts w:ascii="Times New Roman" w:hAnsi="Times New Roman"/>
          <w:strike/>
          <w:color w:val="FF0000"/>
          <w:sz w:val="20"/>
        </w:rPr>
        <w:t>2027</w:t>
      </w:r>
      <w:r>
        <w:rPr>
          <w:rFonts w:ascii="Times New Roman" w:hAnsi="Times New Roman"/>
          <w:color w:val="0000FF"/>
          <w:sz w:val="20"/>
          <w:u w:val="single"/>
          <w:bdr w:val="double" w:sz="2" w:space="1" w:color="000000"/>
        </w:rPr>
        <w:t>2029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U.S. Securities and Exchange Commission or any governmental agencies substituted therefor. </w:t>
      </w:r>
    </w:p>
    <w:p>
      <w:pPr>
        <w:pStyle w:val="TextBody"/>
        <w:bidi w:val="0"/>
        <w:spacing w:before="240" w:after="0"/>
        <w:jc w:val="left"/>
        <w:rPr/>
      </w:pPr>
      <w:r>
        <w:rPr/>
        <w:t>“</w:t>
      </w:r>
      <w:r>
        <w:rPr>
          <w:rFonts w:ascii="Times New Roman" w:hAnsi="Times New Roman"/>
          <w:sz w:val="20"/>
          <w:u w:val="single"/>
        </w:rPr>
        <w:t>Secured Debt Ratio</w:t>
      </w:r>
      <w:r>
        <w:rPr>
          <w:rFonts w:ascii="Times New Roman" w:hAnsi="Times New Roman"/>
          <w:sz w:val="20"/>
        </w:rPr>
        <w:t xml:space="preserve">” shall (along with each defined term constituting a component thereof) have the meaning assigned to the term “Secured Debt Ratio” in the Credit Agreement as in effect on the First Amendment Effective Date and without giving effect to any amendment, restatement, waiver or supplement thereto or any deletion or replacement of such term, other than any amendment to such term (or (x) any term contained within such term or (y) any other provision of the Credit Agreement effecting such term) solely to eliminate the effect of any change in GAAP or in the application thereof occurring after the Closing Date on the operation of such term or other provision. </w:t>
      </w:r>
    </w:p>
    <w:p>
      <w:pPr>
        <w:pStyle w:val="TextBody"/>
        <w:bidi w:val="0"/>
        <w:spacing w:before="240" w:after="0"/>
        <w:jc w:val="left"/>
        <w:rPr/>
      </w:pPr>
      <w:r>
        <w:rPr/>
        <w:t>“</w:t>
      </w:r>
      <w:r>
        <w:rPr>
          <w:rFonts w:ascii="Times New Roman" w:hAnsi="Times New Roman"/>
          <w:sz w:val="20"/>
          <w:u w:val="single"/>
        </w:rPr>
        <w:t>Secured Parties</w:t>
      </w:r>
      <w:r>
        <w:rPr>
          <w:rFonts w:ascii="Times New Roman" w:hAnsi="Times New Roman"/>
          <w:sz w:val="20"/>
        </w:rPr>
        <w:t xml:space="preserve">” means each Credit Party, each Borrower Indemnified Party and each Affected Person.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as amended or otherwise modified from time to time. </w:t>
      </w:r>
    </w:p>
    <w:p>
      <w:pPr>
        <w:pStyle w:val="TextBody"/>
        <w:bidi w:val="0"/>
        <w:spacing w:before="240" w:after="0"/>
        <w:jc w:val="left"/>
        <w:rPr/>
      </w:pPr>
      <w:r>
        <w:rPr/>
        <w:t>“</w:t>
      </w:r>
      <w:r>
        <w:rPr>
          <w:rFonts w:ascii="Times New Roman" w:hAnsi="Times New Roman"/>
          <w:sz w:val="20"/>
          <w:u w:val="single"/>
        </w:rPr>
        <w:t>Sequential Receivable</w:t>
      </w:r>
      <w:r>
        <w:rPr>
          <w:rFonts w:ascii="Times New Roman" w:hAnsi="Times New Roman"/>
          <w:sz w:val="20"/>
        </w:rPr>
        <w:t xml:space="preserve">” means any Agency Receivable for which, pursuant to the related Contract, the related Agency Obligor is only obligated to remit payments with respect to such Agency Receivable to the extent it receives any amounts by or on behalf of the related Advertiser Obligor. </w:t>
      </w:r>
    </w:p>
    <w:p>
      <w:pPr>
        <w:pStyle w:val="TextBody"/>
        <w:bidi w:val="0"/>
        <w:spacing w:before="240" w:after="0"/>
        <w:jc w:val="left"/>
        <w:rPr/>
      </w:pPr>
      <w:r>
        <w:rPr/>
        <w:t>“</w:t>
      </w:r>
      <w:r>
        <w:rPr>
          <w:rFonts w:ascii="Times New Roman" w:hAnsi="Times New Roman"/>
          <w:sz w:val="20"/>
          <w:u w:val="single"/>
        </w:rPr>
        <w:t>Servicer</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to this Agreement. </w:t>
      </w:r>
    </w:p>
    <w:p>
      <w:pPr>
        <w:pStyle w:val="TextBody"/>
        <w:bidi w:val="0"/>
        <w:spacing w:before="240" w:after="0"/>
        <w:jc w:val="left"/>
        <w:rPr/>
      </w:pPr>
      <w:r>
        <w:rPr/>
        <w:t>“</w:t>
      </w:r>
      <w:r>
        <w:rPr>
          <w:rFonts w:ascii="Times New Roman" w:hAnsi="Times New Roman"/>
          <w:sz w:val="20"/>
          <w:u w:val="single"/>
        </w:rPr>
        <w:t>Servicer Indemnified Amounts</w:t>
      </w:r>
      <w:r>
        <w:rPr>
          <w:rFonts w:ascii="Times New Roman" w:hAnsi="Times New Roman"/>
          <w:sz w:val="20"/>
        </w:rPr>
        <w:t xml:space="preserve">” has the meaning set forth in </w:t>
      </w:r>
      <w:r>
        <w:rPr>
          <w:rFonts w:ascii="Times New Roman" w:hAnsi="Times New Roman"/>
          <w:sz w:val="20"/>
          <w:u w:val="single"/>
        </w:rPr>
        <w:t>Section 13.02(a)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Servicer Indemnified Party</w:t>
      </w:r>
      <w:r>
        <w:rPr>
          <w:rFonts w:ascii="Times New Roman" w:hAnsi="Times New Roman"/>
          <w:sz w:val="20"/>
        </w:rPr>
        <w:t xml:space="preserve">” has the meaning set forth in </w:t>
      </w:r>
      <w:r>
        <w:rPr>
          <w:rFonts w:ascii="Times New Roman" w:hAnsi="Times New Roman"/>
          <w:sz w:val="20"/>
          <w:u w:val="single"/>
        </w:rPr>
        <w:t>Section 13.02(a)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Servicer Termination Event</w:t>
      </w:r>
      <w:r>
        <w:rPr>
          <w:rFonts w:ascii="Times New Roman" w:hAnsi="Times New Roman"/>
          <w:sz w:val="20"/>
        </w:rPr>
        <w:t xml:space="preserve">” means the occurrence of any of the following events: </w:t>
      </w:r>
    </w:p>
    <w:p>
      <w:pPr>
        <w:pStyle w:val="TextBody"/>
        <w:bidi w:val="0"/>
        <w:spacing w:before="120" w:after="0"/>
        <w:jc w:val="left"/>
        <w:rPr>
          <w:rFonts w:ascii="Times New Roman" w:hAnsi="Times New Roman"/>
          <w:sz w:val="20"/>
        </w:rPr>
      </w:pPr>
      <w:r>
        <w:rPr>
          <w:rFonts w:ascii="Times New Roman" w:hAnsi="Times New Roman"/>
          <w:sz w:val="20"/>
        </w:rPr>
        <w:t xml:space="preserve">(a) the Servicer shall fail to perform or observe any term, covenant or agreement under this Agreement or any other Transaction Document, and such failure, solely to the extent capable of cure, shall continue for thirty (30) days; </w:t>
      </w:r>
    </w:p>
    <w:p>
      <w:pPr>
        <w:pStyle w:val="TextBody"/>
        <w:bidi w:val="0"/>
        <w:spacing w:before="240" w:after="0"/>
        <w:jc w:val="left"/>
        <w:rPr>
          <w:rFonts w:ascii="Times New Roman" w:hAnsi="Times New Roman"/>
          <w:sz w:val="20"/>
        </w:rPr>
      </w:pPr>
      <w:r>
        <w:rPr>
          <w:rFonts w:ascii="Times New Roman" w:hAnsi="Times New Roman"/>
          <w:sz w:val="20"/>
        </w:rPr>
        <w:t xml:space="preserve">(b) the occurrence of an Event of Default under </w:t>
      </w:r>
      <w:r>
        <w:rPr>
          <w:rFonts w:ascii="Times New Roman" w:hAnsi="Times New Roman"/>
          <w:sz w:val="20"/>
          <w:u w:val="single"/>
        </w:rPr>
        <w:t>Section 10.01(a)(ii)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any representation or warranty made or deemed made by Servicer (or any of its officers) under or in connection with this Agreement or any other Transaction Document or any information or report delivered by the Servicer pursuant to this Agreement or any other Transaction Document, shall prove to have been incorrect or untrue in any material respect when made or deemed made or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Servicer shall fail to deliver an Information Package or Interim Report at the time required pursuant to this Agreement, and such failure shall remain unremedied for two (2) Business Days; </w:t>
      </w:r>
    </w:p>
    <w:p>
      <w:pPr>
        <w:pStyle w:val="TextBody"/>
        <w:bidi w:val="0"/>
        <w:spacing w:before="240" w:after="0"/>
        <w:jc w:val="left"/>
        <w:rPr>
          <w:rFonts w:ascii="Times New Roman" w:hAnsi="Times New Roman"/>
          <w:sz w:val="20"/>
        </w:rPr>
      </w:pPr>
      <w:r>
        <w:rPr>
          <w:rFonts w:ascii="Times New Roman" w:hAnsi="Times New Roman"/>
          <w:sz w:val="20"/>
        </w:rPr>
        <w:t xml:space="preserve">(e) the occurrence of an Event of Default under </w:t>
      </w:r>
      <w:r>
        <w:rPr>
          <w:rFonts w:ascii="Times New Roman" w:hAnsi="Times New Roman"/>
          <w:sz w:val="20"/>
          <w:u w:val="single"/>
        </w:rPr>
        <w:t>Section 10.01(e)</w:t>
      </w:r>
      <w:r>
        <w:rPr>
          <w:rFonts w:ascii="Times New Roman" w:hAnsi="Times New Roman"/>
          <w:sz w:val="20"/>
        </w:rPr>
        <w: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the occurrence of an Event of Default under </w:t>
      </w:r>
      <w:r>
        <w:rPr>
          <w:rFonts w:ascii="Times New Roman" w:hAnsi="Times New Roman"/>
          <w:sz w:val="20"/>
          <w:u w:val="single"/>
        </w:rPr>
        <w:t>Section 10.01(f)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the occurrence of an Event of Default under </w:t>
      </w:r>
      <w:r>
        <w:rPr>
          <w:rFonts w:ascii="Times New Roman" w:hAnsi="Times New Roman"/>
          <w:sz w:val="20"/>
          <w:u w:val="single"/>
        </w:rPr>
        <w:t>Section 10.01(i)(ii)</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(h) a Financial Covenant Event shall occur.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any Servicer Termination Event that occurs shall be deemed to be continuing at all times thereafter unless and until waived in accordance with </w:t>
      </w:r>
      <w:r>
        <w:rPr>
          <w:rFonts w:ascii="Times New Roman" w:hAnsi="Times New Roman"/>
          <w:sz w:val="20"/>
          <w:u w:val="single"/>
        </w:rPr>
        <w:t>Section 14.01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Servicing Fee</w:t>
      </w:r>
      <w:r>
        <w:rPr>
          <w:rFonts w:ascii="Times New Roman" w:hAnsi="Times New Roman"/>
          <w:sz w:val="20"/>
        </w:rPr>
        <w:t xml:space="preserve">” means the fee referred to in </w:t>
      </w:r>
      <w:r>
        <w:rPr>
          <w:rFonts w:ascii="Times New Roman" w:hAnsi="Times New Roman"/>
          <w:sz w:val="20"/>
          <w:u w:val="single"/>
        </w:rPr>
        <w:t>Section 9.06(a)</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Servicing Fee Rate</w:t>
      </w:r>
      <w:r>
        <w:rPr>
          <w:rFonts w:ascii="Times New Roman" w:hAnsi="Times New Roman"/>
          <w:sz w:val="20"/>
        </w:rPr>
        <w:t xml:space="preserve">” means the rate referred to in </w:t>
      </w:r>
      <w:r>
        <w:rPr>
          <w:rFonts w:ascii="Times New Roman" w:hAnsi="Times New Roman"/>
          <w:sz w:val="20"/>
          <w:u w:val="single"/>
        </w:rPr>
        <w:t>Section 9.06(a)</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Settlement Date</w:t>
      </w:r>
      <w:r>
        <w:rPr>
          <w:rFonts w:ascii="Times New Roman" w:hAnsi="Times New Roman"/>
          <w:sz w:val="20"/>
        </w:rPr>
        <w:t xml:space="preserve">” means with respect to any Portion of Capital for any Interest Period or any Interest or Fees, (i) prior to the Termination Date and so long as no Event of Default has occurred and is continuing, the Monthly Settlement Date and (ii) on and after the Termination Date or if an Event of Default has occurred and is continuing, each day selected from time to time by the Administrative Agent (with the consent or at the direction of the Majority Lenders) (it being understood that the Administrative Agent (with the consent or at the direction of the Majority Lenders) may select such Settlement Date to occur as frequently as daily), or, in the absence of such selection, the Monthly Settlement Date. </w:t>
      </w:r>
    </w:p>
    <w:p>
      <w:pPr>
        <w:pStyle w:val="TextBody"/>
        <w:bidi w:val="0"/>
        <w:spacing w:before="240" w:after="0"/>
        <w:jc w:val="left"/>
        <w:rPr/>
      </w:pPr>
      <w:r>
        <w:rPr/>
        <w:t>“</w:t>
      </w:r>
      <w:r>
        <w:rPr>
          <w:rFonts w:ascii="Times New Roman" w:hAnsi="Times New Roman"/>
          <w:sz w:val="20"/>
          <w:u w:val="single"/>
        </w:rPr>
        <w:t>Seventh Amendment Date</w:t>
      </w:r>
      <w:r>
        <w:rPr>
          <w:rFonts w:ascii="Times New Roman" w:hAnsi="Times New Roman"/>
          <w:sz w:val="20"/>
        </w:rPr>
        <w:t xml:space="preserve">” means October 15, 2024. </w:t>
      </w:r>
    </w:p>
    <w:p>
      <w:pPr>
        <w:pStyle w:val="TextBody"/>
        <w:bidi w:val="0"/>
        <w:spacing w:before="240" w:after="0"/>
        <w:jc w:val="left"/>
        <w:rPr/>
      </w:pPr>
      <w:r>
        <w:rPr/>
        <w:t>“</w:t>
      </w:r>
      <w:r>
        <w:rPr>
          <w:rFonts w:ascii="Times New Roman" w:hAnsi="Times New Roman"/>
          <w:sz w:val="20"/>
          <w:u w:val="single"/>
        </w:rPr>
        <w:t>SOFR</w:t>
      </w:r>
      <w:r>
        <w:rPr>
          <w:rFonts w:ascii="Times New Roman" w:hAnsi="Times New Roman"/>
          <w:sz w:val="20"/>
        </w:rPr>
        <w:t xml:space="preserve">” means, for any day, a rate equal to the secured overnight financing rate as administered by the Federal Reserve Bank of New York (or a successor administrator of the secured overnight financing rate). </w:t>
      </w:r>
    </w:p>
    <w:p>
      <w:pPr>
        <w:pStyle w:val="TextBody"/>
        <w:bidi w:val="0"/>
        <w:spacing w:before="240" w:after="0"/>
        <w:jc w:val="left"/>
        <w:rPr/>
      </w:pPr>
      <w:r>
        <w:rPr/>
        <w:t>“</w:t>
      </w:r>
      <w:r>
        <w:rPr>
          <w:rFonts w:ascii="Times New Roman" w:hAnsi="Times New Roman"/>
          <w:sz w:val="20"/>
          <w:u w:val="single"/>
        </w:rPr>
        <w:t>SOFR Floor</w:t>
      </w:r>
      <w:r>
        <w:rPr>
          <w:rFonts w:ascii="Times New Roman" w:hAnsi="Times New Roman"/>
          <w:sz w:val="20"/>
        </w:rPr>
        <w:t xml:space="preserve">” means a rate of interest per annum equal to zero basis points (0.00%). </w:t>
      </w:r>
    </w:p>
    <w:p>
      <w:pPr>
        <w:pStyle w:val="TextBody"/>
        <w:bidi w:val="0"/>
        <w:spacing w:before="240" w:after="0"/>
        <w:jc w:val="left"/>
        <w:rPr/>
      </w:pPr>
      <w:r>
        <w:rPr/>
        <w:t>“</w:t>
      </w:r>
      <w:r>
        <w:rPr>
          <w:rFonts w:ascii="Times New Roman" w:hAnsi="Times New Roman"/>
          <w:sz w:val="20"/>
          <w:u w:val="single"/>
        </w:rPr>
        <w:t>SOFR Reserve Percentage</w:t>
      </w:r>
      <w:r>
        <w:rPr>
          <w:rFonts w:ascii="Times New Roman" w:hAnsi="Times New Roman"/>
          <w:sz w:val="20"/>
        </w:rPr>
        <w:t xml:space="preserve">” means, for any day, the maximum effective percentage in effect on such day, if any, as prescribed by the Board of Governors of the Federal Reserve System (or any successor) for determining the reserve requirements (including, without limitation, supplemental, marginal and emergency reserve requirements) with respect to SOFR funding.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Solvent</w:t>
      </w:r>
      <w:r>
        <w:rPr>
          <w:rFonts w:ascii="Times New Roman" w:hAnsi="Times New Roman"/>
          <w:sz w:val="20"/>
        </w:rPr>
        <w:t xml:space="preserve">” means, with respect to any Person and as of any particular date, (i) the present fair market value (or present fair saleable value) of the assets of such Person is not less than the total amount required to pay the probable liabilities of such Person on its total existing debts and liabilities (including contingent liabilities) as they become absolute and matured, (ii) such Person is able to realize upon its assets and pay its debts and other liabilities, contingent obligations and commitments as they mature and become due in the normal course of business, (iii) such Person is not incurring debts or liabilities beyond its ability to pay such debts and liabilities as they mature and (iv) such Person is not engaged in any business or transaction, and is not about to engage in any business or transaction, for which its property would constitute unreasonably small capital after giving due consideration to the prevailing practice in the industry in which such Person is engaged. </w:t>
      </w:r>
    </w:p>
    <w:p>
      <w:pPr>
        <w:pStyle w:val="TextBody"/>
        <w:bidi w:val="0"/>
        <w:spacing w:before="240" w:after="0"/>
        <w:jc w:val="left"/>
        <w:rPr/>
      </w:pPr>
      <w:r>
        <w:rPr/>
        <w:t>“</w:t>
      </w:r>
      <w:r>
        <w:rPr>
          <w:rFonts w:ascii="Times New Roman" w:hAnsi="Times New Roman"/>
          <w:sz w:val="20"/>
          <w:u w:val="single"/>
        </w:rPr>
        <w:t>Structuring Agent</w:t>
      </w:r>
      <w:r>
        <w:rPr>
          <w:rFonts w:ascii="Times New Roman" w:hAnsi="Times New Roman"/>
          <w:sz w:val="20"/>
        </w:rPr>
        <w:t xml:space="preserve">” means PNC Capital Markets LLC, a Pennsylvania limited liability company. </w:t>
      </w:r>
    </w:p>
    <w:p>
      <w:pPr>
        <w:pStyle w:val="TextBody"/>
        <w:bidi w:val="0"/>
        <w:spacing w:before="240" w:after="0"/>
        <w:jc w:val="left"/>
        <w:rPr/>
      </w:pPr>
      <w:r>
        <w:rPr/>
        <w:t>“</w:t>
      </w:r>
      <w:r>
        <w:rPr>
          <w:rFonts w:ascii="Times New Roman" w:hAnsi="Times New Roman"/>
          <w:sz w:val="20"/>
          <w:u w:val="single"/>
        </w:rPr>
        <w:t>Subject Periods</w:t>
      </w:r>
      <w:r>
        <w:rPr>
          <w:rFonts w:ascii="Times New Roman" w:hAnsi="Times New Roman"/>
          <w:sz w:val="20"/>
        </w:rPr>
        <w:t xml:space="preserve">” means each Fiscal Month designated as such by the Borrowers by advance written notice to the Administrative Agent;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number of Subject Periods shall not exceed two (2). </w:t>
      </w:r>
    </w:p>
    <w:p>
      <w:pPr>
        <w:pStyle w:val="TextBody"/>
        <w:bidi w:val="0"/>
        <w:spacing w:before="240" w:after="0"/>
        <w:jc w:val="left"/>
        <w:rPr/>
      </w:pPr>
      <w:r>
        <w:rPr/>
        <w:t>“</w:t>
      </w:r>
      <w:r>
        <w:rPr>
          <w:rFonts w:ascii="Times New Roman" w:hAnsi="Times New Roman"/>
          <w:sz w:val="20"/>
          <w:u w:val="single"/>
        </w:rPr>
        <w:t>Sub-Servicer</w:t>
      </w:r>
      <w:r>
        <w:rPr>
          <w:rFonts w:ascii="Times New Roman" w:hAnsi="Times New Roman"/>
          <w:sz w:val="20"/>
        </w:rPr>
        <w:t xml:space="preserve">” has the meaning set forth in </w:t>
      </w:r>
      <w:r>
        <w:rPr>
          <w:rFonts w:ascii="Times New Roman" w:hAnsi="Times New Roman"/>
          <w:sz w:val="20"/>
          <w:u w:val="single"/>
        </w:rPr>
        <w:t>Section 9.01(d)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as to any Person, a corporation, partnership, limited liability company or other entity of which shares of stock of each class or other interests having ordinary voting power (other than stock or other interests having such power only by reason of the happening of a contingency) to elect a majority of the Board of Directors or other managers of such entity are at the time owned, or management of which is otherwise controlled: (a) by such Person, (b) by one or more Subsidiaries of such Person or (c) by such Person and one or more Subsidiaries of such Person. </w:t>
      </w:r>
    </w:p>
    <w:p>
      <w:pPr>
        <w:pStyle w:val="TextBody"/>
        <w:bidi w:val="0"/>
        <w:spacing w:before="240" w:after="0"/>
        <w:jc w:val="left"/>
        <w:rPr/>
      </w:pPr>
      <w:r>
        <w:rPr/>
        <w:t>“</w:t>
      </w:r>
      <w:r>
        <w:rPr>
          <w:rFonts w:ascii="Times New Roman" w:hAnsi="Times New Roman"/>
          <w:sz w:val="20"/>
          <w:u w:val="single"/>
        </w:rPr>
        <w:t>Sustainability Agent</w:t>
      </w:r>
      <w:r>
        <w:rPr>
          <w:rFonts w:ascii="Times New Roman" w:hAnsi="Times New Roman"/>
          <w:sz w:val="20"/>
        </w:rPr>
        <w:t xml:space="preserve">” means PNC Capital Markets LLC, a Pennsylvania limited liability company.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means any and all present or future taxes, levies, imposts, duties, deductions, charges, withholdings (including backup withholding), assessments, fees or other charges imposed by any Governmental Authority and all interest, penalties, additions to tax and any similar liabilities with respect thereto. </w:t>
      </w:r>
    </w:p>
    <w:p>
      <w:pPr>
        <w:pStyle w:val="TextBody"/>
        <w:bidi w:val="0"/>
        <w:spacing w:before="240" w:after="0"/>
        <w:jc w:val="left"/>
        <w:rPr/>
      </w:pPr>
      <w:r>
        <w:rPr/>
        <w:t>“</w:t>
      </w:r>
      <w:r>
        <w:rPr>
          <w:rFonts w:ascii="Times New Roman" w:hAnsi="Times New Roman"/>
          <w:sz w:val="20"/>
          <w:u w:val="single"/>
        </w:rPr>
        <w:t>Term B Loans</w:t>
      </w:r>
      <w:r>
        <w:rPr>
          <w:rFonts w:ascii="Times New Roman" w:hAnsi="Times New Roman"/>
          <w:sz w:val="20"/>
        </w:rPr>
        <w:t xml:space="preserve">” has the meaning set forth in the Credit Agreement. </w:t>
      </w:r>
    </w:p>
    <w:p>
      <w:pPr>
        <w:pStyle w:val="TextBody"/>
        <w:bidi w:val="0"/>
        <w:spacing w:before="240" w:after="0"/>
        <w:jc w:val="left"/>
        <w:rPr/>
      </w:pPr>
      <w:r>
        <w:rPr/>
        <w:t>“</w:t>
      </w:r>
      <w:r>
        <w:rPr>
          <w:rFonts w:ascii="Times New Roman" w:hAnsi="Times New Roman"/>
          <w:sz w:val="20"/>
          <w:u w:val="single"/>
        </w:rPr>
        <w:t>Term SOFR Administrator</w:t>
      </w:r>
      <w:r>
        <w:rPr>
          <w:rFonts w:ascii="Times New Roman" w:hAnsi="Times New Roman"/>
          <w:sz w:val="20"/>
        </w:rPr>
        <w:t xml:space="preserve">” means CME Group Benchmark Administration Limited (CBA) (or a successor administrator of the Term SOFR Reference Rate selected by the Administrative Agent in its reasonable discretion). </w:t>
      </w:r>
    </w:p>
    <w:p>
      <w:pPr>
        <w:pStyle w:val="TextBody"/>
        <w:bidi w:val="0"/>
        <w:spacing w:before="240" w:after="0"/>
        <w:jc w:val="left"/>
        <w:rPr/>
      </w:pPr>
      <w:r>
        <w:rPr/>
        <w:t>“</w:t>
      </w:r>
      <w:r>
        <w:rPr>
          <w:rFonts w:ascii="Times New Roman" w:hAnsi="Times New Roman"/>
          <w:sz w:val="20"/>
          <w:u w:val="single"/>
        </w:rPr>
        <w:t>Term SOFR Rate</w:t>
      </w:r>
      <w:r>
        <w:rPr>
          <w:rFonts w:ascii="Times New Roman" w:hAnsi="Times New Roman"/>
          <w:sz w:val="20"/>
        </w:rPr>
        <w:t>” shall mean, with respect to any amount for which the Term SOFR Reference Rate applies, for any day in any Interest Period, the interest rate per annum determined by the Administrative Agent by dividing (the resulting quotient rounded upwards, at the Administrative Agent’s discretion, to the nearest 1/100th of 1%) (A) the Term SOFR Reference Rate for a term of one month on the day (the “</w:t>
      </w:r>
      <w:r>
        <w:rPr>
          <w:rFonts w:ascii="Times New Roman" w:hAnsi="Times New Roman"/>
          <w:sz w:val="20"/>
          <w:u w:val="single"/>
        </w:rPr>
        <w:t>Term SOFR Determination Date</w:t>
      </w:r>
      <w:r>
        <w:rPr>
          <w:rFonts w:ascii="Times New Roman" w:hAnsi="Times New Roman"/>
          <w:sz w:val="20"/>
        </w:rPr>
        <w:t xml:space="preserve">”) that is two (2) Business Days prior to the first day of such Interest Period, as such rate is published by the Term SOFR Administrator, by (B) a number equal to 1.00 minus the SOFR Reserve Percentage. If the Term SOFR Reference Rate for the applicable tenor has not been published or replaced with a Benchmark Replacement by 5:00 p.m. (Pittsburgh, Pennsylvania time) on the Term SOFR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Determination Date, then the Term SOFR Reference Rate, for purposes of clause (A) in the preceding sentence,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 Business Days prior to such Term SOFR Determination Date. If the Term SOFR Rate, determined as provided above, would be less than the SOFR Floor, then the Term SOFR Rate shall be deemed to be the SOFR Floor. </w:t>
      </w:r>
    </w:p>
    <w:p>
      <w:pPr>
        <w:pStyle w:val="TextBody"/>
        <w:bidi w:val="0"/>
        <w:spacing w:before="240" w:after="0"/>
        <w:jc w:val="left"/>
        <w:rPr/>
      </w:pPr>
      <w:r>
        <w:rPr/>
        <w:t>“</w:t>
      </w:r>
      <w:r>
        <w:rPr>
          <w:rFonts w:ascii="Times New Roman" w:hAnsi="Times New Roman"/>
          <w:sz w:val="20"/>
          <w:u w:val="single"/>
        </w:rPr>
        <w:t>Term SOFR Reference Rate</w:t>
      </w:r>
      <w:r>
        <w:rPr>
          <w:rFonts w:ascii="Times New Roman" w:hAnsi="Times New Roman"/>
          <w:sz w:val="20"/>
        </w:rPr>
        <w:t xml:space="preserve">” shall mean the forward-looking term rate based on SOFR. </w:t>
      </w:r>
    </w:p>
    <w:p>
      <w:pPr>
        <w:pStyle w:val="TextBody"/>
        <w:bidi w:val="0"/>
        <w:spacing w:before="240" w:after="0"/>
        <w:jc w:val="left"/>
        <w:rPr/>
      </w:pPr>
      <w:r>
        <w:rPr/>
        <w:t>“</w:t>
      </w:r>
      <w:r>
        <w:rPr>
          <w:rFonts w:ascii="Times New Roman" w:hAnsi="Times New Roman"/>
          <w:sz w:val="20"/>
          <w:u w:val="single"/>
        </w:rPr>
        <w:t>Termination Date</w:t>
      </w:r>
      <w:r>
        <w:rPr>
          <w:rFonts w:ascii="Times New Roman" w:hAnsi="Times New Roman"/>
          <w:sz w:val="20"/>
        </w:rPr>
        <w:t xml:space="preserve">” means the earliest to occur of (a) the Scheduled Termination Date, (b) the date on which the “Termination Date” is declared or deemed to have occurred under </w:t>
      </w:r>
      <w:r>
        <w:rPr>
          <w:rFonts w:ascii="Times New Roman" w:hAnsi="Times New Roman"/>
          <w:sz w:val="20"/>
          <w:u w:val="single"/>
        </w:rPr>
        <w:t>Section 10.01</w:t>
      </w:r>
      <w:r>
        <w:rPr>
          <w:rFonts w:ascii="Times New Roman" w:hAnsi="Times New Roman"/>
          <w:strike/>
          <w:color w:val="FF0000"/>
          <w:sz w:val="20"/>
        </w:rPr>
        <w:t>,</w:t>
      </w:r>
      <w:r>
        <w:rPr>
          <w:rFonts w:ascii="Times New Roman" w:hAnsi="Times New Roman"/>
          <w:sz w:val="20"/>
        </w:rPr>
        <w:t xml:space="preserve"> </w:t>
      </w:r>
      <w:r>
        <w:rPr>
          <w:rFonts w:ascii="Times New Roman" w:hAnsi="Times New Roman"/>
          <w:color w:val="0000FF"/>
          <w:sz w:val="20"/>
          <w:u w:val="single"/>
          <w:bdr w:val="double" w:sz="2" w:space="1" w:color="000000"/>
        </w:rPr>
        <w:t>or</w:t>
      </w:r>
      <w:r>
        <w:rPr>
          <w:rFonts w:ascii="Times New Roman" w:hAnsi="Times New Roman"/>
          <w:sz w:val="20"/>
        </w:rPr>
        <w:t xml:space="preserve"> (c) the date selected by the Borrowers on which all Commitments have been reduced to zero pursuant to </w:t>
      </w:r>
      <w:r>
        <w:rPr>
          <w:rFonts w:ascii="Times New Roman" w:hAnsi="Times New Roman"/>
          <w:sz w:val="20"/>
          <w:u w:val="single"/>
        </w:rPr>
        <w:t>Section 2.02(e)</w:t>
      </w:r>
      <w:r>
        <w:rPr>
          <w:rFonts w:ascii="Times New Roman" w:hAnsi="Times New Roman"/>
          <w:sz w:val="20"/>
        </w:rPr>
        <w:t xml:space="preserve"> </w:t>
      </w:r>
      <w:r>
        <w:rPr>
          <w:rFonts w:ascii="Times New Roman" w:hAnsi="Times New Roman"/>
          <w:strike/>
          <w:color w:val="FF0000"/>
          <w:sz w:val="20"/>
        </w:rPr>
        <w:t>or (d) the date that is 91 days prior to the Term B Loan Maturity Date (as defined in the Credit Agreement as in effect on the Seventh Amendment Date and without giving effect to any amendment, restatement, supplement, waiver, modification or termination thereof) (such date, the “</w:t>
      </w:r>
      <w:r>
        <w:rPr>
          <w:rFonts w:ascii="Times New Roman" w:hAnsi="Times New Roman"/>
          <w:strike/>
          <w:color w:val="FF0000"/>
          <w:sz w:val="20"/>
          <w:u w:val="single"/>
        </w:rPr>
        <w:t>Term B Springing Maturity Test Date</w:t>
      </w:r>
      <w:r>
        <w:rPr>
          <w:rFonts w:ascii="Times New Roman" w:hAnsi="Times New Roman"/>
          <w:strike/>
          <w:color w:val="FF0000"/>
          <w:sz w:val="20"/>
        </w:rPr>
        <w:t xml:space="preserve">”), if any Term B Loans (or Indebtedness (as defined in the Credit Agreement as in effect on the Seventh Amendment Date and without giving effect to any amendment, restatement, supplement, waiver, modification or termination thereof) which extends, renews, refunds or replaces the Term B Loans) have, as of such date, a scheduled maturity date prior to the date that is 91 days prior to the Scheduled Revolving Credit Termination Date (as defined in the Credit Agreement as in effect on the Seventh Amendment Date and without giving effect to any amendment, restatement, supplement, waiver, modification or termination thereof); </w:t>
      </w:r>
      <w:r>
        <w:rPr>
          <w:rFonts w:ascii="Times New Roman" w:hAnsi="Times New Roman"/>
          <w:strike/>
          <w:color w:val="FF0000"/>
          <w:sz w:val="20"/>
          <w:u w:val="single"/>
        </w:rPr>
        <w:t>provided</w:t>
      </w:r>
      <w:r>
        <w:rPr>
          <w:rFonts w:ascii="Times New Roman" w:hAnsi="Times New Roman"/>
          <w:strike/>
          <w:color w:val="FF0000"/>
          <w:sz w:val="20"/>
        </w:rPr>
        <w:t xml:space="preserve">, that, the Termination Date shall not be deemed to occur under this </w:t>
      </w:r>
      <w:r>
        <w:rPr>
          <w:rFonts w:ascii="Times New Roman" w:hAnsi="Times New Roman"/>
          <w:strike/>
          <w:color w:val="FF0000"/>
          <w:sz w:val="20"/>
          <w:u w:val="single"/>
        </w:rPr>
        <w:t>clause (d)</w:t>
      </w:r>
      <w:r>
        <w:rPr>
          <w:rFonts w:ascii="Times New Roman" w:hAnsi="Times New Roman"/>
          <w:sz w:val="20"/>
        </w:rPr>
        <w:t xml:space="preserve">  </w:t>
      </w:r>
      <w:r>
        <w:rPr>
          <w:rFonts w:ascii="Times New Roman" w:hAnsi="Times New Roman"/>
          <w:strike/>
          <w:color w:val="FF0000"/>
          <w:sz w:val="20"/>
        </w:rPr>
        <w:t>if, on the Term B Springing Maturity Test Date, Holdings, the Servicer and its Restricted Subsidiaries (as defined in the Credit Agreement) have Liquidity of not less than an amount equal to the amount required to repay in full in cash the Term B Loans (or Indebtedness (as defined in the Credit Agreement as in effect on the Seventh Amendment Date and without giving effect to any amendment, restatement, supplement, waiver, modification or termination thereof) which extends, renews, refunds or replaces the Term B Loans) (including all accrued and unpaid interest, premiums and make-whole amounts (if any) thereon). For purposes of this this definition, “Liquidity” as of any date means an amount equal to the sum of (a) the amount by which the aggregate Revolving Credit Commitments (as defined in the Credit Agreement) as of such date exceed the aggregate Revolving Credit Exposure (as defined in the Credit Agreement) as of such date, plus (b) the aggregate amount as of such date of unrestricted cash and cash equivalents of Holdings, the Servicer and its Restricted Subsidiaries (as defined in the Credit Agreement) on a consolidated basis, plus (c)  the amount by which the lesser of either (i) the Borrowing Base or (ii)  the Facility Limit exceeds the outstanding Aggregate Capital on such date.</w:t>
      </w:r>
      <w:r>
        <w:rPr>
          <w:rFonts w:ascii="Times New Roman" w:hAnsi="Times New Roman"/>
          <w:color w:val="0000FF"/>
          <w:sz w:val="20"/>
          <w:u w:val="single"/>
          <w:bdr w:val="double" w:sz="2" w:space="1" w:color="000000"/>
        </w:rPr>
        <w:t>.</w:t>
      </w:r>
      <w:r>
        <w:rPr>
          <w:rFonts w:ascii="Times New Roman" w:hAnsi="Times New Roman"/>
          <w:color w:val="FF0000"/>
          <w:sz w:val="20"/>
        </w:rPr>
        <w:t xml:space="preserve"> </w:t>
      </w:r>
    </w:p>
    <w:p>
      <w:pPr>
        <w:pStyle w:val="TextBody"/>
        <w:bidi w:val="0"/>
        <w:spacing w:before="240" w:after="0"/>
        <w:jc w:val="left"/>
        <w:rPr/>
      </w:pPr>
      <w:r>
        <w:rPr/>
        <w:t>“</w:t>
      </w:r>
      <w:r>
        <w:rPr>
          <w:rFonts w:ascii="Times New Roman" w:hAnsi="Times New Roman"/>
          <w:sz w:val="20"/>
          <w:u w:val="single"/>
        </w:rPr>
        <w:t>Total Reserves</w:t>
      </w:r>
      <w:r>
        <w:rPr>
          <w:rFonts w:ascii="Times New Roman" w:hAnsi="Times New Roman"/>
          <w:sz w:val="20"/>
        </w:rPr>
        <w:t xml:space="preserve">” means, at any time of determination, an amount equal to the product of (a) the sum of (A) the Yield Reserve Percentage, </w:t>
      </w:r>
      <w:r>
        <w:rPr>
          <w:rFonts w:ascii="Times New Roman" w:hAnsi="Times New Roman"/>
          <w:sz w:val="20"/>
          <w:u w:val="single"/>
        </w:rPr>
        <w:t>plus</w:t>
      </w:r>
      <w:r>
        <w:rPr>
          <w:rFonts w:ascii="Times New Roman" w:hAnsi="Times New Roman"/>
          <w:sz w:val="20"/>
        </w:rPr>
        <w:t xml:space="preserve"> (B) the greater of (I) the sum of the Concentration Reserve Percentage, </w:t>
      </w:r>
      <w:r>
        <w:rPr>
          <w:rFonts w:ascii="Times New Roman" w:hAnsi="Times New Roman"/>
          <w:sz w:val="20"/>
          <w:u w:val="single"/>
        </w:rPr>
        <w:t>plus</w:t>
      </w:r>
      <w:r>
        <w:rPr>
          <w:rFonts w:ascii="Times New Roman" w:hAnsi="Times New Roman"/>
          <w:sz w:val="20"/>
        </w:rPr>
        <w:t xml:space="preserve"> the Minimum Dilution Reserve Percentage and (II) the sum of the Loss Reserve Percentage, </w:t>
      </w:r>
      <w:r>
        <w:rPr>
          <w:rFonts w:ascii="Times New Roman" w:hAnsi="Times New Roman"/>
          <w:sz w:val="20"/>
          <w:u w:val="single"/>
        </w:rPr>
        <w:t>plus</w:t>
      </w:r>
      <w:r>
        <w:rPr>
          <w:rFonts w:ascii="Times New Roman" w:hAnsi="Times New Roman"/>
          <w:sz w:val="20"/>
        </w:rPr>
        <w:t xml:space="preserve"> the Dilution Reserve Percentage, </w:t>
      </w:r>
      <w:r>
        <w:rPr>
          <w:rFonts w:ascii="Times New Roman" w:hAnsi="Times New Roman"/>
          <w:sz w:val="20"/>
          <w:u w:val="single"/>
        </w:rPr>
        <w:t>times</w:t>
      </w:r>
      <w:r>
        <w:rPr>
          <w:rFonts w:ascii="Times New Roman" w:hAnsi="Times New Roman"/>
          <w:sz w:val="20"/>
        </w:rPr>
        <w:t xml:space="preserve"> (b) the Net Receivables Pool Balance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Tranche Period</w:t>
      </w:r>
      <w:r>
        <w:rPr>
          <w:rFonts w:ascii="Times New Roman" w:hAnsi="Times New Roman"/>
          <w:sz w:val="20"/>
        </w:rPr>
        <w:t xml:space="preserve">” means, with respect to any Loan bearing interest based on the Term SOFR Rate, a period of one month. Each Tranche Period shall commence on the first day of a Fiscal Month and end on (but include) the last day of such Fiscal Month;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date any Loan made pursuant to </w:t>
      </w:r>
      <w:r>
        <w:rPr>
          <w:rFonts w:ascii="Times New Roman" w:hAnsi="Times New Roman"/>
          <w:sz w:val="20"/>
          <w:u w:val="single"/>
        </w:rPr>
        <w:t>Section 2.01</w:t>
      </w:r>
      <w:r>
        <w:rPr>
          <w:rFonts w:ascii="Times New Roman" w:hAnsi="Times New Roman"/>
          <w:sz w:val="20"/>
        </w:rPr>
        <w:t xml:space="preserve"> is not the first day of a Fiscal Month, the initial Tranche Period for such Loan shall commence on the date such Loan is made pursuant to </w:t>
      </w:r>
      <w:r>
        <w:rPr>
          <w:rFonts w:ascii="Times New Roman" w:hAnsi="Times New Roman"/>
          <w:sz w:val="20"/>
          <w:u w:val="single"/>
        </w:rPr>
        <w:t>Section 2.01</w:t>
      </w:r>
      <w:r>
        <w:rPr>
          <w:rFonts w:ascii="Times New Roman" w:hAnsi="Times New Roman"/>
          <w:sz w:val="20"/>
        </w:rPr>
        <w:t xml:space="preserve"> and end on (but include) the last day of such Fiscal Month;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any Tranche Period would end after the Termination Date, such Tranche Period (including a period of one day) shall end on the Termination Date. </w:t>
      </w:r>
    </w:p>
    <w:p>
      <w:pPr>
        <w:pStyle w:val="TextBody"/>
        <w:bidi w:val="0"/>
        <w:spacing w:before="240" w:after="0"/>
        <w:jc w:val="left"/>
        <w:rPr/>
      </w:pPr>
      <w:r>
        <w:rPr/>
        <w:t>“</w:t>
      </w:r>
      <w:r>
        <w:rPr>
          <w:rFonts w:ascii="Times New Roman" w:hAnsi="Times New Roman"/>
          <w:sz w:val="20"/>
          <w:u w:val="single"/>
        </w:rPr>
        <w:t>Transaction Documents</w:t>
      </w:r>
      <w:r>
        <w:rPr>
          <w:rFonts w:ascii="Times New Roman" w:hAnsi="Times New Roman"/>
          <w:sz w:val="20"/>
        </w:rPr>
        <w:t xml:space="preserve">” means this Agreement, each Purchase and Sale Agreement, the Account Control Agreements, the Fee Letter, each Intercompany Loan Agreement, the Performance Guaranty and all other certificates, instruments, UCC financing statements, reports, notices, agreements and documents executed or delivered under or in connection with this Agreement, in each case as the same may be amended, supplemented or otherwise modified from time to time in accordance with this Agreement. </w:t>
      </w:r>
    </w:p>
    <w:p>
      <w:pPr>
        <w:pStyle w:val="TextBody"/>
        <w:bidi w:val="0"/>
        <w:spacing w:before="240" w:after="0"/>
        <w:jc w:val="left"/>
        <w:rPr/>
      </w:pPr>
      <w:r>
        <w:rPr/>
        <w:t>“</w:t>
      </w:r>
      <w:r>
        <w:rPr>
          <w:rFonts w:ascii="Times New Roman" w:hAnsi="Times New Roman"/>
          <w:sz w:val="20"/>
          <w:u w:val="single"/>
        </w:rPr>
        <w:t>TRS Borrower</w:t>
      </w:r>
      <w:r>
        <w:rPr>
          <w:rFonts w:ascii="Times New Roman" w:hAnsi="Times New Roman"/>
          <w:sz w:val="20"/>
        </w:rPr>
        <w:t xml:space="preserve">” has the meaning specified in the </w:t>
      </w:r>
      <w:r>
        <w:rPr>
          <w:rFonts w:ascii="Times New Roman" w:hAnsi="Times New Roman"/>
          <w:sz w:val="20"/>
          <w:u w:val="single"/>
        </w:rPr>
        <w:t>preamble</w:t>
      </w:r>
      <w:r>
        <w:rPr>
          <w:rFonts w:ascii="Times New Roman" w:hAnsi="Times New Roman"/>
          <w:sz w:val="20"/>
        </w:rPr>
        <w:t xml:space="preserve"> to this Agreement. </w:t>
      </w:r>
    </w:p>
    <w:p>
      <w:pPr>
        <w:pStyle w:val="TextBody"/>
        <w:bidi w:val="0"/>
        <w:spacing w:before="240" w:after="0"/>
        <w:jc w:val="left"/>
        <w:rPr/>
      </w:pPr>
      <w:r>
        <w:rPr/>
        <w:t>“</w:t>
      </w:r>
      <w:r>
        <w:rPr>
          <w:rFonts w:ascii="Times New Roman" w:hAnsi="Times New Roman"/>
          <w:sz w:val="20"/>
          <w:u w:val="single"/>
        </w:rPr>
        <w:t>TRS Holdings</w:t>
      </w:r>
      <w:r>
        <w:rPr>
          <w:rFonts w:ascii="Times New Roman" w:hAnsi="Times New Roman"/>
          <w:sz w:val="20"/>
        </w:rPr>
        <w:t xml:space="preserve">” means Lamar TRS Holdings, LLC, a Delaware limited liability company. </w:t>
      </w:r>
    </w:p>
    <w:p>
      <w:pPr>
        <w:pStyle w:val="TextBody"/>
        <w:bidi w:val="0"/>
        <w:spacing w:before="240" w:after="0"/>
        <w:jc w:val="left"/>
        <w:rPr/>
      </w:pPr>
      <w:r>
        <w:rPr/>
        <w:t>“</w:t>
      </w:r>
      <w:r>
        <w:rPr>
          <w:rFonts w:ascii="Times New Roman" w:hAnsi="Times New Roman"/>
          <w:sz w:val="20"/>
          <w:u w:val="single"/>
        </w:rPr>
        <w:t>TRS Originator</w:t>
      </w:r>
      <w:r>
        <w:rPr>
          <w:rFonts w:ascii="Times New Roman" w:hAnsi="Times New Roman"/>
          <w:sz w:val="20"/>
        </w:rPr>
        <w:t>” and “</w:t>
      </w:r>
      <w:r>
        <w:rPr>
          <w:rFonts w:ascii="Times New Roman" w:hAnsi="Times New Roman"/>
          <w:sz w:val="20"/>
          <w:u w:val="single"/>
        </w:rPr>
        <w:t>TRS Originators</w:t>
      </w:r>
      <w:r>
        <w:rPr>
          <w:rFonts w:ascii="Times New Roman" w:hAnsi="Times New Roman"/>
          <w:sz w:val="20"/>
        </w:rPr>
        <w:t xml:space="preserve">” have the meaning set forth in the TRS Purchase and Sale Agreement, as the same may be modified from time to time by adding new TRS Originators or removing TRS Originators, in each case in accordance with the prior written consent of the Administrative Agent. </w:t>
      </w:r>
    </w:p>
    <w:p>
      <w:pPr>
        <w:pStyle w:val="TextBody"/>
        <w:bidi w:val="0"/>
        <w:spacing w:before="240" w:after="0"/>
        <w:jc w:val="left"/>
        <w:rPr/>
      </w:pPr>
      <w:r>
        <w:rPr/>
        <w:t>“</w:t>
      </w:r>
      <w:r>
        <w:rPr>
          <w:rFonts w:ascii="Times New Roman" w:hAnsi="Times New Roman"/>
          <w:sz w:val="20"/>
          <w:u w:val="single"/>
        </w:rPr>
        <w:t>TRS Purchase and Sale Agreement</w:t>
      </w:r>
      <w:r>
        <w:rPr>
          <w:rFonts w:ascii="Times New Roman" w:hAnsi="Times New Roman"/>
          <w:sz w:val="20"/>
        </w:rPr>
        <w:t xml:space="preserve">” means the Purchase and Sale Agreement, dated as of the Closing Date, among the Servicer, the TRS Originators and the TRS Borrower, as such agreement may be amended, supplemented or otherwise modified from time to time. </w:t>
      </w:r>
    </w:p>
    <w:p>
      <w:pPr>
        <w:pStyle w:val="TextBody"/>
        <w:bidi w:val="0"/>
        <w:spacing w:before="240" w:after="0"/>
        <w:jc w:val="left"/>
        <w:rPr/>
      </w:pPr>
      <w:r>
        <w:rPr/>
        <w:t>“</w:t>
      </w:r>
      <w:r>
        <w:rPr>
          <w:rFonts w:ascii="Times New Roman" w:hAnsi="Times New Roman"/>
          <w:sz w:val="20"/>
          <w:u w:val="single"/>
        </w:rPr>
        <w:t>U.S. Government Securities Business Day</w:t>
      </w:r>
      <w:r>
        <w:rPr>
          <w:rFonts w:ascii="Times New Roman" w:hAnsi="Times New Roman"/>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sz w:val="20"/>
          <w:u w:val="single"/>
        </w:rPr>
        <w:t>U.S. Obligor</w:t>
      </w:r>
      <w:r>
        <w:rPr>
          <w:rFonts w:ascii="Times New Roman" w:hAnsi="Times New Roman"/>
          <w:sz w:val="20"/>
        </w:rPr>
        <w:t xml:space="preserve">” means an Obligor that is a corporation or other business organization and is organized under the laws of the United States of America (or of a United States of America territory, district, state, commonwealth, or possession, including, without limitation, Puerto Rico and the U.S. Virgin Islands) or any political subdivision thereof. </w:t>
      </w:r>
    </w:p>
    <w:p>
      <w:pPr>
        <w:pStyle w:val="TextBody"/>
        <w:bidi w:val="0"/>
        <w:spacing w:before="240" w:after="0"/>
        <w:jc w:val="left"/>
        <w:rPr/>
      </w:pPr>
      <w:r>
        <w:rPr/>
        <w:t>“</w:t>
      </w:r>
      <w:r>
        <w:rPr>
          <w:rFonts w:ascii="Times New Roman" w:hAnsi="Times New Roman"/>
          <w:sz w:val="20"/>
          <w:u w:val="single"/>
        </w:rPr>
        <w:t>U.S. Tax Compliance Certificate</w:t>
      </w:r>
      <w:r>
        <w:rPr>
          <w:rFonts w:ascii="Times New Roman" w:hAnsi="Times New Roman"/>
          <w:sz w:val="20"/>
        </w:rPr>
        <w:t xml:space="preserve">” has the meaning set forth in </w:t>
      </w:r>
      <w:r>
        <w:rPr>
          <w:rFonts w:ascii="Times New Roman" w:hAnsi="Times New Roman"/>
          <w:sz w:val="20"/>
          <w:u w:val="single"/>
        </w:rPr>
        <w:t>Section 5.03(f)(ii)(B)(3)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UCC</w:t>
      </w:r>
      <w:r>
        <w:rPr>
          <w:rFonts w:ascii="Times New Roman" w:hAnsi="Times New Roman"/>
          <w:sz w:val="20"/>
        </w:rPr>
        <w:t xml:space="preserve">” means the Uniform Commercial Code as from time to time in effect in the applicable jurisdiction. </w:t>
      </w:r>
    </w:p>
    <w:p>
      <w:pPr>
        <w:pStyle w:val="TextBody"/>
        <w:bidi w:val="0"/>
        <w:spacing w:before="240" w:after="0"/>
        <w:jc w:val="left"/>
        <w:rPr/>
      </w:pPr>
      <w:r>
        <w:rPr/>
        <w:t>“</w:t>
      </w:r>
      <w:r>
        <w:rPr>
          <w:rFonts w:ascii="Times New Roman" w:hAnsi="Times New Roman"/>
          <w:sz w:val="20"/>
          <w:u w:val="single"/>
        </w:rPr>
        <w:t>Unbilled Receivable</w:t>
      </w:r>
      <w:r>
        <w:rPr>
          <w:rFonts w:ascii="Times New Roman" w:hAnsi="Times New Roman"/>
          <w:sz w:val="20"/>
        </w:rPr>
        <w:t xml:space="preserve">” means, at any time, any Receivable as to which the invoice or bill with respect thereto has not yet been sent to any Obligor thereof. </w:t>
      </w:r>
    </w:p>
    <w:p>
      <w:pPr>
        <w:pStyle w:val="TextBody"/>
        <w:bidi w:val="0"/>
        <w:spacing w:before="240" w:after="0"/>
        <w:jc w:val="left"/>
        <w:rPr/>
      </w:pPr>
      <w:r>
        <w:rPr/>
        <w:t>“</w:t>
      </w:r>
      <w:r>
        <w:rPr>
          <w:rFonts w:ascii="Times New Roman" w:hAnsi="Times New Roman"/>
          <w:sz w:val="20"/>
          <w:u w:val="single"/>
        </w:rPr>
        <w:t>Unmatured Event of Default</w:t>
      </w:r>
      <w:r>
        <w:rPr>
          <w:rFonts w:ascii="Times New Roman" w:hAnsi="Times New Roman"/>
          <w:sz w:val="20"/>
        </w:rPr>
        <w:t xml:space="preserve">” means an event that but for notice or lapse of time or both would constitute an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Unperformed Receivable</w:t>
      </w:r>
      <w:r>
        <w:rPr>
          <w:rFonts w:ascii="Times New Roman" w:hAnsi="Times New Roman"/>
          <w:sz w:val="20"/>
        </w:rPr>
        <w:t xml:space="preserve">” means, at any time of determination, any Receivable for which one or more obligations of the related Originator have not been fully performed, including maintaining posting of the relating advertisement for the entire period of time required under the related Contract. </w:t>
      </w:r>
    </w:p>
    <w:p>
      <w:pPr>
        <w:pStyle w:val="TextBody"/>
        <w:bidi w:val="0"/>
        <w:spacing w:before="240" w:after="0"/>
        <w:jc w:val="left"/>
        <w:rPr/>
      </w:pPr>
      <w:r>
        <w:rPr/>
        <w:t>“</w:t>
      </w:r>
      <w:r>
        <w:rPr>
          <w:rFonts w:ascii="Times New Roman" w:hAnsi="Times New Roman"/>
          <w:sz w:val="20"/>
          <w:u w:val="single"/>
        </w:rPr>
        <w:t>USA PATRIOT Act</w:t>
      </w:r>
      <w:r>
        <w:rPr>
          <w:rFonts w:ascii="Times New Roman" w:hAnsi="Times New Roman"/>
          <w:sz w:val="20"/>
        </w:rPr>
        <w:t xml:space="preserve">” means the Uniting and Strengthening America by Providing Appropriate Tools Required to Intercept and Obstruct Terrorism Act of 2001, Public Law 107-56, as the same has been, or shall hereafter be, renewed, extended, amended or replaced. </w:t>
      </w:r>
    </w:p>
    <w:p>
      <w:pPr>
        <w:pStyle w:val="TextBody"/>
        <w:bidi w:val="0"/>
        <w:spacing w:before="240" w:after="0"/>
        <w:jc w:val="left"/>
        <w:rPr/>
      </w:pPr>
      <w:r>
        <w:rPr/>
        <w:t>“</w:t>
      </w:r>
      <w:r>
        <w:rPr>
          <w:rFonts w:ascii="Times New Roman" w:hAnsi="Times New Roman"/>
          <w:sz w:val="20"/>
          <w:u w:val="single"/>
        </w:rPr>
        <w:t>Volcker Rule</w:t>
      </w:r>
      <w:r>
        <w:rPr>
          <w:rFonts w:ascii="Times New Roman" w:hAnsi="Times New Roman"/>
          <w:sz w:val="20"/>
        </w:rPr>
        <w:t xml:space="preserve">” means Section 13 of the U.S. Bank Holding Company Act of 1956, as amended, and the applicable rules and regulations thereunder. </w:t>
      </w:r>
    </w:p>
    <w:p>
      <w:pPr>
        <w:pStyle w:val="TextBody"/>
        <w:bidi w:val="0"/>
        <w:spacing w:before="240" w:after="0"/>
        <w:jc w:val="left"/>
        <w:rPr/>
      </w:pPr>
      <w:r>
        <w:rPr/>
        <w:t>“</w:t>
      </w:r>
      <w:r>
        <w:rPr>
          <w:rFonts w:ascii="Times New Roman" w:hAnsi="Times New Roman"/>
          <w:sz w:val="20"/>
          <w:u w:val="single"/>
        </w:rPr>
        <w:t>Withdrawal Liability</w:t>
      </w:r>
      <w:r>
        <w:rPr>
          <w:rFonts w:ascii="Times New Roman" w:hAnsi="Times New Roman"/>
          <w:sz w:val="20"/>
        </w:rPr>
        <w:t xml:space="preserve">” means liability to a Multiemployer Plan as a result of a complete or partial withdrawal from such Multiemployer Plan, as such terms are defined in Part I of Subtitle E of Title IV of ERISA. </w:t>
      </w:r>
    </w:p>
    <w:p>
      <w:pPr>
        <w:pStyle w:val="TextBody"/>
        <w:bidi w:val="0"/>
        <w:spacing w:before="240" w:after="0"/>
        <w:jc w:val="left"/>
        <w:rPr/>
      </w:pPr>
      <w:r>
        <w:rPr/>
        <w:t>“</w:t>
      </w:r>
      <w:r>
        <w:rPr>
          <w:rFonts w:ascii="Times New Roman" w:hAnsi="Times New Roman"/>
          <w:sz w:val="20"/>
          <w:u w:val="single"/>
        </w:rPr>
        <w:t>Yield Reserve Percentage</w:t>
      </w:r>
      <w:r>
        <w:rPr>
          <w:rFonts w:ascii="Times New Roman" w:hAnsi="Times New Roman"/>
          <w:sz w:val="20"/>
        </w:rPr>
        <w:t xml:space="preserve">” means at any time of determination: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1.50 x DSO x (BR + SFR) </w:t>
      </w:r>
    </w:p>
    <w:p>
      <w:pPr>
        <w:pStyle w:val="TextBody"/>
        <w:bidi w:val="0"/>
        <w:spacing w:before="0" w:after="0"/>
        <w:jc w:val="left"/>
        <w:rPr>
          <w:rFonts w:ascii="Times New Roman" w:hAnsi="Times New Roman"/>
          <w:sz w:val="20"/>
        </w:rPr>
      </w:pPr>
      <w:r>
        <w:rPr>
          <w:rFonts w:ascii="Times New Roman" w:hAnsi="Times New Roman"/>
          <w:sz w:val="20"/>
        </w:rPr>
        <w:t xml:space="preserve">360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4500" w:type="pct"/>
        <w:jc w:val="right"/>
        <w:tblInd w:w="0" w:type="dxa"/>
        <w:tblLayout w:type="fixed"/>
        <w:tblCellMar>
          <w:top w:w="0" w:type="dxa"/>
          <w:left w:w="0" w:type="dxa"/>
          <w:bottom w:w="0" w:type="dxa"/>
          <w:right w:w="0" w:type="dxa"/>
        </w:tblCellMar>
      </w:tblPr>
      <w:tblGrid>
        <w:gridCol w:w="578"/>
        <w:gridCol w:w="140"/>
        <w:gridCol w:w="157"/>
        <w:gridCol w:w="140"/>
        <w:gridCol w:w="8169"/>
      </w:tblGrid>
      <w:tr>
        <w:trPr/>
        <w:tc>
          <w:tcPr>
            <w:tcW w:w="578"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8169" w:type="dxa"/>
            <w:tcBorders/>
            <w:vAlign w:val="center"/>
          </w:tcPr>
          <w:p>
            <w:pPr>
              <w:pStyle w:val="TableContents"/>
              <w:bidi w:val="0"/>
              <w:spacing w:before="0" w:after="283"/>
              <w:jc w:val="left"/>
              <w:rPr>
                <w:sz w:val="4"/>
                <w:szCs w:val="4"/>
              </w:rPr>
            </w:pPr>
            <w:r>
              <w:rPr>
                <w:sz w:val="4"/>
                <w:szCs w:val="4"/>
              </w:rPr>
            </w:r>
          </w:p>
        </w:tc>
      </w:tr>
      <w:tr>
        <w:trPr/>
        <w:tc>
          <w:tcPr>
            <w:tcW w:w="578" w:type="dxa"/>
            <w:tcBorders/>
          </w:tcPr>
          <w:p>
            <w:pPr>
              <w:pStyle w:val="TableContents"/>
              <w:bidi w:val="0"/>
              <w:spacing w:before="0" w:after="283"/>
              <w:jc w:val="left"/>
              <w:rPr/>
            </w:pPr>
            <w:r>
              <w:rPr/>
              <w:t>BR</w:t>
            </w:r>
          </w:p>
        </w:tc>
        <w:tc>
          <w:tcPr>
            <w:tcW w:w="140"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w:t>
            </w:r>
          </w:p>
        </w:tc>
        <w:tc>
          <w:tcPr>
            <w:tcW w:w="140" w:type="dxa"/>
            <w:tcBorders/>
            <w:vAlign w:val="bottom"/>
          </w:tcPr>
          <w:p>
            <w:pPr>
              <w:pStyle w:val="TableContents"/>
              <w:bidi w:val="0"/>
              <w:spacing w:before="0" w:after="283"/>
              <w:jc w:val="left"/>
              <w:rPr/>
            </w:pPr>
            <w:r>
              <w:rPr/>
              <w:t>  </w:t>
            </w:r>
          </w:p>
        </w:tc>
        <w:tc>
          <w:tcPr>
            <w:tcW w:w="8169" w:type="dxa"/>
            <w:tcBorders/>
          </w:tcPr>
          <w:p>
            <w:pPr>
              <w:pStyle w:val="TableContents"/>
              <w:bidi w:val="0"/>
              <w:spacing w:before="0" w:after="283"/>
              <w:jc w:val="left"/>
              <w:rPr/>
            </w:pPr>
            <w:r>
              <w:rPr/>
              <w:t>the Base Rate at such time;</w:t>
            </w:r>
          </w:p>
        </w:tc>
      </w:tr>
      <w:tr>
        <w:trPr>
          <w:trHeight w:val="240" w:hRule="atLeast"/>
        </w:trPr>
        <w:tc>
          <w:tcPr>
            <w:tcW w:w="578" w:type="dxa"/>
            <w:tcBorders/>
            <w:vAlign w:val="center"/>
          </w:tcPr>
          <w:p>
            <w:pPr>
              <w:pStyle w:val="TableContents"/>
              <w:bidi w:val="0"/>
              <w:spacing w:before="0" w:after="283"/>
              <w:jc w:val="left"/>
              <w:rPr>
                <w:sz w:val="4"/>
                <w:szCs w:val="4"/>
              </w:rPr>
            </w:pPr>
            <w:r>
              <w:rPr>
                <w:sz w:val="4"/>
                <w:szCs w:val="4"/>
              </w:rPr>
            </w:r>
          </w:p>
        </w:tc>
        <w:tc>
          <w:tcPr>
            <w:tcW w:w="297" w:type="dxa"/>
            <w:gridSpan w:val="2"/>
            <w:tcBorders/>
            <w:vAlign w:val="center"/>
          </w:tcPr>
          <w:p>
            <w:pPr>
              <w:pStyle w:val="TableContents"/>
              <w:bidi w:val="0"/>
              <w:spacing w:before="0" w:after="283"/>
              <w:jc w:val="left"/>
              <w:rPr>
                <w:sz w:val="4"/>
                <w:szCs w:val="4"/>
              </w:rPr>
            </w:pPr>
            <w:r>
              <w:rPr>
                <w:sz w:val="4"/>
                <w:szCs w:val="4"/>
              </w:rPr>
            </w:r>
          </w:p>
        </w:tc>
        <w:tc>
          <w:tcPr>
            <w:tcW w:w="8309" w:type="dxa"/>
            <w:gridSpan w:val="2"/>
            <w:tcBorders/>
            <w:vAlign w:val="center"/>
          </w:tcPr>
          <w:p>
            <w:pPr>
              <w:pStyle w:val="TableContents"/>
              <w:bidi w:val="0"/>
              <w:spacing w:before="0" w:after="283"/>
              <w:jc w:val="left"/>
              <w:rPr>
                <w:sz w:val="4"/>
                <w:szCs w:val="4"/>
              </w:rPr>
            </w:pPr>
            <w:r>
              <w:rPr>
                <w:sz w:val="4"/>
                <w:szCs w:val="4"/>
              </w:rPr>
            </w:r>
          </w:p>
        </w:tc>
      </w:tr>
      <w:tr>
        <w:trPr/>
        <w:tc>
          <w:tcPr>
            <w:tcW w:w="578" w:type="dxa"/>
            <w:tcBorders/>
          </w:tcPr>
          <w:p>
            <w:pPr>
              <w:pStyle w:val="TableContents"/>
              <w:bidi w:val="0"/>
              <w:spacing w:before="0" w:after="283"/>
              <w:jc w:val="left"/>
              <w:rPr/>
            </w:pPr>
            <w:r>
              <w:rPr/>
              <w:t>DSO</w:t>
            </w:r>
          </w:p>
        </w:tc>
        <w:tc>
          <w:tcPr>
            <w:tcW w:w="140"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w:t>
            </w:r>
          </w:p>
        </w:tc>
        <w:tc>
          <w:tcPr>
            <w:tcW w:w="140" w:type="dxa"/>
            <w:tcBorders/>
            <w:vAlign w:val="bottom"/>
          </w:tcPr>
          <w:p>
            <w:pPr>
              <w:pStyle w:val="TableContents"/>
              <w:bidi w:val="0"/>
              <w:spacing w:before="0" w:after="283"/>
              <w:jc w:val="left"/>
              <w:rPr/>
            </w:pPr>
            <w:r>
              <w:rPr/>
              <w:t>  </w:t>
            </w:r>
          </w:p>
        </w:tc>
        <w:tc>
          <w:tcPr>
            <w:tcW w:w="8169" w:type="dxa"/>
            <w:tcBorders/>
          </w:tcPr>
          <w:p>
            <w:pPr>
              <w:pStyle w:val="TableContents"/>
              <w:bidi w:val="0"/>
              <w:spacing w:before="0" w:after="283"/>
              <w:jc w:val="left"/>
              <w:rPr/>
            </w:pPr>
            <w:r>
              <w:rPr/>
              <w:t>the Days’ Sales Outstanding for the most recently ended Fiscal Month; and</w:t>
            </w:r>
          </w:p>
        </w:tc>
      </w:tr>
      <w:tr>
        <w:trPr>
          <w:trHeight w:val="240" w:hRule="atLeast"/>
        </w:trPr>
        <w:tc>
          <w:tcPr>
            <w:tcW w:w="578" w:type="dxa"/>
            <w:tcBorders/>
            <w:vAlign w:val="center"/>
          </w:tcPr>
          <w:p>
            <w:pPr>
              <w:pStyle w:val="TableContents"/>
              <w:bidi w:val="0"/>
              <w:spacing w:before="0" w:after="283"/>
              <w:jc w:val="left"/>
              <w:rPr>
                <w:sz w:val="4"/>
                <w:szCs w:val="4"/>
              </w:rPr>
            </w:pPr>
            <w:r>
              <w:rPr>
                <w:sz w:val="4"/>
                <w:szCs w:val="4"/>
              </w:rPr>
            </w:r>
          </w:p>
        </w:tc>
        <w:tc>
          <w:tcPr>
            <w:tcW w:w="297" w:type="dxa"/>
            <w:gridSpan w:val="2"/>
            <w:tcBorders/>
            <w:vAlign w:val="center"/>
          </w:tcPr>
          <w:p>
            <w:pPr>
              <w:pStyle w:val="TableContents"/>
              <w:bidi w:val="0"/>
              <w:spacing w:before="0" w:after="283"/>
              <w:jc w:val="left"/>
              <w:rPr>
                <w:sz w:val="4"/>
                <w:szCs w:val="4"/>
              </w:rPr>
            </w:pPr>
            <w:r>
              <w:rPr>
                <w:sz w:val="4"/>
                <w:szCs w:val="4"/>
              </w:rPr>
            </w:r>
          </w:p>
        </w:tc>
        <w:tc>
          <w:tcPr>
            <w:tcW w:w="8309" w:type="dxa"/>
            <w:gridSpan w:val="2"/>
            <w:tcBorders/>
            <w:vAlign w:val="center"/>
          </w:tcPr>
          <w:p>
            <w:pPr>
              <w:pStyle w:val="TableContents"/>
              <w:bidi w:val="0"/>
              <w:spacing w:before="0" w:after="283"/>
              <w:jc w:val="left"/>
              <w:rPr>
                <w:sz w:val="4"/>
                <w:szCs w:val="4"/>
              </w:rPr>
            </w:pPr>
            <w:r>
              <w:rPr>
                <w:sz w:val="4"/>
                <w:szCs w:val="4"/>
              </w:rPr>
            </w:r>
          </w:p>
        </w:tc>
      </w:tr>
      <w:tr>
        <w:trPr/>
        <w:tc>
          <w:tcPr>
            <w:tcW w:w="578" w:type="dxa"/>
            <w:tcBorders/>
          </w:tcPr>
          <w:p>
            <w:pPr>
              <w:pStyle w:val="TableContents"/>
              <w:bidi w:val="0"/>
              <w:spacing w:before="0" w:after="283"/>
              <w:jc w:val="left"/>
              <w:rPr/>
            </w:pPr>
            <w:r>
              <w:rPr/>
              <w:t>SFR</w:t>
            </w:r>
          </w:p>
        </w:tc>
        <w:tc>
          <w:tcPr>
            <w:tcW w:w="140"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w:t>
            </w:r>
          </w:p>
        </w:tc>
        <w:tc>
          <w:tcPr>
            <w:tcW w:w="140" w:type="dxa"/>
            <w:tcBorders/>
            <w:vAlign w:val="bottom"/>
          </w:tcPr>
          <w:p>
            <w:pPr>
              <w:pStyle w:val="TableContents"/>
              <w:bidi w:val="0"/>
              <w:spacing w:before="0" w:after="283"/>
              <w:jc w:val="left"/>
              <w:rPr/>
            </w:pPr>
            <w:r>
              <w:rPr/>
              <w:t>  </w:t>
            </w:r>
          </w:p>
        </w:tc>
        <w:tc>
          <w:tcPr>
            <w:tcW w:w="8169" w:type="dxa"/>
            <w:tcBorders/>
          </w:tcPr>
          <w:p>
            <w:pPr>
              <w:pStyle w:val="TableContents"/>
              <w:bidi w:val="0"/>
              <w:spacing w:before="0" w:after="283"/>
              <w:jc w:val="left"/>
              <w:rPr/>
            </w:pPr>
            <w:r>
              <w:rPr/>
              <w:t>the Servicing Fee Rate.</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Other Interpretative Matters</w:t>
      </w:r>
      <w:r>
        <w:rPr>
          <w:rFonts w:ascii="Times New Roman" w:hAnsi="Times New Roman"/>
          <w:sz w:val="20"/>
        </w:rPr>
        <w:t xml:space="preserve">. All accounting terms not specifically defined herein shall be construed in accordance with GAAP. All terms used in Article 9 of the UCC in the State of New York and not specifically defined herein, are used herein as defined in such Article 9. Unless otherwise expressly indicated, all references herein to “Article,” “Section,” “Schedule”, “Exhibit” or “Annex” shall mean articles and sections of, and schedules, exhibits and annexes to, this Agreement. For purposes of this Agreement, the other Transaction Documents and all such certificates and other documents, unless the context otherwise requires: (a) references to any amount as on deposit or outstanding on any particular date means such amount at the close of business on such day; (b) the words “hereof,” “herein” and “hereunder” and words of similar import refer to such agreement (or the certificate or other document in which they are used) as a whole and not to any particular provision of such agreement (or such certificate or document); (c) references to any Article, Section, Schedule, Exhibit or Annex are refe </w:t>
      </w:r>
    </w:p>
    <w:p>
      <w:pPr>
        <w:pStyle w:val="TextBody"/>
        <w:bidi w:val="0"/>
        <w:spacing w:before="0" w:after="0"/>
        <w:jc w:val="left"/>
        <w:rPr>
          <w:rFonts w:ascii="Times New Roman" w:hAnsi="Times New Roman"/>
          <w:sz w:val="20"/>
        </w:rPr>
      </w:pPr>
      <w:r>
        <w:rPr>
          <w:rFonts w:ascii="Times New Roman" w:hAnsi="Times New Roman"/>
          <w:sz w:val="20"/>
        </w:rPr>
        <w:t xml:space="preserve">rences to Articles, Sections, Schedules, Exhibits and Annexes in or to such agreement (or the certificate or other document in which the reference is made), and references to any paragraph, subsection, clause or other subdivision within any Section or definition refer to such paragraph, subsection, clause or other subdivision of such Section or definition; (d) the term “including” means “including without limitation”; (e) references to any Applicable Law refer to that Applicable Law as amended from time to time and include any successor Applicable Law; (f) references to any agreement refer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agreement as from time to time amended, restated or supplemented or as the terms of such agreement are waived or modified in accordance with its terms; (g) references to any Person include that Person’s permitted successors and assigns; (h) headings are for purposes of reference only and shall not otherwise affect the meaning or interpretation of any provision hereof; (i) unless otherwise provided, in the calculation of time from a specified date to a later specified date, the term “from” means “from and including”, and the terms “to” and “until” each means “to but excluding”; (j) terms in one gender include the parallel terms in the neuter and opposite gender; (k) references to any amount as on deposit or outstanding on any particular date means such amount at the close of business on such day and (l) the term “or” is not exclusive.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rPr>
        <w:t xml:space="preserve">TERMS OF THE LOANS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Loan Facility</w:t>
      </w:r>
      <w:r>
        <w:rPr>
          <w:rFonts w:ascii="Times New Roman" w:hAnsi="Times New Roman"/>
          <w:sz w:val="20"/>
        </w:rPr>
        <w:t xml:space="preserve">. Upon a request by any Borrower pursuant to </w:t>
      </w:r>
      <w:r>
        <w:rPr>
          <w:rFonts w:ascii="Times New Roman" w:hAnsi="Times New Roman"/>
          <w:sz w:val="20"/>
          <w:u w:val="single"/>
        </w:rPr>
        <w:t>Section 2.02</w:t>
      </w:r>
      <w:r>
        <w:rPr>
          <w:rFonts w:ascii="Times New Roman" w:hAnsi="Times New Roman"/>
          <w:sz w:val="20"/>
        </w:rPr>
        <w:t xml:space="preserve">, and on the terms and subject to the conditions hereinafter set forth, each Lender shall, ratably in accordance with its respective Commitments, severally and not jointly, make Loans to the applicable Borrower from time to time during the period from the Closing Date to the Termination Date. Under no circumstances shall any Lender be obligated to make any such Loan if, after giving effect to such Loan: </w:t>
      </w:r>
    </w:p>
    <w:p>
      <w:pPr>
        <w:pStyle w:val="TextBody"/>
        <w:bidi w:val="0"/>
        <w:spacing w:before="120" w:after="0"/>
        <w:jc w:val="left"/>
        <w:rPr>
          <w:rFonts w:ascii="Times New Roman" w:hAnsi="Times New Roman"/>
          <w:sz w:val="20"/>
        </w:rPr>
      </w:pPr>
      <w:r>
        <w:rPr>
          <w:rFonts w:ascii="Times New Roman" w:hAnsi="Times New Roman"/>
          <w:sz w:val="20"/>
        </w:rPr>
        <w:t xml:space="preserve">(i) the Aggregate Capital would exceed the Facility Limit at such time; </w:t>
      </w:r>
    </w:p>
    <w:p>
      <w:pPr>
        <w:pStyle w:val="TextBody"/>
        <w:bidi w:val="0"/>
        <w:spacing w:before="120" w:after="0"/>
        <w:jc w:val="left"/>
        <w:rPr>
          <w:rFonts w:ascii="Times New Roman" w:hAnsi="Times New Roman"/>
          <w:sz w:val="20"/>
        </w:rPr>
      </w:pPr>
      <w:r>
        <w:rPr>
          <w:rFonts w:ascii="Times New Roman" w:hAnsi="Times New Roman"/>
          <w:sz w:val="20"/>
        </w:rPr>
        <w:t xml:space="preserve">(ii) the aggregate outstanding Capital of such Lender would exceed its Commitment;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Aggregate Capital would exceed the Borrowing Base at such time.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Making Loans; Repayment of Loans</w:t>
      </w:r>
      <w:r>
        <w:rPr>
          <w:rFonts w:ascii="Times New Roman" w:hAnsi="Times New Roman"/>
          <w:sz w:val="20"/>
        </w:rPr>
        <w:t xml:space="preserve">. (a) Each Loan hereunder shall be made on at least one (1) Business Day’s prior written request from a Borrower to the Administrative Agent and each Lender in the form of a Loan Request attached hereto as </w:t>
      </w:r>
      <w:r>
        <w:rPr>
          <w:rFonts w:ascii="Times New Roman" w:hAnsi="Times New Roman"/>
          <w:sz w:val="20"/>
          <w:u w:val="single"/>
        </w:rPr>
        <w:t>Exhibit A</w:t>
      </w:r>
      <w:r>
        <w:rPr>
          <w:rFonts w:ascii="Times New Roman" w:hAnsi="Times New Roman"/>
          <w:sz w:val="20"/>
        </w:rPr>
        <w:t>. Each such request for a Loan shall be made no later than 1:00 p.m. (New York City time) on a Business Day (</w:t>
      </w:r>
      <w:r>
        <w:rPr>
          <w:rFonts w:ascii="Times New Roman" w:hAnsi="Times New Roman"/>
          <w:sz w:val="20"/>
          <w:u w:val="single"/>
        </w:rPr>
        <w:t>it</w:t>
      </w:r>
      <w:r>
        <w:rPr>
          <w:rFonts w:ascii="Times New Roman" w:hAnsi="Times New Roman"/>
          <w:sz w:val="20"/>
        </w:rPr>
        <w:t xml:space="preserve"> </w:t>
      </w:r>
      <w:r>
        <w:rPr>
          <w:rFonts w:ascii="Times New Roman" w:hAnsi="Times New Roman"/>
          <w:sz w:val="20"/>
          <w:u w:val="single"/>
        </w:rPr>
        <w:t>being</w:t>
      </w:r>
      <w:r>
        <w:rPr>
          <w:rFonts w:ascii="Times New Roman" w:hAnsi="Times New Roman"/>
          <w:sz w:val="20"/>
        </w:rPr>
        <w:t xml:space="preserve"> </w:t>
      </w:r>
      <w:r>
        <w:rPr>
          <w:rFonts w:ascii="Times New Roman" w:hAnsi="Times New Roman"/>
          <w:sz w:val="20"/>
          <w:u w:val="single"/>
        </w:rPr>
        <w:t>understood</w:t>
      </w:r>
      <w:r>
        <w:rPr>
          <w:rFonts w:ascii="Times New Roman" w:hAnsi="Times New Roman"/>
          <w:sz w:val="20"/>
        </w:rPr>
        <w:t xml:space="preserve"> that any such request made after such time shall be deemed to have been made on the following Business Day) and shall specify (i) the amount of the Loan(s) requested (which shall not be less than $100,000 and shall be an integral multiple of $100,000 in excess thereof), (ii) the allocation of such amount among the Lenders (which shall be ratable based on the Commitments), (iii) the account to which the proceeds of such Loan shall be distributed and (iv) the date such requested Loan is to be made (which shall be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(b) On the date of each Loan specified in the applicable Loan Request, the Lenders shall, upon satisfaction of the applicable conditions set forth in </w:t>
      </w:r>
      <w:r>
        <w:rPr>
          <w:rFonts w:ascii="Times New Roman" w:hAnsi="Times New Roman"/>
          <w:sz w:val="20"/>
          <w:u w:val="single"/>
        </w:rPr>
        <w:t>Article VI</w:t>
      </w:r>
      <w:r>
        <w:rPr>
          <w:rFonts w:ascii="Times New Roman" w:hAnsi="Times New Roman"/>
          <w:sz w:val="20"/>
        </w:rPr>
        <w:t xml:space="preserve"> and pursuant to the other conditions set forth in this </w:t>
      </w:r>
      <w:r>
        <w:rPr>
          <w:rFonts w:ascii="Times New Roman" w:hAnsi="Times New Roman"/>
          <w:sz w:val="20"/>
          <w:u w:val="single"/>
        </w:rPr>
        <w:t>Article II</w:t>
      </w:r>
      <w:r>
        <w:rPr>
          <w:rFonts w:ascii="Times New Roman" w:hAnsi="Times New Roman"/>
          <w:sz w:val="20"/>
        </w:rPr>
        <w:t xml:space="preserve">, make available to the applicable Borrower in same day funds an aggregate amount equal to the amount of such Loans requested, at the account set forth in the related Loan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Each Lender’s obligation shall be several, such that the failure of any Lender to make available to the applicable Borrower any funds in connection with any Loan shall not relieve any other Lender of its obligation, if any, hereunder to make funds available on the date such Loans are requested (</w:t>
      </w:r>
      <w:r>
        <w:rPr>
          <w:rFonts w:ascii="Times New Roman" w:hAnsi="Times New Roman"/>
          <w:sz w:val="20"/>
          <w:u w:val="single"/>
        </w:rPr>
        <w:t>it</w:t>
      </w:r>
      <w:r>
        <w:rPr>
          <w:rFonts w:ascii="Times New Roman" w:hAnsi="Times New Roman"/>
          <w:sz w:val="20"/>
        </w:rPr>
        <w:t xml:space="preserve"> </w:t>
      </w:r>
      <w:r>
        <w:rPr>
          <w:rFonts w:ascii="Times New Roman" w:hAnsi="Times New Roman"/>
          <w:sz w:val="20"/>
          <w:u w:val="single"/>
        </w:rPr>
        <w:t>being</w:t>
      </w:r>
      <w:r>
        <w:rPr>
          <w:rFonts w:ascii="Times New Roman" w:hAnsi="Times New Roman"/>
          <w:sz w:val="20"/>
        </w:rPr>
        <w:t xml:space="preserve"> </w:t>
      </w:r>
      <w:r>
        <w:rPr>
          <w:rFonts w:ascii="Times New Roman" w:hAnsi="Times New Roman"/>
          <w:sz w:val="20"/>
          <w:u w:val="single"/>
        </w:rPr>
        <w:t>understood</w:t>
      </w:r>
      <w:r>
        <w:rPr>
          <w:rFonts w:ascii="Times New Roman" w:hAnsi="Times New Roman"/>
          <w:sz w:val="20"/>
        </w:rPr>
        <w:t xml:space="preserve">, that no Lender shall be responsible for the failure of any other Lender to make funds available to the applicable Borrower in connection with any Loan hereunder). </w:t>
      </w:r>
    </w:p>
    <w:p>
      <w:pPr>
        <w:pStyle w:val="TextBody"/>
        <w:bidi w:val="0"/>
        <w:spacing w:before="240" w:after="0"/>
        <w:jc w:val="left"/>
        <w:rPr>
          <w:rFonts w:ascii="Times New Roman" w:hAnsi="Times New Roman"/>
          <w:sz w:val="20"/>
        </w:rPr>
      </w:pPr>
      <w:r>
        <w:rPr>
          <w:rFonts w:ascii="Times New Roman" w:hAnsi="Times New Roman"/>
          <w:sz w:val="20"/>
        </w:rPr>
        <w:t xml:space="preserve">(d) The Borrowers shall repay in full the outstanding Capital of each Lender on the Final Maturity Date. Prior thereto, the Borrowers shall, on each Settlement Date, make a prepayment of the outstanding Capital of the Lenders to the extent required under </w:t>
      </w:r>
      <w:r>
        <w:rPr>
          <w:rFonts w:ascii="Times New Roman" w:hAnsi="Times New Roman"/>
          <w:sz w:val="20"/>
          <w:u w:val="single"/>
        </w:rPr>
        <w:t>Section 4.01</w:t>
      </w:r>
      <w:r>
        <w:rPr>
          <w:rFonts w:ascii="Times New Roman" w:hAnsi="Times New Roman"/>
          <w:sz w:val="20"/>
        </w:rPr>
        <w:t xml:space="preserve"> and otherwise in accordance therewith. Notwithstanding the foregoing, each Borrower, in its sole discretion, shall have the right to make a prepayment, in whole or in part, of the outstanding Capital of the Lenders on any Business Day upon two (2) Business Days’ prior written notice thereof to the Administrative Agent and each Lender in the form of a Reduction Notice attached hereto as </w:t>
      </w:r>
      <w:r>
        <w:rPr>
          <w:rFonts w:ascii="Times New Roman" w:hAnsi="Times New Roman"/>
          <w:sz w:val="20"/>
          <w:u w:val="single"/>
        </w:rPr>
        <w:t>Exhibit 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(i) each such prepayment shall be in a minimum aggregate amount of $100,000 and shall be an integral multiple of $100,000 in excess thereof, (ii) the Borrowers shall not provide any Reduction Notice, and no such Reduction Notice shall be effective, if after giving effect thereto, the Aggregate Capital at such time would be less than an amount equal to the Minimum Funding Threshold and (iii) any accrued Interest and Fees in respect of the portion(s) of Capital so reduced shall be paid in full on the immediately following Settlement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the foregoing, a prepayment may be in an amount necessary to reduce any Borrowing Base Deficit existing at such time to zero. </w:t>
      </w:r>
    </w:p>
    <w:p>
      <w:pPr>
        <w:pStyle w:val="TextBody"/>
        <w:bidi w:val="0"/>
        <w:spacing w:before="240" w:after="0"/>
        <w:jc w:val="left"/>
        <w:rPr>
          <w:rFonts w:ascii="Times New Roman" w:hAnsi="Times New Roman"/>
          <w:sz w:val="20"/>
        </w:rPr>
      </w:pPr>
      <w:r>
        <w:rPr>
          <w:rFonts w:ascii="Times New Roman" w:hAnsi="Times New Roman"/>
          <w:sz w:val="20"/>
        </w:rPr>
        <w:t xml:space="preserve">(e) The Borrowers may, at any time upon at least thirty (30) days’ prior written notice to the Administrative Agent and each Lender, terminate the Facility Limit in whole or ratably reduce the Facility Limit in part. Each partial reduction in the Facility Limit shall be in a minimum aggregate amount of $5,000,000 or integral multiples of $1,000,000 in excess thereof, and no such partial reduction shall reduce the Facility Limit to an amount less than $50,000,000. In connection with any partial reduction in the Facility Limit, the Commitment of each Lender shall be ratably reduced. </w:t>
      </w:r>
    </w:p>
    <w:p>
      <w:pPr>
        <w:pStyle w:val="TextBody"/>
        <w:bidi w:val="0"/>
        <w:spacing w:before="240" w:after="0"/>
        <w:jc w:val="left"/>
        <w:rPr>
          <w:rFonts w:ascii="Times New Roman" w:hAnsi="Times New Roman"/>
          <w:sz w:val="20"/>
        </w:rPr>
      </w:pPr>
      <w:r>
        <w:rPr>
          <w:rFonts w:ascii="Times New Roman" w:hAnsi="Times New Roman"/>
          <w:sz w:val="20"/>
        </w:rPr>
        <w:t xml:space="preserve">(f) In connection with any reduction of the Commitments, the Borrowers shall remit to the Administrative Agent (i) instructions regarding such reduction and (ii) for payment to the Lenders, cash in an amount sufficient to pay (A) Capital of each Lender in excess of the Commitment of such Lender at such time and (B) all other outstanding Borrower Obligations with respect to such reduction (determined based on the ratio of the reduction of the Commitments being effected to the amount of the Commitments prior to such reduction or, if the Administrative Agent reasonably determines that any portion of the outstanding Borrower Obligations is allocable solely to that portion of the Commitments being reduced or has arisen solely as a result of such reduction, all of such portion) including, without duplication, any associated Breakage Fees. Upon receipt of any such amounts, the Administrative Agent shall apply such amounts first to the reduction of the Aggregate Capital, and second to the payment of the remaining outstanding Borrower Obligations, including any associated Breakage Fees, with respect to such reduction, by paying such amounts to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 So long as no Event of Default has occurred and is continuing, upon notice to the Administrative Agent and each Lender, the Borrowers may from time to time request an increase in the Commitment with respect to one or more Lenders, at any time following the Closing Date and prior to the Termination Date, such aggregate increase in such Lenders’ Commitments to be an amount (for all such requests or additions) not exceeding $125,000,000</w:t>
      </w:r>
      <w:r>
        <w:rPr>
          <w:rFonts w:ascii="Times New Roman" w:hAnsi="Times New Roman"/>
          <w:color w:val="0000FF"/>
          <w:sz w:val="20"/>
          <w:u w:val="single"/>
          <w:bdr w:val="double" w:sz="2" w:space="1" w:color="000000"/>
        </w:rPr>
        <w:t xml:space="preserve"> (as such amount may be replenished from time to time in accordance with this clause (g), the “Maximum Commitment Increase Amount”) </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w:t>
      </w:r>
      <w:r>
        <w:rPr>
          <w:rFonts w:ascii="Times New Roman" w:hAnsi="Times New Roman"/>
          <w:color w:val="0000FF"/>
          <w:sz w:val="20"/>
          <w:u w:val="single"/>
          <w:bdr w:val="double" w:sz="2" w:space="1" w:color="000000"/>
        </w:rPr>
        <w:t>(i)</w:t>
      </w:r>
      <w:r>
        <w:rPr>
          <w:rFonts w:ascii="Times New Roman" w:hAnsi="Times New Roman"/>
          <w:sz w:val="20"/>
        </w:rPr>
        <w:t> each request for an increase shall be in a minimum amount of $10,000,000</w:t>
      </w:r>
      <w:r>
        <w:rPr>
          <w:rFonts w:ascii="Times New Roman" w:hAnsi="Times New Roman"/>
          <w:strike/>
          <w:color w:val="FF0000"/>
          <w:sz w:val="20"/>
        </w:rPr>
        <w:t xml:space="preserve">. </w:t>
      </w:r>
      <w:r>
        <w:rPr>
          <w:rFonts w:ascii="Times New Roman" w:hAnsi="Times New Roman"/>
          <w:color w:val="0000FF"/>
          <w:sz w:val="20"/>
          <w:u w:val="single"/>
          <w:bdr w:val="double" w:sz="2" w:space="1" w:color="000000"/>
        </w:rPr>
        <w:t>, and (ii) if following the date of any increase pursuant to this Section 2.02(g), the Facility Limit is reduced pursuant to Section 2.02(e), the Maximum Commitment Increase Amount shall be replenished in an amount equal to such reduction in the Facility Limit (provided that the Maximum Commitment Increase Amount shall not exceed $125,000,000 after giving effect to such replenishment).</w:t>
      </w:r>
      <w:r>
        <w:rPr>
          <w:rFonts w:ascii="Times New Roman" w:hAnsi="Times New Roman"/>
          <w:sz w:val="20"/>
        </w:rPr>
        <w:t xml:space="preserve"> At the time of sending such notice with respect to any Lender, the Borrowers (in consultation with the Administrative Agent and the Lenders) shall specify the time period within which such Lenders and the Administrative Agent are requested to respond to the Borrowers’ request (which shall in no event be less than ten (10) Business Days from the date of delivery of such notice to the Administrative Agent and the Lenders). In respect of any Lender, each of such Lender being asked to increase its Commitment and the Administrative Agent shall notify the Borrowers and the Servicer within the applicable time period whether or not such Person agrees, in its respective sole discretion, to the increase to such Lender’s Commitment. Any such Person not responding within such time period shall be deemed to have declined to consent to an increase in such Lender’s Commitment. For the avoidance of doubt, only the consent of the Lender then being asked to increase its Commitment and the Administrative Agent shall be required in order to approve any such request. If the Commitment of any Lender is increased in accordance with this </w:t>
      </w:r>
      <w:r>
        <w:rPr>
          <w:rFonts w:ascii="Times New Roman" w:hAnsi="Times New Roman"/>
          <w:sz w:val="20"/>
          <w:u w:val="single"/>
        </w:rPr>
        <w:t>clause (g),</w:t>
      </w:r>
      <w:r>
        <w:rPr>
          <w:rFonts w:ascii="Times New Roman" w:hAnsi="Times New Roman"/>
          <w:sz w:val="20"/>
        </w:rPr>
        <w:t xml:space="preserve"> the Administrative Agent, the Lenders, the Borrowers and the Servicer shall determine the effective date with respect to such increase and shall enter into or otherwise provide such documents as agreed to by such parties to document such increase and the corresponding increase in the Facility Limit and, if applicable, rebalance Capital among the Lenders such that after giving effect thereto, the aggregate outstanding Capital of the Lenders is distributed ratably among the Lenders; it being understood and agreed that the Administrative Agent or any Lender increasing its Commitment pursuant to this </w:t>
      </w:r>
      <w:r>
        <w:rPr>
          <w:rFonts w:ascii="Times New Roman" w:hAnsi="Times New Roman"/>
          <w:sz w:val="20"/>
          <w:u w:val="single"/>
        </w:rPr>
        <w:t>clause (g)</w:t>
      </w:r>
      <w:r>
        <w:rPr>
          <w:rFonts w:ascii="Times New Roman" w:hAnsi="Times New Roman"/>
          <w:sz w:val="20"/>
        </w:rPr>
        <w:t xml:space="preserve"> may request any of (x) resolutions approving or consenting to such Commitment increase and authorizing the execution, delivery and performance of any amendment to this Agreement, (y) a corporate and enforceability opinion of counsel of the Borrowers and (z) such other documents, agreements and opinions reasonably requested by such Lender or the Administrative Agent. </w:t>
      </w:r>
    </w:p>
    <w:p>
      <w:pPr>
        <w:pStyle w:val="TextBody"/>
        <w:bidi w:val="0"/>
        <w:spacing w:before="240" w:after="0"/>
        <w:jc w:val="left"/>
        <w:rPr>
          <w:rFonts w:ascii="Times New Roman" w:hAnsi="Times New Roman"/>
          <w:sz w:val="20"/>
        </w:rPr>
      </w:pPr>
      <w:r>
        <w:rPr>
          <w:rFonts w:ascii="Times New Roman" w:hAnsi="Times New Roman"/>
          <w:sz w:val="20"/>
        </w:rPr>
        <w:t>(h) Provided that no Event of Default has occurred and is continuing, the Borrowers may from time to time advise the Administrative Agent and each Lender in writing of its desire to extend the Scheduled Termination Date for an additional 364 day period, provided that such request is made not more than one hundred twenty (120) days prior to, and not less than sixty (60) days prior to, the then current Scheduled Termination Date. The Administrative Agent and each Lender shall notify the Borrowers and the Administrative Agent in writing whether or not such Person is agreeable to such extension (</w:t>
      </w:r>
      <w:r>
        <w:rPr>
          <w:rFonts w:ascii="Times New Roman" w:hAnsi="Times New Roman"/>
          <w:sz w:val="20"/>
          <w:u w:val="single"/>
        </w:rPr>
        <w:t>it being understood</w:t>
      </w:r>
      <w:r>
        <w:rPr>
          <w:rFonts w:ascii="Times New Roman" w:hAnsi="Times New Roman"/>
          <w:sz w:val="20"/>
        </w:rPr>
        <w:t xml:space="preserve"> that the Administrative Agent and the Lenders may accept or decline such a request in their sole discretion and on such terms as they may elect) not less than thirty (30) days prior to the then current Scheduled Termination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Administrative Agent or any Lender fails to so notify the Borrowers and the Administrative Agent, the Administrative Agent or such Lender, as the case may be, shall be deemed to have declined such extension. In the event that the Administrative Agent and one or more Lenders have so notified the Borrowers and the Administrative Agent in writing that they are agreeable to such extension, the Borrower, the Servicer, the Administrative Agent and the applicable Lenders shall enter into such documents as the Administrative Agent and the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Lenders may deem necessary or appropriate to effect such extension, and all reasonable out-of-pocket costs and expenses incurred by the Administrative Agent and the applicable Lenders in connection therewith (including reasonable and documented Attorney Costs) shall be paid by the Borrowers. In the event any Lender declines such request to extend the Scheduled Termination Date or is deemed to have declined such extension, such Lender shall be an “</w:t>
      </w:r>
      <w:r>
        <w:rPr>
          <w:rFonts w:ascii="Times New Roman" w:hAnsi="Times New Roman"/>
          <w:sz w:val="20"/>
          <w:u w:val="single"/>
        </w:rPr>
        <w:t>Exiting Lender</w:t>
      </w:r>
      <w:r>
        <w:rPr>
          <w:rFonts w:ascii="Times New Roman" w:hAnsi="Times New Roman"/>
          <w:sz w:val="20"/>
        </w:rPr>
        <w:t xml:space="preserve">” for all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Interest and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 each Settlement Date, the Borrowers shall, in accordance with the terms and priorities for payment set forth in </w:t>
      </w:r>
      <w:r>
        <w:rPr>
          <w:rFonts w:ascii="Times New Roman" w:hAnsi="Times New Roman"/>
          <w:sz w:val="20"/>
          <w:u w:val="single"/>
        </w:rPr>
        <w:t>Section 4.01</w:t>
      </w:r>
      <w:r>
        <w:rPr>
          <w:rFonts w:ascii="Times New Roman" w:hAnsi="Times New Roman"/>
          <w:sz w:val="20"/>
        </w:rPr>
        <w:t>, pay to each Lender, the Administrative Agent, the Structuring Agent and the Sustainability Agent certain fees (collectively, the “</w:t>
      </w:r>
      <w:r>
        <w:rPr>
          <w:rFonts w:ascii="Times New Roman" w:hAnsi="Times New Roman"/>
          <w:sz w:val="20"/>
          <w:u w:val="single"/>
        </w:rPr>
        <w:t>Fees</w:t>
      </w:r>
      <w:r>
        <w:rPr>
          <w:rFonts w:ascii="Times New Roman" w:hAnsi="Times New Roman"/>
          <w:sz w:val="20"/>
        </w:rPr>
        <w:t>”) in the amounts set forth in the fee letter agreements from time to time entered into, among the Borrowers, the Lenders and/or the Administrative Agent, the Structuring Agent or the Sustainability Agent (each such fee letter agreement, as amended, restated, supplemented or otherwise modified from time to time, collectively being referred to herein as the “</w:t>
      </w:r>
      <w:r>
        <w:rPr>
          <w:rFonts w:ascii="Times New Roman" w:hAnsi="Times New Roman"/>
          <w:sz w:val="20"/>
          <w:u w:val="single"/>
        </w:rPr>
        <w:t>Fee Letter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Each Loan of each Lender and the Capital thereof shall accrue interest on each day when such Capital remains outstanding at the then applicable Interest Rate for such Loan. The Borrowers shall, jointly and severally, pay all Interest (including, for the avoidance of doubt, all Interest accrued on Loans accruing interest based on the Term SOFR Rate during an Interest Period regardless of whether the applicable Tranche Period has ended), Fees and Breakage Fees accrued during each Interest Period on each Settlement Date in accordance with the terms and priorities for payment set forth in </w:t>
      </w:r>
      <w:r>
        <w:rPr>
          <w:rFonts w:ascii="Times New Roman" w:hAnsi="Times New Roman"/>
          <w:sz w:val="20"/>
          <w:u w:val="single"/>
        </w:rPr>
        <w:t>Section 4.01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Records of Loans</w:t>
      </w:r>
      <w:r>
        <w:rPr>
          <w:rFonts w:ascii="Times New Roman" w:hAnsi="Times New Roman"/>
          <w:sz w:val="20"/>
        </w:rPr>
        <w:t xml:space="preserve">. Each Lender shall record in its records, the date and amount of each Loan made by such Lender hereunder, the interest rate with respect thereto, the Interest accrued thereon and each repayment and payment thereof. Subject to </w:t>
      </w:r>
      <w:r>
        <w:rPr>
          <w:rFonts w:ascii="Times New Roman" w:hAnsi="Times New Roman"/>
          <w:sz w:val="20"/>
          <w:u w:val="single"/>
        </w:rPr>
        <w:t>Section 14.03(b)</w:t>
      </w:r>
      <w:r>
        <w:rPr>
          <w:rFonts w:ascii="Times New Roman" w:hAnsi="Times New Roman"/>
          <w:sz w:val="20"/>
        </w:rPr>
        <w:t xml:space="preserve">, such records shall be conclusive and binding absent manifest error. The failure to so record any such information or any error in so recording any such information shall not, however, limit or otherwise affect the obligations of the Borrowers hereunder or under the other Transaction Documents to repay the Capital of each Lender, together with all Interest accruing thereon and all other Borrower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Selection of Daily 1M SOFR and Term SOFR Rate; Rate Quotations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So long as no Event of Default or Financial Covenant Event is continuing, the Borrowers may, by written notice to the Administrative Agent, elect for all or any portion of the Loans to accrue interest by reference to the Term SOFR Rate (rather than Daily 1M SOFR) during any Interest Period. Any such notice must specify the principal amount of Loans subject of such election and must be delivered not later than two (2) Business Days prior to the first day of the affected Interest Period. Notwithstanding the foregoing, (x) the Borrowers shall not make such an election if, as a result thereof, more than five Borrowing Tranches would exist and (y) each Borrowing Tranche for Loans accruing interest by reference to the Term SOFR Rate shall be not be less than $1,000,000 and shall be an integral multiple of $100,000. For the avoidance of doubt, if an Event of Default or Financial Covenant Event is then continuing, the Interest Rate for any Loan (and any portion of Capital thereof) shall be determined pursuant to the definition of Interest Rate notwithstanding any otherwise applicable election by such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Borrowers may call the Administrative Agent on or before the date on which a Loan Request is to be delivered to receive an indication of the rates then in effect, but it is acknowledged that such projection shall not be binding on the Administrative Agent or the Lenders nor affect the rate of interest which thereafter is actually in effect when the election is made.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Borrowers Jointly and Severally Liable for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Joint and Several Liability</w:t>
      </w:r>
      <w:r>
        <w:rPr>
          <w:rFonts w:ascii="Times New Roman" w:hAnsi="Times New Roman"/>
          <w:sz w:val="20"/>
        </w:rPr>
        <w:t xml:space="preserve">. Notwithstanding anything to the contrary herein or in any other Transaction Document, each Borrower shall be jointly and severally liable for all of the Borrower Obligations. Each Borrower acknowledges, agrees, represents and warrants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Inducement</w:t>
      </w:r>
      <w:r>
        <w:rPr>
          <w:rFonts w:ascii="Times New Roman" w:hAnsi="Times New Roman"/>
          <w:sz w:val="20"/>
        </w:rPr>
        <w:t xml:space="preserve">. Each Secured Party has been induced to enter into this Agreement and each Lender has been induced to make Loans in part based upon the assurances by each Borrower that such Borrower desires that all Borrower Obligations be honored and enforced as separate obligations of such Borrower, should the Administrative Agent (on behalf of the Secured Parties) desire to do so.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Combined Liability</w:t>
      </w:r>
      <w:r>
        <w:rPr>
          <w:rFonts w:ascii="Times New Roman" w:hAnsi="Times New Roman"/>
          <w:sz w:val="20"/>
        </w:rPr>
        <w:t xml:space="preserve">. Notwithstanding the foregoing, the Borrowers shall be jointly and severally liable to the Administrative Agent, the Lenders and the other Secured Parties for all the Borrower Obligations, including, all their respective representations, warranties, covenants, payment obligations and indemnities, and the Administrative Agent may at its option enforce any Borrower Obligation against any one or all of the Borrowers.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Separate Exercise of Remedies</w:t>
      </w:r>
      <w:r>
        <w:rPr>
          <w:rFonts w:ascii="Times New Roman" w:hAnsi="Times New Roman"/>
          <w:sz w:val="20"/>
        </w:rPr>
        <w:t xml:space="preserve">. The Administrative Agent may exercise remedies against each Borrower and its property (including the Lock-Boxes, Collection Accounts, the Pool Receivables, the Related Security, the Collections and all other Collateral) separately, whether or not the Administrative Agent exercises remedies against the other Borrowers or their property. The Administrative Agent may enforce one or all of the Borrower Obligations without enforcing the other Borrower Obligations. Any failure or inability of the Administrative Agent to enforce any Borrower Obligation shall not in any way limit the Administrative Agent’s right to enforce any other Borrower Obligation.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Guaranty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Borrower hereby unconditionally guarantees to the Administrative Agent, each Lender and each other Secured Party the prompt payment of all Borrower Obligations in full when due (whether at stated maturity, as a mandatory prepayment, by acceleration or otherwise) and the timely performance by the other Borrowers of all their obligations under this Agreement and the other Transaction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This guaranty is a guaranty of payment and not of collection and is a continuing guaranty and shall apply to all of the Borrower Obligations whenever arising. </w:t>
      </w:r>
    </w:p>
    <w:p>
      <w:pPr>
        <w:pStyle w:val="TextBody"/>
        <w:bidi w:val="0"/>
        <w:spacing w:before="120" w:after="0"/>
        <w:jc w:val="left"/>
        <w:rPr>
          <w:rFonts w:ascii="Times New Roman" w:hAnsi="Times New Roman"/>
          <w:sz w:val="20"/>
        </w:rPr>
      </w:pPr>
      <w:r>
        <w:rPr>
          <w:rFonts w:ascii="Times New Roman" w:hAnsi="Times New Roman"/>
          <w:sz w:val="20"/>
        </w:rPr>
        <w:t xml:space="preserve">(iii) Notwithstanding any provision to the contrary contained herein or in any other Transaction Document, to the extent the liability of a Borrower for all of the Borrower Obligations shall be adjudicated to be invalid or unenforceable for any reason (including, because of any Applicable Law relating to fraudulent conveyances or transfers) then the liability of such Borrower for the Borrower Obligations shall be limited to the maximum amount that is permissible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Obligations Unconditional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obligations of each Borrower under this </w:t>
      </w:r>
      <w:r>
        <w:rPr>
          <w:rFonts w:ascii="Times New Roman" w:hAnsi="Times New Roman"/>
          <w:sz w:val="20"/>
          <w:u w:val="single"/>
        </w:rPr>
        <w:t>Section 2.06</w:t>
      </w:r>
      <w:r>
        <w:rPr>
          <w:rFonts w:ascii="Times New Roman" w:hAnsi="Times New Roman"/>
          <w:sz w:val="20"/>
        </w:rPr>
        <w:t xml:space="preserve"> are absolute and unconditional, irrespective of the value, genuineness, validity, regularity or enforceability of any of the Transaction Documents or any other agreement or instrument referred to therein, to the fullest extent permitted by Applicable Law, irrespective of any other circumstance whatsoever which might otherwise constitute a legal or equitable discharge or defense of a surety or guarantor. </w:t>
      </w:r>
    </w:p>
    <w:p>
      <w:pPr>
        <w:pStyle w:val="TextBody"/>
        <w:bidi w:val="0"/>
        <w:spacing w:before="120" w:after="0"/>
        <w:jc w:val="left"/>
        <w:rPr>
          <w:rFonts w:ascii="Times New Roman" w:hAnsi="Times New Roman"/>
          <w:sz w:val="20"/>
        </w:rPr>
      </w:pPr>
      <w:r>
        <w:rPr>
          <w:rFonts w:ascii="Times New Roman" w:hAnsi="Times New Roman"/>
          <w:sz w:val="20"/>
        </w:rPr>
        <w:t xml:space="preserve">(ii) Each Borrower agrees that this </w:t>
      </w:r>
      <w:r>
        <w:rPr>
          <w:rFonts w:ascii="Times New Roman" w:hAnsi="Times New Roman"/>
          <w:sz w:val="20"/>
          <w:u w:val="single"/>
        </w:rPr>
        <w:t>Section 2.06</w:t>
      </w:r>
      <w:r>
        <w:rPr>
          <w:rFonts w:ascii="Times New Roman" w:hAnsi="Times New Roman"/>
          <w:sz w:val="20"/>
        </w:rPr>
        <w:t xml:space="preserve"> may be enforced by the Administrative Agent, the Lenders and the other Secured Parties without the necessity at any time of resorting to or exhausting any other security or collateral and without the necessity at any time of having recourse to any other Transaction Documents or any collateral hereafter securing the Borrower Obligations or otherwise, and each Borrower hereby waives the right to require any Secured Party to make demand on or proceed against any Borrower, the Servicer, any Originator, the Performance Guarantor or any other Person or to require any Secured Party to pursue any other remedy or enforce any other right. Each Borrower further agrees that it shall have no right of subrogation, indemnity, reimbursement or contribution against the other Borrowers or any other guarantor of any Borrower Obligations for amounts paid under this </w:t>
      </w:r>
      <w:r>
        <w:rPr>
          <w:rFonts w:ascii="Times New Roman" w:hAnsi="Times New Roman"/>
          <w:sz w:val="20"/>
          <w:u w:val="single"/>
        </w:rPr>
        <w:t>Section 2.06</w:t>
      </w:r>
      <w:r>
        <w:rPr>
          <w:rFonts w:ascii="Times New Roman" w:hAnsi="Times New Roman"/>
          <w:sz w:val="20"/>
        </w:rPr>
        <w:t xml:space="preserve"> until the date following the Final Payout Date. </w:t>
      </w:r>
    </w:p>
    <w:p>
      <w:pPr>
        <w:pStyle w:val="TextBody"/>
        <w:bidi w:val="0"/>
        <w:spacing w:before="120" w:after="0"/>
        <w:jc w:val="left"/>
        <w:rPr>
          <w:rFonts w:ascii="Times New Roman" w:hAnsi="Times New Roman"/>
          <w:sz w:val="20"/>
        </w:rPr>
      </w:pPr>
      <w:r>
        <w:rPr>
          <w:rFonts w:ascii="Times New Roman" w:hAnsi="Times New Roman"/>
          <w:sz w:val="20"/>
        </w:rPr>
        <w:t xml:space="preserve">(iii) Each Borrower further agrees that nothing contained in this Agreement shall prevent any Secured Party from suing on any of the other Transaction Documents or foreclosing its or their, as applicable, security interest in or lien on any collateral securing the Borrower Obligations or from exercising any other rights available to it or them, as applicable, under this Agreement, any other Transaction Document, or any other instrument of security, if any, and the exercise of any of the aforesaid rights and the completion of any foreclosure proceedings shall not constitute a discharge of such Borrower’s obligations hereunder; it being the purpose and intent of each Borrower that its obligations under this </w:t>
      </w:r>
      <w:r>
        <w:rPr>
          <w:rFonts w:ascii="Times New Roman" w:hAnsi="Times New Roman"/>
          <w:sz w:val="20"/>
          <w:u w:val="single"/>
        </w:rPr>
        <w:t>Section 2.06</w:t>
      </w:r>
      <w:r>
        <w:rPr>
          <w:rFonts w:ascii="Times New Roman" w:hAnsi="Times New Roman"/>
          <w:sz w:val="20"/>
        </w:rPr>
        <w:t xml:space="preserve"> shall be absolute, independent and unconditional under any and all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Neither any Borrower’s obligations under this </w:t>
      </w:r>
      <w:r>
        <w:rPr>
          <w:rFonts w:ascii="Times New Roman" w:hAnsi="Times New Roman"/>
          <w:sz w:val="20"/>
          <w:u w:val="single"/>
        </w:rPr>
        <w:t>Section 2.06</w:t>
      </w:r>
      <w:r>
        <w:rPr>
          <w:rFonts w:ascii="Times New Roman" w:hAnsi="Times New Roman"/>
          <w:sz w:val="20"/>
        </w:rPr>
        <w:t xml:space="preserve"> nor any remedy for the enforcement thereof shall be impaired, modified, changed or released in any manner whatsoever by an impairment, modification, change, release, increase or limitation of the liability of the other Borrower, of the Servicer, any Originator or of the Performance Guarantor or by reason of the bankruptcy or insolvency of the other Borrowers, the Servicer, any Originator or of the Performance Guarantor. Each Borrower waives any and all notice of the creation, renewal, extension or accrual of any of the Borrower Obligations and notice of or proof of reliance by any Secured Party on the guarantees set forth in this </w:t>
      </w:r>
      <w:r>
        <w:rPr>
          <w:rFonts w:ascii="Times New Roman" w:hAnsi="Times New Roman"/>
          <w:sz w:val="20"/>
          <w:u w:val="single"/>
        </w:rPr>
        <w:t>Section 2.06</w:t>
      </w:r>
      <w:r>
        <w:rPr>
          <w:rFonts w:ascii="Times New Roman" w:hAnsi="Times New Roman"/>
          <w:sz w:val="20"/>
        </w:rPr>
        <w:t xml:space="preserve"> or acceptance thereof. The Borrower Obligations, and any part of them, shall conclusively be deemed to have been created, contracted or incurred, or renewed, extended, amended or waived, in reliance upon the guarantees set forth in this </w:t>
      </w:r>
      <w:r>
        <w:rPr>
          <w:rFonts w:ascii="Times New Roman" w:hAnsi="Times New Roman"/>
          <w:sz w:val="20"/>
          <w:u w:val="single"/>
        </w:rPr>
        <w:t>Section 2.06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All dealings between any Borrower (or any of its Affiliates, including the Servicer, the Originators and the Performance Guarantor), on the one hand, and the Secured Parties, on the other hand, likewise shall be conclusively presumed to have been had or consummated in reliance upon the guarantees set forth in this </w:t>
      </w:r>
      <w:r>
        <w:rPr>
          <w:rFonts w:ascii="Times New Roman" w:hAnsi="Times New Roman"/>
          <w:sz w:val="20"/>
          <w:u w:val="single"/>
        </w:rPr>
        <w:t>Section 2.06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Each Borrower hereby subordinates to the obligations of the other Borrowers all debts, liabilities and other obligations, whether direct, indirect, primary, secondary, several, joint and several or otherwise, and irrespective of whether such debts, liabilities and obligations be evidenced by note, contract, open account, book entry or otherwise, owing to such Borrower by the other Borrowers, the Servicer, any Originator, the Performance Guarantor or any of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Modifications</w:t>
      </w:r>
      <w:r>
        <w:rPr>
          <w:rFonts w:ascii="Times New Roman" w:hAnsi="Times New Roman"/>
          <w:sz w:val="20"/>
        </w:rPr>
        <w:t xml:space="preserve">. Each Borrower agrees that (i) all or any part of the other Borrowers’ property now or hereafter held for the Borrower Obligations, if any, may be exchanged, compromised or surrendered from time to time; (ii) none of the Secured Parties shall have any obligation to protect, perfect, secure or insure any such security interests, liens or encumbrances now or hereafter held, if any, for the Borrower Obligations; (iii) the time or place of payment of the other Borrowers’ obligations may be changed or extended, in whole or in part, to a time certain or otherwise, and may be renewed or accelerated, in whole or in part; (iv) the other Borrowers and any other party liable for payment of the Borrower Obligations may be granted indulgences generally; (v) any of the other Borrowers’ rights, duties, obligations or liabilities under any of the Transaction Documents may be modified, amended or waived; (vi) any party (including any co-guarantor) liable for the payment of all or any part of the Borrower Obligations may be granted indulgences or be released; and (vii) any deposit balance for the credit of the other Borrower or any other party liable for the payment of the Borrower Obligations or liable upon any security therefore may be released, in whole or in part, at, before or after the stated, extended or accelerated maturity of the Borrower Obligations, all without notice to or further assent by such Borrower.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Waiver of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Borrower hereby expressly waives diligence, presentment, demand, protest or notice of any kind whatsoever, as well as any requirement that the Secured Parties (or any of them) exhaust any right to take any action against any Borrower, any Originator, the Servicer, the Performance Guarantor or any other Person (including the filing of claims in the event of receivership or bankruptcy of any Borrower, the Servicer, the Performance Guarantor, any Originator or any other Person) or with respect to any collateral or collateral security at any time securing any of the Borrower Obligations, and hereby consents to any and all extensions of time of the due performance of any or all of the Borrower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Each Borrower agrees that it shall not exercise or assert any right which it may acquire by way of contribution, reimbursement or subrogation under this Agreement unless and until the Final Payout Date. Each Borrower also hereby expressly waives all other defenses it may have as a guarantor or a surety generally or otherwise based upon suretyship, impairment of collateral or otherwise in connection with the Borrower Obligations whether in equity or at law. Each Borrower agrees that its obligations hereunder shall be irrevocable and unconditional.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Reinstatement</w:t>
      </w:r>
      <w:r>
        <w:rPr>
          <w:rFonts w:ascii="Times New Roman" w:hAnsi="Times New Roman"/>
          <w:sz w:val="20"/>
        </w:rPr>
        <w:t xml:space="preserve">. Notwithstanding anything contained in this Agreement or the other Transaction Documents, the obligations of each Borrower under this </w:t>
      </w:r>
      <w:r>
        <w:rPr>
          <w:rFonts w:ascii="Times New Roman" w:hAnsi="Times New Roman"/>
          <w:sz w:val="20"/>
          <w:u w:val="single"/>
        </w:rPr>
        <w:t>Section 2.06</w:t>
      </w:r>
      <w:r>
        <w:rPr>
          <w:rFonts w:ascii="Times New Roman" w:hAnsi="Times New Roman"/>
          <w:sz w:val="20"/>
        </w:rPr>
        <w:t xml:space="preserve"> shall be automatically reinstated if and to the extent that for any reason any payment by or on behalf of any Person in respect of the Borrower Obligations is rescinded or must be otherwise restored by any holder of any of the Borrower Obligations, whether as a result of any proceedings in bankruptcy or reorganization or otherwise, and each Borrower agrees that it will indemnify each Secured Party on demand for all reasonable costs and expenses (including reasonable counsel fees and expenses) incurred by such Person in connection with such rescission or restoration, including any such costs and expenses incurred in defending against any claim alleging that such payment constituted a preference, fraudulent transfer or similar payment under any bankruptcy, insolvency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Remedies</w:t>
      </w:r>
      <w:r>
        <w:rPr>
          <w:rFonts w:ascii="Times New Roman" w:hAnsi="Times New Roman"/>
          <w:sz w:val="20"/>
        </w:rPr>
        <w:t xml:space="preserve">. Each Borrower acknowledges and agrees that its obligations under this </w:t>
      </w:r>
      <w:r>
        <w:rPr>
          <w:rFonts w:ascii="Times New Roman" w:hAnsi="Times New Roman"/>
          <w:sz w:val="20"/>
          <w:u w:val="single"/>
        </w:rPr>
        <w:t>Section 2.06</w:t>
      </w:r>
      <w:r>
        <w:rPr>
          <w:rFonts w:ascii="Times New Roman" w:hAnsi="Times New Roman"/>
          <w:sz w:val="20"/>
        </w:rPr>
        <w:t xml:space="preserve"> are secured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Subrogation</w:t>
      </w:r>
      <w:r>
        <w:rPr>
          <w:rFonts w:ascii="Times New Roman" w:hAnsi="Times New Roman"/>
          <w:sz w:val="20"/>
        </w:rPr>
        <w:t xml:space="preserve">. Each Borrower agrees that, until the Final Payout Date, it will not exercise, and hereby waives, any right of reimbursement, subrogation, contribution, offset or other claims against the other Borrowers arising by contract or operation of law in connection with any payment made or required to be made by such Borrower under this </w:t>
      </w:r>
      <w:r>
        <w:rPr>
          <w:rFonts w:ascii="Times New Roman" w:hAnsi="Times New Roman"/>
          <w:sz w:val="20"/>
          <w:u w:val="single"/>
        </w:rPr>
        <w:t>Section 2.06</w:t>
      </w:r>
      <w:r>
        <w:rPr>
          <w:rFonts w:ascii="Times New Roman" w:hAnsi="Times New Roman"/>
          <w:sz w:val="20"/>
        </w:rPr>
        <w:t xml:space="preserve">. After the Final Payout Date, each Borrower shall be entitled to exercise against the other Borrowers all such rights of reimbursement, subrogation, contribution, and offset, and all such other claims, to the fullest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Defaulting Lenders</w:t>
      </w:r>
      <w:r>
        <w:rPr>
          <w:rFonts w:ascii="Times New Roman" w:hAnsi="Times New Roman"/>
          <w:sz w:val="20"/>
        </w:rPr>
        <w:t xml:space="preserve">. Notwithstanding any provision of this Agreement to the contrary, if any Lender becomes a Defaulting Lender, then the following provisions shall apply for so long as such Lender is a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(a) Undrawn Fees (as defined in the Fee Letter) shall cease to accrue on the unfunded portion of the Commitment of such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(b) The Commitment and Capital of such Defaulting Lender shall not be included in determining whether the Majority Lenders have taken or may take any action hereunder (including any consent to any amendment, waiver or other modification pursuant to Section 14.01); </w:t>
      </w:r>
      <w:r>
        <w:rPr>
          <w:rFonts w:ascii="Times New Roman" w:hAnsi="Times New Roman"/>
          <w:sz w:val="20"/>
          <w:u w:val="single"/>
        </w:rPr>
        <w:t>provided</w:t>
      </w:r>
      <w:r>
        <w:rPr>
          <w:rFonts w:ascii="Times New Roman" w:hAnsi="Times New Roman"/>
          <w:sz w:val="20"/>
        </w:rPr>
        <w:t xml:space="preserve">, that, except as otherwise provided in </w:t>
      </w:r>
      <w:r>
        <w:rPr>
          <w:rFonts w:ascii="Times New Roman" w:hAnsi="Times New Roman"/>
          <w:sz w:val="20"/>
          <w:u w:val="single"/>
        </w:rPr>
        <w:t>Section 14.01</w:t>
      </w:r>
      <w:r>
        <w:rPr>
          <w:rFonts w:ascii="Times New Roman" w:hAnsi="Times New Roman"/>
          <w:sz w:val="20"/>
        </w:rPr>
        <w:t xml:space="preserve">, this </w:t>
      </w:r>
      <w:r>
        <w:rPr>
          <w:rFonts w:ascii="Times New Roman" w:hAnsi="Times New Roman"/>
          <w:sz w:val="20"/>
          <w:u w:val="single"/>
        </w:rPr>
        <w:t>clause (b)</w:t>
      </w:r>
      <w:r>
        <w:rPr>
          <w:rFonts w:ascii="Times New Roman" w:hAnsi="Times New Roman"/>
          <w:sz w:val="20"/>
        </w:rPr>
        <w:t xml:space="preserve"> shall not apply to the vote of a Defaulting Lender in the case of an amendment, waiver or other modification requiring the consent of such Lender or each Lender directly affected thereby (if such Lender is directly affected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 the event that the Administrative Agent, the Borrowers and the Servicer each agrees in writing that a Defaulting Lender has adequately remedied all matters that caused such Lender to be a Defaulting Lender, then on such date such Lender shall purchase at par such of the Loans of the other Lenders as the Administrative Agent shall determine may be necessary in order for such Lender to hold such Loans ratably in accordance with the Commitment of such Lender; </w:t>
      </w:r>
      <w:r>
        <w:rPr>
          <w:rFonts w:ascii="Times New Roman" w:hAnsi="Times New Roman"/>
          <w:sz w:val="20"/>
          <w:u w:val="single"/>
        </w:rPr>
        <w:t>provided</w:t>
      </w:r>
      <w:r>
        <w:rPr>
          <w:rFonts w:ascii="Times New Roman" w:hAnsi="Times New Roman"/>
          <w:sz w:val="20"/>
        </w:rPr>
        <w:t xml:space="preserve">, that no adjustments shall be made retroactively with respect to fees accrued or payments made by or on behalf of the Borrowers while such Lender was a Defaulting Lender, and provided, further, that except to the extent otherwise agreed by the affected parties, no change hereunder from Defaulting Lender to Lender that is not a Defaulting Lender will constitute a waiver or release of any claim of any party hereunder arising from that Lender having been a Defaulting Lender. </w:t>
      </w:r>
    </w:p>
    <w:p>
      <w:pPr>
        <w:pStyle w:val="TextBody"/>
        <w:bidi w:val="0"/>
        <w:spacing w:before="240" w:after="0"/>
        <w:jc w:val="left"/>
        <w:rPr>
          <w:rFonts w:ascii="Times New Roman" w:hAnsi="Times New Roman"/>
          <w:sz w:val="20"/>
        </w:rPr>
      </w:pPr>
      <w:r>
        <w:rPr>
          <w:rFonts w:ascii="Times New Roman" w:hAnsi="Times New Roman"/>
          <w:sz w:val="20"/>
        </w:rPr>
        <w:t>SECTION 2.08.</w:t>
      </w:r>
      <w:r>
        <w:rPr>
          <w:rFonts w:ascii="Times New Roman" w:hAnsi="Times New Roman"/>
          <w:sz w:val="20"/>
          <w:u w:val="single"/>
        </w:rPr>
        <w:t>Conforming Changes Relating to Daily 1M SOFR and the Term SOFR Rate</w:t>
      </w:r>
      <w:r>
        <w:rPr>
          <w:rFonts w:ascii="Times New Roman" w:hAnsi="Times New Roman"/>
          <w:sz w:val="20"/>
        </w:rPr>
        <w:t xml:space="preserve">. With respect to Daily 1M SOFR and the Term SOFR Rate, the Administrative Agent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 </w:t>
      </w:r>
      <w:r>
        <w:rPr>
          <w:rFonts w:ascii="Times New Roman" w:hAnsi="Times New Roman"/>
          <w:sz w:val="20"/>
          <w:u w:val="single"/>
        </w:rPr>
        <w:t>provided</w:t>
      </w:r>
      <w:r>
        <w:rPr>
          <w:rFonts w:ascii="Times New Roman" w:hAnsi="Times New Roman"/>
          <w:sz w:val="20"/>
        </w:rPr>
        <w:t xml:space="preserve"> that, with respect to any such amendment effected, the Administrative Agent shall provide notice to the Borrowers and the Lender each such amendment implementing such Conforming Changes reasonably promptly after such amendment becomes effective.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120" w:after="0"/>
        <w:jc w:val="center"/>
        <w:rPr>
          <w:rFonts w:ascii="Times New Roman" w:hAnsi="Times New Roman"/>
          <w:b/>
          <w:sz w:val="20"/>
        </w:rPr>
      </w:pPr>
      <w:r>
        <w:rPr>
          <w:rFonts w:ascii="Times New Roman" w:hAnsi="Times New Roman"/>
          <w:b/>
          <w:sz w:val="20"/>
        </w:rPr>
        <w:t xml:space="preserve">[RESERVED] </w:t>
      </w:r>
    </w:p>
    <w:p>
      <w:pPr>
        <w:pStyle w:val="TextBody"/>
        <w:bidi w:val="0"/>
        <w:spacing w:before="12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120" w:after="0"/>
        <w:jc w:val="center"/>
        <w:rPr>
          <w:rFonts w:ascii="Times New Roman" w:hAnsi="Times New Roman"/>
          <w:b/>
          <w:sz w:val="20"/>
        </w:rPr>
      </w:pPr>
      <w:r>
        <w:rPr>
          <w:rFonts w:ascii="Times New Roman" w:hAnsi="Times New Roman"/>
          <w:b/>
          <w:sz w:val="20"/>
        </w:rPr>
        <w:t xml:space="preserve">SETTLEMENT PROCEDURES AND PAYMENT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Settlement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Servicer shall set aside and hold in trust for the benefit of the Secured Parties (or, if so requested by the Administrative Agent at any time that an Event of Default shall have occurred and be continuing, segregate in a separate account designated by the Administrative Agent, which shall be an account maintained and controlled by the Administrative Agent unless the Administrative Agent otherwise instructs in its sole discretion), for application in accordance with the priority of payments set forth below, all Collections on Pool Receivables that are received by the Servicer or the Borrowers or received in any Lock-Box, Mail-Box or Collection Account;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so long as each of the conditions precedent set forth in </w:t>
      </w:r>
      <w:r>
        <w:rPr>
          <w:rFonts w:ascii="Times New Roman" w:hAnsi="Times New Roman"/>
          <w:sz w:val="20"/>
          <w:u w:val="single"/>
        </w:rPr>
        <w:t>Section 6.03</w:t>
      </w:r>
      <w:r>
        <w:rPr>
          <w:rFonts w:ascii="Times New Roman" w:hAnsi="Times New Roman"/>
          <w:sz w:val="20"/>
        </w:rPr>
        <w:t xml:space="preserve"> are satisfied on such date, the Servicer may release to the Borrowers from such Collections the amount (if any) necessary to pay (i) the purchase price for Receivables purchased by the Borrowers on such date in accordance with the terms of the applicable Purchase and Sale Agreement or (ii) amounts owing by the Borrowers to the Originators under any Intercompany Loan Agreement (each such release, a “</w:t>
      </w:r>
      <w:r>
        <w:rPr>
          <w:rFonts w:ascii="Times New Roman" w:hAnsi="Times New Roman"/>
          <w:sz w:val="20"/>
          <w:u w:val="single"/>
        </w:rPr>
        <w:t>Release</w:t>
      </w:r>
      <w:r>
        <w:rPr>
          <w:rFonts w:ascii="Times New Roman" w:hAnsi="Times New Roman"/>
          <w:sz w:val="20"/>
        </w:rPr>
        <w:t xml:space="preserve">”). On each Settlement Date, the Servicer (or, following its assumption of control of the Collection Accounts, the Administrative Agent) shall, distribute such Collections in the following order of priority: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first</w:t>
      </w:r>
      <w:r>
        <w:rPr>
          <w:rFonts w:ascii="Times New Roman" w:hAnsi="Times New Roman"/>
          <w:sz w:val="20"/>
        </w:rPr>
        <w:t xml:space="preserve">, to the Servicer for the payment of the accrued Servicing Fees payable for the immediately preceding Interest Period (plus, if applicable, the amount of Servicing Fees payable for any prior Interest Period to the extent such amount has not been distributed to the Servicer);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second</w:t>
      </w:r>
      <w:r>
        <w:rPr>
          <w:rFonts w:ascii="Times New Roman" w:hAnsi="Times New Roman"/>
          <w:sz w:val="20"/>
        </w:rPr>
        <w:t xml:space="preserve">, to each Lender and other Credit Party (ratably, based on the amount then due and owing), all accrued and unpaid Interest, Fees and Breakage Fees due to such Lender and other Credit Party for the immediately preceding Interest Period (including any additional amounts or indemnified amounts payable under </w:t>
      </w:r>
      <w:r>
        <w:rPr>
          <w:rFonts w:ascii="Times New Roman" w:hAnsi="Times New Roman"/>
          <w:sz w:val="20"/>
          <w:u w:val="single"/>
        </w:rPr>
        <w:t>Sections 5.03</w:t>
      </w:r>
      <w:r>
        <w:rPr>
          <w:rFonts w:ascii="Times New Roman" w:hAnsi="Times New Roman"/>
          <w:sz w:val="20"/>
        </w:rPr>
        <w:t xml:space="preserve"> and </w:t>
      </w:r>
      <w:r>
        <w:rPr>
          <w:rFonts w:ascii="Times New Roman" w:hAnsi="Times New Roman"/>
          <w:sz w:val="20"/>
          <w:u w:val="single"/>
        </w:rPr>
        <w:t>13.01</w:t>
      </w:r>
      <w:r>
        <w:rPr>
          <w:rFonts w:ascii="Times New Roman" w:hAnsi="Times New Roman"/>
          <w:sz w:val="20"/>
        </w:rPr>
        <w:t xml:space="preserve"> in respect of such payments), plus, if applicable, the amount of any such Interest, Fees and Breakage Fees (including any additional amounts or indemnified amounts payable under </w:t>
      </w:r>
      <w:r>
        <w:rPr>
          <w:rFonts w:ascii="Times New Roman" w:hAnsi="Times New Roman"/>
          <w:sz w:val="20"/>
          <w:u w:val="single"/>
        </w:rPr>
        <w:t>Sections 5.03</w:t>
      </w:r>
      <w:r>
        <w:rPr>
          <w:rFonts w:ascii="Times New Roman" w:hAnsi="Times New Roman"/>
          <w:sz w:val="20"/>
        </w:rPr>
        <w:t xml:space="preserve"> and </w:t>
      </w:r>
      <w:r>
        <w:rPr>
          <w:rFonts w:ascii="Times New Roman" w:hAnsi="Times New Roman"/>
          <w:sz w:val="20"/>
          <w:u w:val="single"/>
        </w:rPr>
        <w:t>13.01</w:t>
      </w:r>
      <w:r>
        <w:rPr>
          <w:rFonts w:ascii="Times New Roman" w:hAnsi="Times New Roman"/>
          <w:sz w:val="20"/>
        </w:rPr>
        <w:t xml:space="preserve"> in respect of such payments) payable for any prior Interest Period to the extent such amount has not been distributed to such Lender or Credit Party;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third</w:t>
      </w:r>
      <w:r>
        <w:rPr>
          <w:rFonts w:ascii="Times New Roman" w:hAnsi="Times New Roman"/>
          <w:sz w:val="20"/>
        </w:rPr>
        <w:t xml:space="preserve">, as set forth in </w:t>
      </w:r>
      <w:r>
        <w:rPr>
          <w:rFonts w:ascii="Times New Roman" w:hAnsi="Times New Roman"/>
          <w:sz w:val="20"/>
          <w:u w:val="single"/>
        </w:rPr>
        <w:t>clause (x)</w:t>
      </w:r>
      <w:r>
        <w:rPr>
          <w:rFonts w:ascii="Times New Roman" w:hAnsi="Times New Roman"/>
          <w:sz w:val="20"/>
        </w:rPr>
        <w:t xml:space="preserve">, </w:t>
      </w:r>
      <w:r>
        <w:rPr>
          <w:rFonts w:ascii="Times New Roman" w:hAnsi="Times New Roman"/>
          <w:sz w:val="20"/>
          <w:u w:val="single"/>
        </w:rPr>
        <w:t>(y)</w:t>
      </w:r>
      <w:r>
        <w:rPr>
          <w:rFonts w:ascii="Times New Roman" w:hAnsi="Times New Roman"/>
          <w:sz w:val="20"/>
        </w:rPr>
        <w:t xml:space="preserve"> or </w:t>
      </w:r>
      <w:r>
        <w:rPr>
          <w:rFonts w:ascii="Times New Roman" w:hAnsi="Times New Roman"/>
          <w:sz w:val="20"/>
          <w:u w:val="single"/>
        </w:rPr>
        <w:t>(z)</w:t>
      </w:r>
      <w:r>
        <w:rPr>
          <w:rFonts w:ascii="Times New Roman" w:hAnsi="Times New Roman"/>
          <w:sz w:val="20"/>
        </w:rPr>
        <w:t xml:space="preserve"> below, as applicable: </w:t>
      </w:r>
    </w:p>
    <w:p>
      <w:pPr>
        <w:pStyle w:val="TextBody"/>
        <w:bidi w:val="0"/>
        <w:spacing w:before="120" w:after="0"/>
        <w:jc w:val="left"/>
        <w:rPr>
          <w:rFonts w:ascii="Times New Roman" w:hAnsi="Times New Roman"/>
          <w:sz w:val="20"/>
        </w:rPr>
      </w:pPr>
      <w:r>
        <w:rPr>
          <w:rFonts w:ascii="Times New Roman" w:hAnsi="Times New Roman"/>
          <w:sz w:val="20"/>
        </w:rPr>
        <w:t xml:space="preserve">(x) prior to the occurrence of the Termination Date, to the extent that a Borrowing Base Deficit exists on such date, to the Lenders (ratably, based on the aggregate outstanding Capital of each Lender at such time) for the payment of a portion of the outstanding Aggregate Capital at such time, in an aggregate amount equal to the amount necessary to reduce the Borrowing Base Deficit to zero ($0); </w:t>
      </w:r>
    </w:p>
    <w:p>
      <w:pPr>
        <w:pStyle w:val="TextBody"/>
        <w:bidi w:val="0"/>
        <w:spacing w:before="120" w:after="0"/>
        <w:jc w:val="left"/>
        <w:rPr>
          <w:rFonts w:ascii="Times New Roman" w:hAnsi="Times New Roman"/>
          <w:sz w:val="20"/>
        </w:rPr>
      </w:pPr>
      <w:r>
        <w:rPr>
          <w:rFonts w:ascii="Times New Roman" w:hAnsi="Times New Roman"/>
          <w:sz w:val="20"/>
        </w:rPr>
        <w:t xml:space="preserve">(y) on and after the occurrence of the Termination Date, to each Lender (ratably, based on the aggregate outstanding Capital of each Lender at such time) for the payment in full of the aggregate outstanding Capital of such Lender at such time; or </w:t>
      </w:r>
    </w:p>
    <w:p>
      <w:pPr>
        <w:pStyle w:val="TextBody"/>
        <w:bidi w:val="0"/>
        <w:spacing w:before="120" w:after="0"/>
        <w:jc w:val="left"/>
        <w:rPr>
          <w:rFonts w:ascii="Times New Roman" w:hAnsi="Times New Roman"/>
          <w:sz w:val="20"/>
        </w:rPr>
      </w:pPr>
      <w:r>
        <w:rPr>
          <w:rFonts w:ascii="Times New Roman" w:hAnsi="Times New Roman"/>
          <w:sz w:val="20"/>
        </w:rPr>
        <w:t xml:space="preserve">(z) prior to the occurrence of the Termination Date, at the election of the Borrowers and in accordance with </w:t>
      </w:r>
      <w:r>
        <w:rPr>
          <w:rFonts w:ascii="Times New Roman" w:hAnsi="Times New Roman"/>
          <w:sz w:val="20"/>
          <w:u w:val="single"/>
        </w:rPr>
        <w:t>Section 2.02(d)</w:t>
      </w:r>
      <w:r>
        <w:rPr>
          <w:rFonts w:ascii="Times New Roman" w:hAnsi="Times New Roman"/>
          <w:sz w:val="20"/>
        </w:rPr>
        <w:t xml:space="preserve">, to the payment of all or any portion of the outstanding Capital of the Lenders at such time (ratably, based on the aggregate outstanding Capital of each Lender at such time);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fourth</w:t>
      </w:r>
      <w:r>
        <w:rPr>
          <w:rFonts w:ascii="Times New Roman" w:hAnsi="Times New Roman"/>
          <w:sz w:val="20"/>
        </w:rPr>
        <w:t xml:space="preserve">, to any Exiting Lenders (if any), ratably, based on the amount due and owing at such time), for the payment of all other Borrower Obligations then due and owing by the Borrowers to such Exiting Lenders;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fifth</w:t>
      </w:r>
      <w:r>
        <w:rPr>
          <w:rFonts w:ascii="Times New Roman" w:hAnsi="Times New Roman"/>
          <w:sz w:val="20"/>
        </w:rPr>
        <w:t xml:space="preserve">, to the Credit Parties, the Affected Persons and the Borrower Indemnified Parties (ratably, based on the amount due and owing at such time), for the payment of all other Borrower Obligations then due and owing by the Borrowers to the Credit Parties, the Affected Persons and the Borrower Indemnified Parties;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sixth</w:t>
      </w:r>
      <w:r>
        <w:rPr>
          <w:rFonts w:ascii="Times New Roman" w:hAnsi="Times New Roman"/>
          <w:sz w:val="20"/>
        </w:rPr>
        <w:t xml:space="preserve">, the balance, if any, to be allocated and paid to the Borrowers, each for its own account, in such proportions as the Servicer shall determine pursuant to the internal policies of the Parent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set forth in this </w:t>
      </w:r>
      <w:r>
        <w:rPr>
          <w:rFonts w:ascii="Times New Roman" w:hAnsi="Times New Roman"/>
          <w:sz w:val="20"/>
          <w:u w:val="single"/>
        </w:rPr>
        <w:t>Section 4.01</w:t>
      </w:r>
      <w:r>
        <w:rPr>
          <w:rFonts w:ascii="Times New Roman" w:hAnsi="Times New Roman"/>
          <w:sz w:val="20"/>
        </w:rPr>
        <w:t xml:space="preserve">, the Administrative Agent shall have no obligation to distribute or pay any amount under this </w:t>
      </w:r>
      <w:r>
        <w:rPr>
          <w:rFonts w:ascii="Times New Roman" w:hAnsi="Times New Roman"/>
          <w:sz w:val="20"/>
          <w:u w:val="single"/>
        </w:rPr>
        <w:t>Section 4.01</w:t>
      </w:r>
      <w:r>
        <w:rPr>
          <w:rFonts w:ascii="Times New Roman" w:hAnsi="Times New Roman"/>
          <w:sz w:val="20"/>
        </w:rPr>
        <w:t xml:space="preserve"> except to the extent actually received by the Administrative Agent. All payments or distributions to be made by the Servicer, the Borrowers and any other Person to the Lenders (or their respective related Affected Persons and the Borrower Indemnified Parties), shall be paid or distributed to the applicable party to which such amounts are owed. </w:t>
      </w:r>
    </w:p>
    <w:p>
      <w:pPr>
        <w:pStyle w:val="TextBody"/>
        <w:bidi w:val="0"/>
        <w:spacing w:before="240" w:after="0"/>
        <w:jc w:val="left"/>
        <w:rPr>
          <w:rFonts w:ascii="Times New Roman" w:hAnsi="Times New Roman"/>
          <w:sz w:val="20"/>
        </w:rPr>
      </w:pPr>
      <w:r>
        <w:rPr>
          <w:rFonts w:ascii="Times New Roman" w:hAnsi="Times New Roman"/>
          <w:sz w:val="20"/>
        </w:rPr>
        <w:t xml:space="preserve">(c) If and to the extent the Administrative Agent, any Credit Party, any Affected Person or any Borrower Indemnified Party shall be required for any reason to pay over to any Person (including any Obligor or any trustee, receiver, custodian or similar official in any Insolvency Proceeding) any amount received on its behalf hereunder, such amount shall be deemed not to have been so received but rather to have been retained by the Borrowers and, accordingly, the Administrative Agent, such Credit Party, such Affected Person or such Borrower Indemnified Party, as the case may be, shall have a claim against the Borrowers for such amount. </w:t>
      </w:r>
    </w:p>
    <w:p>
      <w:pPr>
        <w:pStyle w:val="TextBody"/>
        <w:bidi w:val="0"/>
        <w:spacing w:before="240" w:after="0"/>
        <w:jc w:val="left"/>
        <w:rPr>
          <w:rFonts w:ascii="Times New Roman" w:hAnsi="Times New Roman"/>
          <w:sz w:val="20"/>
        </w:rPr>
      </w:pPr>
      <w:r>
        <w:rPr>
          <w:rFonts w:ascii="Times New Roman" w:hAnsi="Times New Roman"/>
          <w:sz w:val="20"/>
        </w:rPr>
        <w:t xml:space="preserve">(d) For the purposes of this </w:t>
      </w:r>
      <w:r>
        <w:rPr>
          <w:rFonts w:ascii="Times New Roman" w:hAnsi="Times New Roman"/>
          <w:sz w:val="20"/>
          <w:u w:val="single"/>
        </w:rPr>
        <w:t>Section 4.01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if on any day the Outstanding Balance of any Pool Receivable is reduced or adjusted as a result of any defective, rejected, returned, repossessed or foreclosed goods or services, or any revision, cancellation, allowance, rebate, credit memo, discount or other adjustment made by any Borrower, any Originator, the Servicer or any Affiliate of the Servicer, or any setoff, counterclaim or dispute between any Borrower or any Affiliate of any Borrower, an Originator or any Affiliate of an Originator, or the Servicer or any Affiliate of the Servicer, and an Obligor, the applicable Borrower shall be deemed to have received on such day a Collection of such Pool Receivable in the amount of such reduction or adjustment and shall immediately pay any and all such amounts in respect thereof to a Collection Account (or as otherwise directed by the Administrative Agent at such time) for the benefit of the Credit Parties for application pursuant to </w:t>
      </w:r>
      <w:r>
        <w:rPr>
          <w:rFonts w:ascii="Times New Roman" w:hAnsi="Times New Roman"/>
          <w:sz w:val="20"/>
          <w:u w:val="single"/>
        </w:rPr>
        <w:t>Section 4.01(a)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if on any day any of the representations or warranties in </w:t>
      </w:r>
      <w:r>
        <w:rPr>
          <w:rFonts w:ascii="Times New Roman" w:hAnsi="Times New Roman"/>
          <w:sz w:val="20"/>
          <w:u w:val="single"/>
        </w:rPr>
        <w:t>Section 7.01</w:t>
      </w:r>
      <w:r>
        <w:rPr>
          <w:rFonts w:ascii="Times New Roman" w:hAnsi="Times New Roman"/>
          <w:sz w:val="20"/>
        </w:rPr>
        <w:t xml:space="preserve"> is not true with respect to any Pool Receivable, the applicable Borrower shall be deemed to have received on the date that any Lamar Party becomes aware thereof, a Collection of such Pool Receivable in full and shall immediately pay the amount of such deemed Collection to a Collection Account (or as otherwise directed by the Administrative Agent at such time) for the benefit of the Credit Parties for application pursuant to </w:t>
      </w:r>
      <w:r>
        <w:rPr>
          <w:rFonts w:ascii="Times New Roman" w:hAnsi="Times New Roman"/>
          <w:sz w:val="20"/>
          <w:u w:val="single"/>
        </w:rPr>
        <w:t>Section 4.01(a)</w:t>
      </w:r>
      <w:r>
        <w:rPr>
          <w:rFonts w:ascii="Times New Roman" w:hAnsi="Times New Roman"/>
          <w:sz w:val="20"/>
        </w:rPr>
        <w:t xml:space="preserve"> (Collections deemed to have been received pursuant to </w:t>
      </w:r>
      <w:r>
        <w:rPr>
          <w:rFonts w:ascii="Times New Roman" w:hAnsi="Times New Roman"/>
          <w:sz w:val="20"/>
          <w:u w:val="single"/>
        </w:rPr>
        <w:t>Section 4.01(d)</w:t>
      </w:r>
      <w:r>
        <w:rPr>
          <w:rFonts w:ascii="Times New Roman" w:hAnsi="Times New Roman"/>
          <w:sz w:val="20"/>
        </w:rPr>
        <w:t xml:space="preserve"> are hereinafter sometimes referred to as “</w:t>
      </w:r>
      <w:r>
        <w:rPr>
          <w:rFonts w:ascii="Times New Roman" w:hAnsi="Times New Roman"/>
          <w:sz w:val="20"/>
          <w:u w:val="single"/>
        </w:rPr>
        <w:t>Deemed Collections</w:t>
      </w:r>
      <w:r>
        <w:rPr>
          <w:rFonts w:ascii="Times New Roman" w:hAnsi="Times New Roman"/>
          <w:sz w:val="20"/>
        </w:rPr>
        <w:t xml:space="preserve">”). Upon payment in full by the applicable Borrower of any Pool Receivable in accordance with this </w:t>
      </w:r>
      <w:r>
        <w:rPr>
          <w:rFonts w:ascii="Times New Roman" w:hAnsi="Times New Roman"/>
          <w:sz w:val="20"/>
          <w:u w:val="single"/>
        </w:rPr>
        <w:t>Section 4.01(d)(ii)</w:t>
      </w:r>
      <w:r>
        <w:rPr>
          <w:rFonts w:ascii="Times New Roman" w:hAnsi="Times New Roman"/>
          <w:sz w:val="20"/>
        </w:rPr>
        <w:t xml:space="preserve">, the Administrative Agent’s and each other Credit Party’s rights in such Receivable shall automatically be conveyed to such Borrower, without representation or warranty, but free and clear of all liens, security interests, charges and encumbrances created by or through the Administrative Agent or such other Credit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except as provided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above or otherwise required by Applicable Law or the relevant Contract, all Collections received from an Obligor of any Receivable shall be applied to the Receivables of such Obligor in the order of the age of such Receivables, starting with the oldest such Receivable, unless such Obligor designates in writing its payment for application to specific Receivables; and </w:t>
      </w:r>
    </w:p>
    <w:p>
      <w:pPr>
        <w:pStyle w:val="TextBody"/>
        <w:bidi w:val="0"/>
        <w:spacing w:before="120" w:after="0"/>
        <w:jc w:val="left"/>
        <w:rPr>
          <w:rFonts w:ascii="Times New Roman" w:hAnsi="Times New Roman"/>
          <w:sz w:val="20"/>
        </w:rPr>
      </w:pPr>
      <w:r>
        <w:rPr>
          <w:rFonts w:ascii="Times New Roman" w:hAnsi="Times New Roman"/>
          <w:sz w:val="20"/>
        </w:rPr>
        <w:t xml:space="preserve">(iv) if and to the extent the Administrative Agent, any Credit Party, any Affected Person or any Borrower Indemnified Party shall be required for any reason to pay over to an Obligor (or any trustee, receiver, custodian or similar official in any Insolvency Proceeding) any amount received by it hereunder, such amount shall be deemed not to have been so received by such Person but rather to have been retained by the Borrowers and, accordingly, such Person shall have a claim against the Borrowers for such amount, payable when and to the extent that any distribution from or on behalf of such Obligor is made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Payments and Computations, Etc</w:t>
      </w:r>
      <w:r>
        <w:rPr>
          <w:rFonts w:ascii="Times New Roman" w:hAnsi="Times New Roman"/>
          <w:sz w:val="20"/>
        </w:rPr>
        <w:t xml:space="preserve">. (a) All amounts to be paid by any Borrower or the Servicer to the Administrative Agent, any Credit Party, any Affected Person or any Borrower Indemnified Party hereunder shall be paid no later than noon (New York City time) on the day when due in same day funds to the applicable party to which such amounts are due. </w:t>
      </w:r>
    </w:p>
    <w:p>
      <w:pPr>
        <w:pStyle w:val="TextBody"/>
        <w:bidi w:val="0"/>
        <w:spacing w:before="240" w:after="0"/>
        <w:jc w:val="left"/>
        <w:rPr>
          <w:rFonts w:ascii="Times New Roman" w:hAnsi="Times New Roman"/>
          <w:sz w:val="20"/>
        </w:rPr>
      </w:pPr>
      <w:r>
        <w:rPr>
          <w:rFonts w:ascii="Times New Roman" w:hAnsi="Times New Roman"/>
          <w:sz w:val="20"/>
        </w:rPr>
        <w:t xml:space="preserve">(b) Each Borrower and the Servicer shall, to the extent permitted by Applicable Law, pay interest on any amount not paid or deposited by it when due hereunder, at an interest rate per annum equal to 2.00% </w:t>
      </w:r>
      <w:r>
        <w:rPr>
          <w:rFonts w:ascii="Times New Roman" w:hAnsi="Times New Roman"/>
          <w:sz w:val="20"/>
          <w:u w:val="single"/>
        </w:rPr>
        <w:t>per annum</w:t>
      </w:r>
      <w:r>
        <w:rPr>
          <w:rFonts w:ascii="Times New Roman" w:hAnsi="Times New Roman"/>
          <w:sz w:val="20"/>
        </w:rPr>
        <w:t xml:space="preserve"> above the Base Rate, payable on demand. </w:t>
      </w:r>
    </w:p>
    <w:p>
      <w:pPr>
        <w:pStyle w:val="TextBody"/>
        <w:bidi w:val="0"/>
        <w:spacing w:before="240" w:after="0"/>
        <w:jc w:val="left"/>
        <w:rPr>
          <w:rFonts w:ascii="Times New Roman" w:hAnsi="Times New Roman"/>
          <w:sz w:val="20"/>
        </w:rPr>
      </w:pPr>
      <w:r>
        <w:rPr>
          <w:rFonts w:ascii="Times New Roman" w:hAnsi="Times New Roman"/>
          <w:sz w:val="20"/>
        </w:rPr>
        <w:t xml:space="preserve">(c) All computations of interest under </w:t>
      </w:r>
      <w:r>
        <w:rPr>
          <w:rFonts w:ascii="Times New Roman" w:hAnsi="Times New Roman"/>
          <w:sz w:val="20"/>
          <w:u w:val="single"/>
        </w:rPr>
        <w:t>clause (b)</w:t>
      </w:r>
      <w:r>
        <w:rPr>
          <w:rFonts w:ascii="Times New Roman" w:hAnsi="Times New Roman"/>
          <w:sz w:val="20"/>
        </w:rPr>
        <w:t xml:space="preserve"> above and all computations of Interest, Fees and other amounts hereunder shall be made on the basis of a year of 360 days (or, in the case of amounts determined by reference to the Base Rate, 365 or 366 days, as applicable) for the actual number of days (including the first but excluding the last day) elapsed. Whenever any payment or deposit to be made hereunder shall be due on a day other than a Business Day, such payment or deposit shall be made on the next succeeding Business Day and such extension of time shall be included in the computation of such payment or deposit.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120" w:after="0"/>
        <w:jc w:val="center"/>
        <w:rPr>
          <w:rFonts w:ascii="Times New Roman" w:hAnsi="Times New Roman"/>
          <w:b/>
          <w:sz w:val="20"/>
        </w:rPr>
      </w:pPr>
      <w:r>
        <w:rPr>
          <w:rFonts w:ascii="Times New Roman" w:hAnsi="Times New Roman"/>
          <w:b/>
          <w:sz w:val="20"/>
        </w:rPr>
        <w:t xml:space="preserve">INCREASED COSTS; FUNDING LOSSES; TAXES; ILLEGALITY AND SECURITY INTEREST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Increased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Increased Costs Generally</w:t>
      </w:r>
      <w:r>
        <w:rPr>
          <w:rFonts w:ascii="Times New Roman" w:hAnsi="Times New Roman"/>
          <w:sz w:val="20"/>
        </w:rPr>
        <w:t xml:space="preserve">. If any Change in Law shall: </w:t>
      </w:r>
    </w:p>
    <w:p>
      <w:pPr>
        <w:pStyle w:val="TextBody"/>
        <w:bidi w:val="0"/>
        <w:spacing w:before="120" w:after="0"/>
        <w:jc w:val="left"/>
        <w:rPr>
          <w:rFonts w:ascii="Times New Roman" w:hAnsi="Times New Roman"/>
          <w:sz w:val="20"/>
        </w:rPr>
      </w:pPr>
      <w:r>
        <w:rPr>
          <w:rFonts w:ascii="Times New Roman" w:hAnsi="Times New Roman"/>
          <w:sz w:val="20"/>
        </w:rPr>
        <w:t xml:space="preserve">(i) impose, modify or deem applicable any reserve, special deposit, liquidity, compulsory loan, insurance charge or similar requirement against assets of, deposits with or for the account of, or credit extended or participated in by, any Affected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subject any Affected Person to any Taxes (except to the extent such Taxes are (A) Indemnified Taxes for which relief is sought under </w:t>
      </w:r>
      <w:r>
        <w:rPr>
          <w:rFonts w:ascii="Times New Roman" w:hAnsi="Times New Roman"/>
          <w:sz w:val="20"/>
          <w:u w:val="single"/>
        </w:rPr>
        <w:t>Section 5.03</w:t>
      </w:r>
      <w:r>
        <w:rPr>
          <w:rFonts w:ascii="Times New Roman" w:hAnsi="Times New Roman"/>
          <w:sz w:val="20"/>
        </w:rPr>
        <w:t xml:space="preserve">, (B) Taxes described in </w:t>
      </w:r>
      <w:r>
        <w:rPr>
          <w:rFonts w:ascii="Times New Roman" w:hAnsi="Times New Roman"/>
          <w:sz w:val="20"/>
          <w:u w:val="single"/>
        </w:rPr>
        <w:t>clause (b)</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of the definition of Excluded Taxes or (C) Other Connection Taxes that are imposed on or measured by net income (however denominated) or that are franchise Taxes or branch profits Taxes) on its loans, loan principal, letters of credit, commitments or other obligations, or its deposits, reserves, other liabilities or capital attributable thereto; or </w:t>
      </w:r>
    </w:p>
    <w:p>
      <w:pPr>
        <w:pStyle w:val="TextBody"/>
        <w:bidi w:val="0"/>
        <w:spacing w:before="120" w:after="0"/>
        <w:jc w:val="left"/>
        <w:rPr>
          <w:rFonts w:ascii="Times New Roman" w:hAnsi="Times New Roman"/>
          <w:sz w:val="20"/>
        </w:rPr>
      </w:pPr>
      <w:r>
        <w:rPr>
          <w:rFonts w:ascii="Times New Roman" w:hAnsi="Times New Roman"/>
          <w:sz w:val="20"/>
        </w:rPr>
        <w:t xml:space="preserve">(iii) impose on any Affected Person any other condition, cost or expense (other than Taxes) (A) affecting the Collateral, this Agreement, any other Transaction Document, any Loan or any participation therein or (B) affecting its obligations or rights to make Loans; </w:t>
      </w:r>
    </w:p>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shall be to increase the cost to such Affected Person of (A) acting as the Administrative Agent or a Lender hereunder, (B) funding or maintaining any Loan or (C) maintaining its obligation to fund or maintain any Loan, or to reduce the amount of any sum received or receivable by such Affected Person hereunder, then, upon request of such Affected Person, the Borrowers shall, jointly and severally, pay to such Affected Person such additional amount or amounts as will compensate such Affected Person for such additional costs incurred or reduction suffered.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Capital and Liquidity Requirements</w:t>
      </w:r>
      <w:r>
        <w:rPr>
          <w:rFonts w:ascii="Times New Roman" w:hAnsi="Times New Roman"/>
          <w:i/>
          <w:sz w:val="20"/>
        </w:rPr>
        <w:t>.</w:t>
      </w:r>
      <w:r>
        <w:rPr>
          <w:rFonts w:ascii="Times New Roman" w:hAnsi="Times New Roman"/>
          <w:sz w:val="20"/>
        </w:rPr>
        <w:t xml:space="preserve"> If any Affected Person determines that any Change in Law affecting such Affected Person or any lending office of such Affected Person or such Affected Person’s holding company, if any, regarding capital or liquidity requirements, has or would have the effect of (x) increasing the amount of capital required to be maintained by such Affected Person or Affected Person’s holding company, if any, (y) reducing the rate of return on such Affected Person’s capital or on the capital of such Affected Person’s holding company, if any, or (z) causing an internal capital or liquidity charge or other imputed cost to be assessed upon such Affected Person or Affected Person’s holding company, if any, in each case, as a consequence of (A) this Agreement or any other Transaction Document, (B) the commitments of such Affected Person hereunder or under any other Transaction Document, (C) the Loans made by such Affected Person, or (D) any Capital, to a level below that which such Affected Person or such Affected Person’s holding company could have achieved but for such Change in Law (taking into consideration such Affected Person’s policies and the policies of such Affected Person’s holding company with respect to capital adequacy and liquidity), then from time to time, upon request of such Affected Person, the Borrowers shall, jointly and severally, pay to such Affected Person such additional amount or amounts as will compensate such Affected Person or such Affected Person’s holding company for any such increase, reduction or charge.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Adoption of Changes in Law</w:t>
      </w:r>
      <w:r>
        <w:rPr>
          <w:rFonts w:ascii="Times New Roman" w:hAnsi="Times New Roman"/>
          <w:sz w:val="20"/>
        </w:rPr>
        <w:t xml:space="preserve">. The Borrowers acknowledge that any Affected Person may institute measures in anticipation of a Change in Law (including, without limitation, the imposition of internal charges on such Affected Person’s interests or obligations under any Transaction Document), and may commence allocating charges to or seeking compensation from the Borrowers under this </w:t>
      </w:r>
      <w:r>
        <w:rPr>
          <w:rFonts w:ascii="Times New Roman" w:hAnsi="Times New Roman"/>
          <w:sz w:val="20"/>
          <w:u w:val="single"/>
        </w:rPr>
        <w:t>Section 5.01</w:t>
      </w:r>
      <w:r>
        <w:rPr>
          <w:rFonts w:ascii="Times New Roman" w:hAnsi="Times New Roman"/>
          <w:sz w:val="20"/>
        </w:rPr>
        <w:t xml:space="preserve"> in connection with such measures, in advance of the effective date of such Change in Law, and the Borrowers agree to jointly and severally pay such charges or compensation to such Affected Person, following demand therefor in accordance with the terms of this </w:t>
      </w:r>
      <w:r>
        <w:rPr>
          <w:rFonts w:ascii="Times New Roman" w:hAnsi="Times New Roman"/>
          <w:sz w:val="20"/>
          <w:u w:val="single"/>
        </w:rPr>
        <w:t>Section 5.01</w:t>
      </w:r>
      <w:r>
        <w:rPr>
          <w:rFonts w:ascii="Times New Roman" w:hAnsi="Times New Roman"/>
          <w:sz w:val="20"/>
        </w:rPr>
        <w:t xml:space="preserve">, without regard to whether such effective date has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Certificates for Reimbursement</w:t>
      </w:r>
      <w:r>
        <w:rPr>
          <w:rFonts w:ascii="Times New Roman" w:hAnsi="Times New Roman"/>
          <w:sz w:val="20"/>
        </w:rPr>
        <w:t xml:space="preserve">. A certificate of an Affected Person setting forth the amount or amounts necessary to compensate such Affected Person or its holding company, as the case may be, as specified in </w:t>
      </w:r>
      <w:r>
        <w:rPr>
          <w:rFonts w:ascii="Times New Roman" w:hAnsi="Times New Roman"/>
          <w:sz w:val="20"/>
          <w:u w:val="single"/>
        </w:rPr>
        <w:t>clause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of this Section and delivered to the Borrowers, shall be conclusive absent manifest error. The Borrowers shall, subject to the priorities of payment set forth in </w:t>
      </w:r>
      <w:r>
        <w:rPr>
          <w:rFonts w:ascii="Times New Roman" w:hAnsi="Times New Roman"/>
          <w:sz w:val="20"/>
          <w:u w:val="single"/>
        </w:rPr>
        <w:t>Section 4.01</w:t>
      </w:r>
      <w:r>
        <w:rPr>
          <w:rFonts w:ascii="Times New Roman" w:hAnsi="Times New Roman"/>
          <w:sz w:val="20"/>
        </w:rPr>
        <w:t xml:space="preserve">, jointly and severally pay such Affected Person the amount shown as due on any such certificate on the first Settlement Date occurring after the Borrowers’ receipt of such certificate.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Delay in Requests</w:t>
      </w:r>
      <w:r>
        <w:rPr>
          <w:rFonts w:ascii="Times New Roman" w:hAnsi="Times New Roman"/>
          <w:sz w:val="20"/>
        </w:rPr>
        <w:t xml:space="preserve">. Failure or delay on the part of any Affected Person to demand compensation pursuant to this Section shall not constitute a waiver of such Affected Person’s right to demand such compensation; provided that no Borrower shall be required to compensate an Affected Person pursuant to this </w:t>
      </w:r>
      <w:r>
        <w:rPr>
          <w:rFonts w:ascii="Times New Roman" w:hAnsi="Times New Roman"/>
          <w:sz w:val="20"/>
          <w:u w:val="single"/>
        </w:rPr>
        <w:t>Section 5.01</w:t>
      </w:r>
      <w:r>
        <w:rPr>
          <w:rFonts w:ascii="Times New Roman" w:hAnsi="Times New Roman"/>
          <w:sz w:val="20"/>
        </w:rPr>
        <w:t xml:space="preserve"> for any increased costs incurred or reductions suffered more than nine months prior to the date that such Affected Person notifies the relevant Borrower of the Change in Law giving rise to such increased costs or reductions and of such Affected Person’s intention to claim compensation therefor (except that, if the Change in Law giving rise to such increased costs or reductions is retroactive, then the nine month period referred to above shall be extended to include the period of retroactive effect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Funding Losses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Borrowers will, jointly and severally, pay each Lender all Breakage Fees. </w:t>
      </w:r>
    </w:p>
    <w:p>
      <w:pPr>
        <w:pStyle w:val="TextBody"/>
        <w:bidi w:val="0"/>
        <w:spacing w:before="240" w:after="0"/>
        <w:jc w:val="left"/>
        <w:rPr>
          <w:rFonts w:ascii="Times New Roman" w:hAnsi="Times New Roman"/>
          <w:sz w:val="20"/>
        </w:rPr>
      </w:pPr>
      <w:r>
        <w:rPr>
          <w:rFonts w:ascii="Times New Roman" w:hAnsi="Times New Roman"/>
          <w:sz w:val="20"/>
        </w:rPr>
        <w:t xml:space="preserve">(b) A certificate of a Lender setting forth the amount or amounts necessary to compensate such Lender, as specified in </w:t>
      </w:r>
      <w:r>
        <w:rPr>
          <w:rFonts w:ascii="Times New Roman" w:hAnsi="Times New Roman"/>
          <w:sz w:val="20"/>
          <w:u w:val="single"/>
        </w:rPr>
        <w:t>clause (a)</w:t>
      </w:r>
      <w:r>
        <w:rPr>
          <w:rFonts w:ascii="Times New Roman" w:hAnsi="Times New Roman"/>
          <w:sz w:val="20"/>
        </w:rPr>
        <w:t xml:space="preserve"> above and delivered to the Borrowers, shall be conclusive absent manifest error. The Borrowers shall, subject to the priorities of payment set forth in </w:t>
      </w:r>
      <w:r>
        <w:rPr>
          <w:rFonts w:ascii="Times New Roman" w:hAnsi="Times New Roman"/>
          <w:sz w:val="20"/>
          <w:u w:val="single"/>
        </w:rPr>
        <w:t>Section 4.01</w:t>
      </w:r>
      <w:r>
        <w:rPr>
          <w:rFonts w:ascii="Times New Roman" w:hAnsi="Times New Roman"/>
          <w:sz w:val="20"/>
        </w:rPr>
        <w:t xml:space="preserve">, jointly and severally pay such Lender the amount shown as due on any such certificate on the first Settlement Date occurring after the Borrowers’ receipt of such certificate.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Payments Free of Taxes</w:t>
      </w:r>
      <w:r>
        <w:rPr>
          <w:rFonts w:ascii="Times New Roman" w:hAnsi="Times New Roman"/>
          <w:sz w:val="20"/>
        </w:rPr>
        <w:t xml:space="preserve">. Any and all payments by or on account of any obligation of the Borrowers under any Transaction Document shall be made without deduction or withholding for any Taxes, except as required by Applicable Law. If any Applicable Law (as determined in the good faith discretion of the Borrowers) requires the deduction or withholding of any Tax from any such payment to a Credit Party, Affected Person or Borrower Indemnified Party, then the applicable Borrower shall be entitled to make such deduction or withholding and shall timely pay the full amount deducted or withheld to the relevant Governmental Authority in accordance with Applicable Law, and, if such Tax is an Indemnified Tax, then the sum payable by the Borrowers shall be increased as necessary so that after such deduction or withholding has been made (including such deductions and withholdings applicable to additional sums payable under this Section), the applicable Credit Party, Affected Person or Borrower Indemnified Party receives an amount equal to the sum it would have received had no such deduction or withholding been made.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of Other Taxes by the Borrowers</w:t>
      </w:r>
      <w:r>
        <w:rPr>
          <w:rFonts w:ascii="Times New Roman" w:hAnsi="Times New Roman"/>
          <w:sz w:val="20"/>
        </w:rPr>
        <w:t xml:space="preserve">. The Borrowers shall timely pay to the relevant Governmental Authority in accordance with Applicable Law, or, at the option of the Administrative Agent, timely reimburse the Administrative Agent for the payment of, any Other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Indemnification by the Borrowers</w:t>
      </w:r>
      <w:r>
        <w:rPr>
          <w:rFonts w:ascii="Times New Roman" w:hAnsi="Times New Roman"/>
          <w:sz w:val="20"/>
        </w:rPr>
        <w:t xml:space="preserve">. The Borrowers shall, jointly and severally, indemnify each Affected Person, within ten days after demand therefor, for the full amount of any Indemnified Taxes (including Indemnified Taxes imposed or asserted on or attributable to amounts payable under this Section) payable or paid by such Affected Person or required to be withheld or deducted from a payment to such Affected Person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Borrowers by an Affected Person (with a copy to the Administrative Agent), or by the Administrative Agent on its own behalf or on behalf of an Affected Person, shall be conclusive absent manifest error. Notwithstanding anything to contrary herein, the Servicer shall indemnify each Affected Person for the full amount of any Taxes described in clause (I) or clause (II) of this </w:t>
      </w:r>
      <w:r>
        <w:rPr>
          <w:rFonts w:ascii="Times New Roman" w:hAnsi="Times New Roman"/>
          <w:sz w:val="20"/>
          <w:u w:val="single"/>
        </w:rPr>
        <w:t>Section 5.03(c)</w:t>
      </w:r>
      <w:r>
        <w:rPr>
          <w:rFonts w:ascii="Times New Roman" w:hAnsi="Times New Roman"/>
          <w:sz w:val="20"/>
        </w:rPr>
        <w:t xml:space="preserve"> to the extent that the Borrowers and their Affiliates have not already indemnified such Affected Person for such Taxes and without limiting any obligation of the Borrowers and their Affiliates to do so.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Indemnification by the Lenders</w:t>
      </w:r>
      <w:r>
        <w:rPr>
          <w:rFonts w:ascii="Times New Roman" w:hAnsi="Times New Roman"/>
          <w:sz w:val="20"/>
        </w:rPr>
        <w:t xml:space="preserve">. Each Lender shall severally indemnify the Administrative Agent, within ten days after demand therefor, for (i) any Indemnified Taxes attributable to such Lender or any of their respective Affiliates that are Affected Persons (but only to the extent that the Borrowers and their Affiliates have not already indemnified the Administrative Agent for such Indemnified Taxes and without limiting any obligation of the Borrowers, the Servicer or their Affiliates to do so), (ii) any Taxes attributable to the failure of such Lender or any of their respective Affiliates that are Affected Persons to comply with </w:t>
      </w:r>
      <w:r>
        <w:rPr>
          <w:rFonts w:ascii="Times New Roman" w:hAnsi="Times New Roman"/>
          <w:sz w:val="20"/>
          <w:u w:val="single"/>
        </w:rPr>
        <w:t>Section 14.03(e)</w:t>
      </w:r>
      <w:r>
        <w:rPr>
          <w:rFonts w:ascii="Times New Roman" w:hAnsi="Times New Roman"/>
          <w:sz w:val="20"/>
        </w:rPr>
        <w:t xml:space="preserve"> relating to the maintenance of a Participant Register and (iii) any Excluded Taxes attributable to such Lender or any of their respective Affiliates that are Affected Persons, in each case, that are payable or paid by the Administrative Agent in connection with any Transaction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or any of their respective Affiliates that are Affected Persons under any Transaction Document or otherwise payable by the Administrative Agent to such Lender or any of their respective Affiliates that are Affected Persons from any other source against any amount due to the Administrative Agent under this </w:t>
      </w:r>
      <w:r>
        <w:rPr>
          <w:rFonts w:ascii="Times New Roman" w:hAnsi="Times New Roman"/>
          <w:sz w:val="20"/>
          <w:u w:val="single"/>
        </w:rPr>
        <w:t>clause (d)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Evidence of Payments</w:t>
      </w:r>
      <w:r>
        <w:rPr>
          <w:rFonts w:ascii="Times New Roman" w:hAnsi="Times New Roman"/>
          <w:sz w:val="20"/>
        </w:rPr>
        <w:t xml:space="preserve">. As soon as practicable after any payment of Taxes by any Borrower to a Governmental Authority pursuant to this </w:t>
      </w:r>
      <w:r>
        <w:rPr>
          <w:rFonts w:ascii="Times New Roman" w:hAnsi="Times New Roman"/>
          <w:sz w:val="20"/>
          <w:u w:val="single"/>
        </w:rPr>
        <w:t>Section 5.03</w:t>
      </w:r>
      <w:r>
        <w:rPr>
          <w:rFonts w:ascii="Times New Roman" w:hAnsi="Times New Roman"/>
          <w:sz w:val="20"/>
        </w:rPr>
        <w:t xml:space="preserve">, the applicable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Status of Affected Persons</w:t>
      </w:r>
      <w:r>
        <w:rPr>
          <w:rFonts w:ascii="Times New Roman" w:hAnsi="Times New Roman"/>
          <w:sz w:val="20"/>
        </w:rPr>
        <w:t xml:space="preserve">. (i) Any Affected Person that is entitled to an exemption from or reduction of withholding Tax with respect to payments made under any Transaction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Affected Person,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Affected Person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sz w:val="20"/>
          <w:u w:val="single"/>
        </w:rPr>
        <w:t>Sections 5.03(f)(ii)(A)</w:t>
      </w:r>
      <w:r>
        <w:rPr>
          <w:rFonts w:ascii="Times New Roman" w:hAnsi="Times New Roman"/>
          <w:sz w:val="20"/>
        </w:rPr>
        <w:t xml:space="preserve">, </w:t>
      </w:r>
      <w:r>
        <w:rPr>
          <w:rFonts w:ascii="Times New Roman" w:hAnsi="Times New Roman"/>
          <w:sz w:val="20"/>
          <w:u w:val="single"/>
        </w:rPr>
        <w:t>5.03(f)(ii)(B)</w:t>
      </w:r>
      <w:r>
        <w:rPr>
          <w:rFonts w:ascii="Times New Roman" w:hAnsi="Times New Roman"/>
          <w:sz w:val="20"/>
        </w:rPr>
        <w:t xml:space="preserve"> and </w:t>
      </w:r>
      <w:r>
        <w:rPr>
          <w:rFonts w:ascii="Times New Roman" w:hAnsi="Times New Roman"/>
          <w:sz w:val="20"/>
          <w:u w:val="single"/>
        </w:rPr>
        <w:t>5.03(g)</w:t>
      </w:r>
      <w:r>
        <w:rPr>
          <w:rFonts w:ascii="Times New Roman" w:hAnsi="Times New Roman"/>
          <w:sz w:val="20"/>
        </w:rPr>
        <w:t xml:space="preserve">) shall not be required if, in the Affected Person’s reasonable judgment, such completion, execution or submission would subject such Affected Person to any material unreimbursed cost or expense or would materially prejudice the legal or commercial position of such Affected Person.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(A) an Affected Person that is a U.S. Person shall deliver to the Borrowers and the Administrative Agent on or prior to the date on which such Affected Person becomes a party to this Agreement and from time to time upon the reasonable request of the Borrowers or the Administrative Agent, executed originals of Internal Revenue Service Form W-9 certifying that such Affected Person is exempt from U.S. federal backup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(B) any Affected Person that is not a U.S. Person shall, to the extent it is legally entitled to do so, deliver to the Borrowers and the Administrative Agent (in such number of copies as shall be requested by the Borrowers and the Administrative Agent) on or prior to the date on which such Affected Person becomes a party to this Agreement and from time to time upon the reasonable request of the Borrowers or the Administrative Agent,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such an Affected Person claiming the benefits of an income tax treaty to which the United States is a party, (x) with respect to payments of interest under any Transaction Document, executed originals of Internal Revenue Service Form W-8BEN or Internal Revenue Service Form W-8BEN-E, as applicable, establishing an exemption from, or reduction of, U.S. federal withholding Tax pursuant to the “interest” article of such tax treaty and (y) with respect to any other applicable payments under any Transaction Document, Internal Revenue Service Form W-8BEN or Internal Revenue Service Form W-8BEN-E, as applicable, establishing an exemption from, or reduction of, U.S. federal withholding Tax pursuant to the “business profits” or “other income” article of such tax treaty;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executed originals of Internal Revenue Service Form W-8ECI; </w:t>
      </w:r>
    </w:p>
    <w:p>
      <w:pPr>
        <w:pStyle w:val="TextBody"/>
        <w:bidi w:val="0"/>
        <w:spacing w:before="120" w:after="0"/>
        <w:jc w:val="left"/>
        <w:rPr>
          <w:rFonts w:ascii="Times New Roman" w:hAnsi="Times New Roman"/>
          <w:sz w:val="20"/>
        </w:rPr>
      </w:pPr>
      <w:r>
        <w:rPr>
          <w:rFonts w:ascii="Times New Roman" w:hAnsi="Times New Roman"/>
          <w:sz w:val="20"/>
        </w:rPr>
        <w:t>(3) in the case of such an Affected Person claiming the benefits of the exemption for portfolio interest under Section 881(c) of the Code, (x) a certificate to the effect that such Affected Person is not a “bank” within the meaning of Section 881(c)(3)(A) of the Code, a “10 percent shareholder” of any Borrower within the meaning of Section 881(c)(3)(B) of the Code, or a “controlled foreign corporation” related to the Borrowers as described in Section 881(c)(3)(C) of the Code (a “</w:t>
      </w:r>
      <w:r>
        <w:rPr>
          <w:rFonts w:ascii="Times New Roman" w:hAnsi="Times New Roman"/>
          <w:sz w:val="20"/>
          <w:u w:val="single"/>
        </w:rPr>
        <w:t>U.S. Tax Compliance Certificate</w:t>
      </w:r>
      <w:r>
        <w:rPr>
          <w:rFonts w:ascii="Times New Roman" w:hAnsi="Times New Roman"/>
          <w:sz w:val="20"/>
        </w:rPr>
        <w:t xml:space="preserve">”) and (y) executed originals of Internal Revenue Service Form W-8BEN or Internal Revenue Service Form W-8BEN-E, as applicable; or </w:t>
      </w:r>
    </w:p>
    <w:p>
      <w:pPr>
        <w:pStyle w:val="TextBody"/>
        <w:bidi w:val="0"/>
        <w:spacing w:before="120" w:after="0"/>
        <w:jc w:val="left"/>
        <w:rPr>
          <w:rFonts w:ascii="Times New Roman" w:hAnsi="Times New Roman"/>
          <w:sz w:val="20"/>
        </w:rPr>
      </w:pPr>
      <w:r>
        <w:rPr>
          <w:rFonts w:ascii="Times New Roman" w:hAnsi="Times New Roman"/>
          <w:sz w:val="20"/>
        </w:rPr>
        <w:t xml:space="preserve">(4) to the extent such Affected Person is not the beneficial owner, executed originals of Internal Revenue Service Form W-8IMY, accompanied by Internal Revenue Service Form W-8ECI, Internal Revenue Service Form W-8BEN or Internal Revenue Service Form W-8BEN-E, as applicable, a U.S. Tax Compliance Certificate, Internal Revenue Service Form W-9, and/or other certification documents from each beneficial owner, as applicable; </w:t>
      </w:r>
      <w:r>
        <w:rPr>
          <w:rFonts w:ascii="Times New Roman" w:hAnsi="Times New Roman"/>
          <w:sz w:val="20"/>
          <w:u w:val="single"/>
        </w:rPr>
        <w:t>provided</w:t>
      </w:r>
      <w:r>
        <w:rPr>
          <w:rFonts w:ascii="Times New Roman" w:hAnsi="Times New Roman"/>
          <w:sz w:val="20"/>
        </w:rPr>
        <w:t xml:space="preserve"> that, if such Affected Person is a partnership and one or more direct or indirect partners of such Affected Person are claiming the portfolio interest exemption, such Affected Person may provide a U.S. Tax Compliance Certificate on behalf of each such direct and indirect partner; and </w:t>
      </w:r>
    </w:p>
    <w:p>
      <w:pPr>
        <w:pStyle w:val="TextBody"/>
        <w:bidi w:val="0"/>
        <w:spacing w:before="120" w:after="0"/>
        <w:jc w:val="left"/>
        <w:rPr>
          <w:rFonts w:ascii="Times New Roman" w:hAnsi="Times New Roman"/>
          <w:sz w:val="20"/>
        </w:rPr>
      </w:pPr>
      <w:r>
        <w:rPr>
          <w:rFonts w:ascii="Times New Roman" w:hAnsi="Times New Roman"/>
          <w:sz w:val="20"/>
        </w:rPr>
        <w:t xml:space="preserve">(C) any Affected Person that is not a U.S. Person shall, to the extent it is legally entitled to do so, deliver to the Borrowers and the Administrative Agent (in such number of copies as shall be requested by the recipient), on or prior to the date on which such Affected Person becomes a party to this Agreement and from time to time upon the reasonable request of the Borrowers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Documentation Required by FATCA</w:t>
      </w:r>
      <w:r>
        <w:rPr>
          <w:rFonts w:ascii="Times New Roman" w:hAnsi="Times New Roman"/>
          <w:sz w:val="20"/>
        </w:rPr>
        <w:t xml:space="preserve">. If a payment made to an Affected Person under any Transaction Document would be subject to U.S. federal withholding Tax imposed by FATCA if such Affected Person were to fail to comply with the applicable reporting requirements of FATCA (including those contained in Section 1471(b) or 1472(b) of the Code, as applicable), such Affected Person shall deliver to the Borrowers and the Administrative Agent at the time or times prescribed by Applicable Law and at such time or times reasonably requested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Borrowers or the Administrative Agent such documentation prescribed by Applicable Law (including as prescribed by Section 1471(b)(3)(C)(i) of the Code) and such additional documentation reasonably requested by the Borrowers or the Administrative Agent as may be necessary for the Borrowers and the Administrative Agent to comply with their obligations under FATCA and to determine that such Affected Person has complied with such Affected Person’s obligations under FATCA or to determine the amount to deduct and withhold from such payment. Solely for purposes of this </w:t>
      </w:r>
      <w:r>
        <w:rPr>
          <w:rFonts w:ascii="Times New Roman" w:hAnsi="Times New Roman"/>
          <w:sz w:val="20"/>
          <w:u w:val="single"/>
        </w:rPr>
        <w:t>clause (g)</w:t>
      </w:r>
      <w:r>
        <w:rPr>
          <w:rFonts w:ascii="Times New Roman" w:hAnsi="Times New Roman"/>
          <w:sz w:val="20"/>
        </w:rPr>
        <w:t>, “</w:t>
      </w:r>
      <w:r>
        <w:rPr>
          <w:rFonts w:ascii="Times New Roman" w:hAnsi="Times New Roman"/>
          <w:sz w:val="20"/>
          <w:u w:val="single"/>
        </w:rPr>
        <w:t>FATCA</w:t>
      </w:r>
      <w:r>
        <w:rPr>
          <w:rFonts w:ascii="Times New Roman" w:hAnsi="Times New Roman"/>
          <w:sz w:val="20"/>
        </w:rPr>
        <w:t xml:space="preserve">” shall include any amendments made to FATCA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Survival</w:t>
      </w:r>
      <w:r>
        <w:rPr>
          <w:rFonts w:ascii="Times New Roman" w:hAnsi="Times New Roman"/>
          <w:sz w:val="20"/>
        </w:rPr>
        <w:t xml:space="preserve">. Each party’s obligations under this </w:t>
      </w:r>
      <w:r>
        <w:rPr>
          <w:rFonts w:ascii="Times New Roman" w:hAnsi="Times New Roman"/>
          <w:sz w:val="20"/>
          <w:u w:val="single"/>
        </w:rPr>
        <w:t>Section 5.03</w:t>
      </w:r>
      <w:r>
        <w:rPr>
          <w:rFonts w:ascii="Times New Roman" w:hAnsi="Times New Roman"/>
          <w:sz w:val="20"/>
        </w:rPr>
        <w:t xml:space="preserve"> shall survive the resignation or replacement of the Administrative Agent or any assignment of rights by, or the replacement of, a Credit Party or any other Affected Person, the termination of the Commitments and the repayment, satisfaction or discharge of all the Borrower Obligations and the Servicer’s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Updates</w:t>
      </w:r>
      <w:r>
        <w:rPr>
          <w:rFonts w:ascii="Times New Roman" w:hAnsi="Times New Roman"/>
          <w:sz w:val="20"/>
        </w:rPr>
        <w:t xml:space="preserve">. Each Affected Person agrees that if any form or certification it previously delivered pursuant to this </w:t>
      </w:r>
      <w:r>
        <w:rPr>
          <w:rFonts w:ascii="Times New Roman" w:hAnsi="Times New Roman"/>
          <w:sz w:val="20"/>
          <w:u w:val="single"/>
        </w:rPr>
        <w:t>Section 5.03</w:t>
      </w:r>
      <w:r>
        <w:rPr>
          <w:rFonts w:ascii="Times New Roman" w:hAnsi="Times New Roman"/>
          <w:sz w:val="20"/>
        </w:rPr>
        <w:t xml:space="preserve"> expires or becomes obsolete or inaccurate in any respect, it shall update such form or certification or promptly notify the Borrowers and the Administrative Agent in writing of its legal inability to do so.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Daily 1M SOFR or Term SOFR Rate Unascertainable; Increased Costs; Illegality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Unascertainable; Increased Costs</w:t>
      </w:r>
      <w:r>
        <w:rPr>
          <w:rFonts w:ascii="Times New Roman" w:hAnsi="Times New Roman"/>
          <w:sz w:val="20"/>
        </w:rPr>
        <w:t xml:space="preserve">. If, on or prior to the first day of an Interest Period: </w:t>
      </w:r>
    </w:p>
    <w:p>
      <w:pPr>
        <w:pStyle w:val="TextBody"/>
        <w:bidi w:val="0"/>
        <w:spacing w:before="120" w:after="0"/>
        <w:jc w:val="left"/>
        <w:rPr>
          <w:rFonts w:ascii="Times New Roman" w:hAnsi="Times New Roman"/>
          <w:sz w:val="20"/>
        </w:rPr>
      </w:pPr>
      <w:r>
        <w:rPr>
          <w:rFonts w:ascii="Times New Roman" w:hAnsi="Times New Roman"/>
          <w:sz w:val="20"/>
        </w:rPr>
        <w:t xml:space="preserve">(i) the Administrative Agent shall have determined (which determination shall be conclusive and binding absent manifest error) that (x) Daily 1M SOFR or the Term SOFR Rate cannot be determined pursuant to the definition thereof; or (y) a fundamental change has occurred with respect to Daily 1M SOFR or the Term SOFR Rate (including, without limitation, changes in national or international financial, political or economic conditions); or </w:t>
      </w:r>
    </w:p>
    <w:p>
      <w:pPr>
        <w:pStyle w:val="TextBody"/>
        <w:bidi w:val="0"/>
        <w:spacing w:before="120" w:after="0"/>
        <w:jc w:val="left"/>
        <w:rPr>
          <w:rFonts w:ascii="Times New Roman" w:hAnsi="Times New Roman"/>
          <w:sz w:val="20"/>
        </w:rPr>
      </w:pPr>
      <w:r>
        <w:rPr>
          <w:rFonts w:ascii="Times New Roman" w:hAnsi="Times New Roman"/>
          <w:sz w:val="20"/>
        </w:rPr>
        <w:t xml:space="preserve">(ii) any Lender determines that for any reason that Daily 1M SOFR or the Term SOFR Rate for any requested Interest Period does not adequately and fairly reflect the cost to such Lender of funding such Lender’s Loans, and such Lender has provided notice of such determination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then the Administrative Agent shall have the rights specified in </w:t>
      </w:r>
      <w:r>
        <w:rPr>
          <w:rFonts w:ascii="Times New Roman" w:hAnsi="Times New Roman"/>
          <w:sz w:val="20"/>
          <w:u w:val="single"/>
        </w:rPr>
        <w:t>Section 5.04(c)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Illegality</w:t>
      </w:r>
      <w:r>
        <w:rPr>
          <w:rFonts w:ascii="Times New Roman" w:hAnsi="Times New Roman"/>
          <w:sz w:val="20"/>
        </w:rPr>
        <w:t xml:space="preserve">. If at any time any Lender shall have determined that the making, maintenance or funding of any Loan accruing interest by reference to Daily 1M SOFR or the Term SOFR Rate has been made impracticable or unlawful, by compliance by such Lender in good faith in good faith with any Law or any interpretation or application thereof by any Governmental Authority or with any request or directive of any such Governmental Authority (whether or not having the force of Law), then the Administrative Agent shall have the rights specified in </w:t>
      </w:r>
      <w:r>
        <w:rPr>
          <w:rFonts w:ascii="Times New Roman" w:hAnsi="Times New Roman"/>
          <w:sz w:val="20"/>
          <w:u w:val="single"/>
        </w:rPr>
        <w:t>Section 5.04(c)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Administrative Agent’s and Lender’s Rights</w:t>
      </w:r>
      <w:r>
        <w:rPr>
          <w:rFonts w:ascii="Times New Roman" w:hAnsi="Times New Roman"/>
          <w:sz w:val="20"/>
        </w:rPr>
        <w:t xml:space="preserve">. In the case of any event specified in </w:t>
      </w:r>
      <w:r>
        <w:rPr>
          <w:rFonts w:ascii="Times New Roman" w:hAnsi="Times New Roman"/>
          <w:sz w:val="20"/>
          <w:u w:val="single"/>
        </w:rPr>
        <w:t>Section 5.04(a)</w:t>
      </w:r>
      <w:r>
        <w:rPr>
          <w:rFonts w:ascii="Times New Roman" w:hAnsi="Times New Roman"/>
          <w:sz w:val="20"/>
        </w:rPr>
        <w:t xml:space="preserve">, the Administrative Agent shall promptly so notify the Lenders and the Borrowers thereof, and in the case of an event specified in </w:t>
      </w:r>
      <w:r>
        <w:rPr>
          <w:rFonts w:ascii="Times New Roman" w:hAnsi="Times New Roman"/>
          <w:sz w:val="20"/>
          <w:u w:val="single"/>
        </w:rPr>
        <w:t>Section 5.04(b)</w:t>
      </w:r>
      <w:r>
        <w:rPr>
          <w:rFonts w:ascii="Times New Roman" w:hAnsi="Times New Roman"/>
          <w:sz w:val="20"/>
        </w:rPr>
        <w:t xml:space="preserve">, such Lender shall promptly so notify the Administrative Agent and endorse a certificate to such notice as to the specific circumstances of such notice, and the Administrative Agent shall promptly send copies of such notice and certificate to the other Lenders and the Borrowers. </w:t>
      </w:r>
    </w:p>
    <w:p>
      <w:pPr>
        <w:pStyle w:val="TextBody"/>
        <w:bidi w:val="0"/>
        <w:spacing w:before="240" w:after="0"/>
        <w:jc w:val="left"/>
        <w:rPr>
          <w:rFonts w:ascii="Times New Roman" w:hAnsi="Times New Roman"/>
          <w:sz w:val="20"/>
        </w:rPr>
      </w:pPr>
      <w:r>
        <w:rPr>
          <w:rFonts w:ascii="Times New Roman" w:hAnsi="Times New Roman"/>
          <w:sz w:val="20"/>
        </w:rPr>
        <w:t xml:space="preserve">Upon such date as shall be specified in such notice (which shall not be earlier than the date such notice is given), the obligation of (i) the Lenders, in the case of such notice given by the Administrative Agent, or (ii) such Lender, in the case of such notice given by such Lender, to allow any Borrower to select, convert to or renew a Loan accruing interest by reference to Daily 1M SOFR or the Term SOFR Rate shall be suspended (to the extent of the affected Interest Rate or the applicable Interest Period) until the Administrative Agent shall have later notified such Borrower, or such Lender shall have later notified the Administrative Agent, of the Administrative Agent’s or such Lender’s, as the case may be, determination that the circumstances giving rise to such previous determination no longer exist.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the Administrative Agent makes a determination under </w:t>
      </w:r>
      <w:r>
        <w:rPr>
          <w:rFonts w:ascii="Times New Roman" w:hAnsi="Times New Roman"/>
          <w:sz w:val="20"/>
          <w:u w:val="single"/>
        </w:rPr>
        <w:t>Section 5.04(a)</w:t>
      </w:r>
      <w:r>
        <w:rPr>
          <w:rFonts w:ascii="Times New Roman" w:hAnsi="Times New Roman"/>
          <w:sz w:val="20"/>
        </w:rPr>
        <w:t xml:space="preserve">, (A) if any Borrower has delivered a Loan Request for an affected Loan that has not yet been made, such Loan Request shall be deemed to request a Base Rate Loan, (B) any outstanding affected Loans shall be deemed to have been converted into Base Rate Loans at the end of the applicable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Security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security for the performance by the Borrowers of all the terms, covenants and agreements on the part of each Borrower to be performed under this Agreement or any other Transaction Document, including the punctual payment when due of the Aggregate Capital and all Interest in respect of the Loans and all other Borrower Obligations, each Borrower hereby grants to the Administrative Agent for its benefit and the ratable benefit of the Secured Parties, a continuing security interest in, all of such Borrower’s right, title and interest in, to and under all of the following, whether now or hereafter owned, existing or arising (collectively, the “</w:t>
      </w:r>
      <w:r>
        <w:rPr>
          <w:rFonts w:ascii="Times New Roman" w:hAnsi="Times New Roman"/>
          <w:sz w:val="20"/>
          <w:u w:val="single"/>
        </w:rPr>
        <w:t>Collateral</w:t>
      </w:r>
      <w:r>
        <w:rPr>
          <w:rFonts w:ascii="Times New Roman" w:hAnsi="Times New Roman"/>
          <w:sz w:val="20"/>
        </w:rPr>
        <w:t xml:space="preserve">”): (i) all Pool Receivables, (ii) all Related Security with respect to such Pool Receivables, (iii) all Collections with respect to such Pool Receivables, (iv) the Lock-Boxes and Collection Accounts and all amounts on deposit therein, and all certificates and instruments, if any, from time to time evidencing such Lock-Boxes and Collection Accounts and amounts on deposit therein, (v) all rights (but none of the obligations) of such Borrower under the related Purchase and Sale Agreement, (vi) all other personal and fixture property or assets of such Borrower of every kind and nature including, without limitation, all goods (including inventory, equipment and any accessions thereto), instruments (including promissory notes), documents, accounts, chattel paper (whether tangible or electronic), deposit accounts, securities accounts, securities entitlements, letter-of-credit rights, commercial tort claims, securities and all other investment property, supporting obligations, money, any other contract rights or rights to the payment of money, insurance claims and proceeds, and all general intangibles (including all payment intangibles) (each as defined in the UCC) and (vii) all proceeds of, and all amounts received or receivable under any or all of, the foregoing. Notwithstanding any provision set forth in this Agreement to the contrary, in no event shall the term “Collateral” include any Affiliate Receivables.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Administrative Agent (for the benefit of the Secured Parties) shall have, with respect to all the Collateral, and in addition to all the other rights and remedies available to the Administrative Agent (for the benefit of the Secured Parties), all the rights and remedies of a secured party under any applicable UCC. Each Borrower hereby authorizes the Administrative Agent to file financing statements describing as the collateral covered thereby as “all of the debtor’s personal property or assets” or words to that effect, notwithstanding that such wording may be broader in scope than the collateral described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Immediately upon the occurrence of the Final Payout Date, the Collateral shall be automatically released from the lien created hereby, and this Agreement and all obligations (other than those expressly stated to survive such termination) of the Administrative Agent, the Lenders and the other Credit Parties hereunder shall terminate, all without delivery of any instrument or performance of any act by any party, and all rights to the Collateral shall revert to the Borrowers;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promptly following written request therefor by any Borrower delivered to the Administrative Agent following any such termination, and at the expense of the Borrowers, the Administrative Agent shall execute and deliver to such Borrower UCC-3 termination statements and such other documents as such Borrower shall reasonably request to evidence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Benchmark Replacement Setting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Benchmark Replacement</w:t>
      </w:r>
      <w:r>
        <w:rPr>
          <w:rFonts w:ascii="Times New Roman" w:hAnsi="Times New Roman"/>
          <w:sz w:val="20"/>
        </w:rPr>
        <w:t xml:space="preserve">. Notwithstanding anything to the contrary herein or in any other Transaction Document, if a Benchmark Transition Event and its related Benchmark Replacement Date have occurred prior to any setting of the then-current Benchmark, then (x) if a Benchmark Replacement is determined in accordance with </w:t>
      </w:r>
      <w:r>
        <w:rPr>
          <w:rFonts w:ascii="Times New Roman" w:hAnsi="Times New Roman"/>
          <w:sz w:val="20"/>
          <w:u w:val="single"/>
        </w:rPr>
        <w:t>clause (1)</w:t>
      </w:r>
      <w:r>
        <w:rPr>
          <w:rFonts w:ascii="Times New Roman" w:hAnsi="Times New Roman"/>
          <w:sz w:val="20"/>
        </w:rPr>
        <w:t xml:space="preserve"> of the definition of “Benchmark Replacement” for such Benchmark Replacement Date, such Benchmark Replacement will replace such Benchmark for all purposes hereunder and under any Transaction Document in respect of such Benchmark setting and subsequent Benchmark settings without any amendment to, or further action or consent of any other party to, this Agreement or any other Transaction Document and (y) if a Benchmark Replacement is determined in accordance with </w:t>
      </w:r>
      <w:r>
        <w:rPr>
          <w:rFonts w:ascii="Times New Roman" w:hAnsi="Times New Roman"/>
          <w:sz w:val="20"/>
          <w:u w:val="single"/>
        </w:rPr>
        <w:t>clause (2)</w:t>
      </w:r>
      <w:r>
        <w:rPr>
          <w:rFonts w:ascii="Times New Roman" w:hAnsi="Times New Roman"/>
          <w:sz w:val="20"/>
        </w:rPr>
        <w:t xml:space="preserve">, </w:t>
      </w:r>
      <w:r>
        <w:rPr>
          <w:rFonts w:ascii="Times New Roman" w:hAnsi="Times New Roman"/>
          <w:sz w:val="20"/>
          <w:u w:val="single"/>
        </w:rPr>
        <w:t>(3)</w:t>
      </w:r>
      <w:r>
        <w:rPr>
          <w:rFonts w:ascii="Times New Roman" w:hAnsi="Times New Roman"/>
          <w:sz w:val="20"/>
        </w:rPr>
        <w:t xml:space="preserve">, or </w:t>
      </w:r>
      <w:r>
        <w:rPr>
          <w:rFonts w:ascii="Times New Roman" w:hAnsi="Times New Roman"/>
          <w:sz w:val="20"/>
          <w:u w:val="single"/>
        </w:rPr>
        <w:t>(4)</w:t>
      </w:r>
      <w:r>
        <w:rPr>
          <w:rFonts w:ascii="Times New Roman" w:hAnsi="Times New Roman"/>
          <w:sz w:val="20"/>
        </w:rPr>
        <w:t xml:space="preserve"> of the definition of “Benchmark Replacement” for such Benchmark Replacement Date, such Benchmark Replacement will replace such Benchmark for all purposes hereunder and under any Transaction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Transaction Document so long as the Administrative Agent has not received, by such time, written notice from Lenders comprising the Majority Lenders of objection to (i) with respect to a Benchmark Replacement determined in accordance with </w:t>
      </w:r>
      <w:r>
        <w:rPr>
          <w:rFonts w:ascii="Times New Roman" w:hAnsi="Times New Roman"/>
          <w:sz w:val="20"/>
          <w:u w:val="single"/>
        </w:rPr>
        <w:t>clause (2)</w:t>
      </w:r>
      <w:r>
        <w:rPr>
          <w:rFonts w:ascii="Times New Roman" w:hAnsi="Times New Roman"/>
          <w:sz w:val="20"/>
        </w:rPr>
        <w:t xml:space="preserve"> or </w:t>
      </w:r>
      <w:r>
        <w:rPr>
          <w:rFonts w:ascii="Times New Roman" w:hAnsi="Times New Roman"/>
          <w:sz w:val="20"/>
          <w:u w:val="single"/>
        </w:rPr>
        <w:t>(3)</w:t>
      </w:r>
      <w:r>
        <w:rPr>
          <w:rFonts w:ascii="Times New Roman" w:hAnsi="Times New Roman"/>
          <w:sz w:val="20"/>
        </w:rPr>
        <w:t xml:space="preserve"> of the definition of “Benchmark Replacement”, the related Benchmark Replacement Adjustment and (ii) with respect to a Benchmark Replacement determined in accordance with </w:t>
      </w:r>
      <w:r>
        <w:rPr>
          <w:rFonts w:ascii="Times New Roman" w:hAnsi="Times New Roman"/>
          <w:sz w:val="20"/>
          <w:u w:val="single"/>
        </w:rPr>
        <w:t>clause (4)</w:t>
      </w:r>
      <w:r>
        <w:rPr>
          <w:rFonts w:ascii="Times New Roman" w:hAnsi="Times New Roman"/>
          <w:sz w:val="20"/>
        </w:rPr>
        <w:t xml:space="preserve"> of the definition of “Benchmark Replacement”, such Benchmark Replacement.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Benchmark Replacement Conforming Changes</w:t>
      </w:r>
      <w:r>
        <w:rPr>
          <w:rFonts w:ascii="Times New Roman" w:hAnsi="Times New Roman"/>
          <w:sz w:val="20"/>
        </w:rPr>
        <w:t xml:space="preserve">. In connection with the use, administration, adoption or implementation of a Benchmark Replacement, the Administrative Agent may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Notices; Standards for Decisions and Determinations</w:t>
      </w:r>
      <w:r>
        <w:rPr>
          <w:rFonts w:ascii="Times New Roman" w:hAnsi="Times New Roman"/>
          <w:sz w:val="20"/>
        </w:rPr>
        <w:t xml:space="preserve">. The Administrative Agent will promptly notify the Borrowers and the Lenders of (i) the implementation of any Benchmark Replacement, and (ii) the effectiveness of any Conforming Changes in connection with the use, administration, adoption or implementation of a Benchmark Replacement. The Administrative Agent will notify the Borrowers of (x) the removal or reinstatement of any tenor of a Benchmark pursuant to </w:t>
      </w:r>
      <w:r>
        <w:rPr>
          <w:rFonts w:ascii="Times New Roman" w:hAnsi="Times New Roman"/>
          <w:sz w:val="20"/>
          <w:u w:val="single"/>
        </w:rPr>
        <w:t>clause (d)</w:t>
      </w:r>
      <w:r>
        <w:rPr>
          <w:rFonts w:ascii="Times New Roman" w:hAnsi="Times New Roman"/>
          <w:sz w:val="20"/>
        </w:rPr>
        <w:t xml:space="preserve"> below and (y) the commencement of any Benchmark Unavailability Period. Any determination, decision or election that may be made by the Administrative Agent or, if applicable, any Lender (or group of Lenders) pursuant to this </w:t>
      </w:r>
      <w:r>
        <w:rPr>
          <w:rFonts w:ascii="Times New Roman" w:hAnsi="Times New Roman"/>
          <w:sz w:val="20"/>
          <w:u w:val="single"/>
        </w:rPr>
        <w:t>Section 5.06</w:t>
      </w:r>
      <w:r>
        <w:rPr>
          <w:rFonts w:ascii="Times New Roman" w:hAnsi="Times New Roman"/>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Transaction Document except, in each case, as expressly required pursuant to this </w:t>
      </w:r>
      <w:r>
        <w:rPr>
          <w:rFonts w:ascii="Times New Roman" w:hAnsi="Times New Roman"/>
          <w:sz w:val="20"/>
          <w:u w:val="single"/>
        </w:rPr>
        <w:t>Section 5.06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Unavailability of Tenor of Benchmark</w:t>
      </w:r>
      <w:r>
        <w:rPr>
          <w:rFonts w:ascii="Times New Roman" w:hAnsi="Times New Roman"/>
          <w:sz w:val="20"/>
        </w:rPr>
        <w:t xml:space="preserve">. Notwithstanding anything to the contrary herein or in any other Transaction Document, at any time (including in connection with the implementation of a Benchmark Replacement), (i) if the then-current Benchmark is a term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Benchmark Unavailability Period</w:t>
      </w:r>
      <w:r>
        <w:rPr>
          <w:rFonts w:ascii="Times New Roman" w:hAnsi="Times New Roman"/>
          <w:sz w:val="20"/>
        </w:rPr>
        <w:t xml:space="preserve">. Upon the Borrowers’ receipt of notice of the commencement of a Benchmark Unavailability Period, the Borrowers may revoke any pending request for a Loan bearing interest based on Daily 1M SOFR or the Term SOFR Rate, conversion to or continuation of Loans bearing interest based on Daily 1M SOFR or the Term SOFR Rate to be made, converted or continued during any Benchmark Unavailability Period and, failing that, the applicable Borrower will be deemed to have converted any such request into a request for a Base Rate Loan.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Certain Defined Terms</w:t>
      </w:r>
      <w:r>
        <w:rPr>
          <w:rFonts w:ascii="Times New Roman" w:hAnsi="Times New Roman"/>
          <w:sz w:val="20"/>
        </w:rPr>
        <w:t xml:space="preserve">. As used in this </w:t>
      </w:r>
      <w:r>
        <w:rPr>
          <w:rFonts w:ascii="Times New Roman" w:hAnsi="Times New Roman"/>
          <w:sz w:val="20"/>
          <w:u w:val="single"/>
        </w:rPr>
        <w:t>Section 5.06</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Available Tenor</w:t>
      </w:r>
      <w:r>
        <w:rPr>
          <w:rFonts w:ascii="Times New Roman" w:hAnsi="Times New Roman"/>
          <w:sz w:val="20"/>
        </w:rPr>
        <w:t xml:space="preserve">” means, as of any date of determination and with respect to the then-current Benchmark, as applicable, (x) if such Benchmark is a term rate or is based on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of such Benchmark that is then-removed from the definition of “Interest Period” pursuant to </w:t>
      </w:r>
      <w:r>
        <w:rPr>
          <w:rFonts w:ascii="Times New Roman" w:hAnsi="Times New Roman"/>
          <w:sz w:val="20"/>
          <w:u w:val="single"/>
        </w:rPr>
        <w:t>clause (d)</w:t>
      </w:r>
      <w:r>
        <w:rPr>
          <w:rFonts w:ascii="Times New Roman" w:hAnsi="Times New Roman"/>
          <w:sz w:val="20"/>
        </w:rPr>
        <w:t xml:space="preserve"> of this </w:t>
      </w:r>
      <w:r>
        <w:rPr>
          <w:rFonts w:ascii="Times New Roman" w:hAnsi="Times New Roman"/>
          <w:sz w:val="20"/>
          <w:u w:val="single"/>
        </w:rPr>
        <w:t>Section 5.06</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Benchmark</w:t>
      </w:r>
      <w:r>
        <w:rPr>
          <w:rFonts w:ascii="Times New Roman" w:hAnsi="Times New Roman"/>
          <w:sz w:val="20"/>
        </w:rPr>
        <w:t xml:space="preserve">” means, initially, Daily 1M SOFR and the Term SOFR Rate; </w:t>
      </w:r>
      <w:r>
        <w:rPr>
          <w:rFonts w:ascii="Times New Roman" w:hAnsi="Times New Roman"/>
          <w:sz w:val="20"/>
          <w:u w:val="single"/>
        </w:rPr>
        <w:t>provided</w:t>
      </w:r>
      <w:r>
        <w:rPr>
          <w:rFonts w:ascii="Times New Roman" w:hAnsi="Times New Roman"/>
          <w:sz w:val="20"/>
        </w:rPr>
        <w:t xml:space="preserve"> that if a Benchmark Transition Event has occurred with respect to the then-current Benchmark, then “Benchmark” means the applicable Benchmark Replacement to the extent that such Benchmark Replacement has replaced such prior benchmark rate pursuant to this Section. </w:t>
      </w:r>
    </w:p>
    <w:p>
      <w:pPr>
        <w:pStyle w:val="TextBody"/>
        <w:bidi w:val="0"/>
        <w:spacing w:before="120" w:after="0"/>
        <w:jc w:val="left"/>
        <w:rPr/>
      </w:pPr>
      <w:r>
        <w:rPr/>
        <w:t>“</w:t>
      </w:r>
      <w:r>
        <w:rPr>
          <w:rFonts w:ascii="Times New Roman" w:hAnsi="Times New Roman"/>
          <w:sz w:val="20"/>
          <w:u w:val="single"/>
        </w:rPr>
        <w:t>Benchmark Replacement</w:t>
      </w:r>
      <w:r>
        <w:rPr>
          <w:rFonts w:ascii="Times New Roman" w:hAnsi="Times New Roman"/>
          <w:sz w:val="20"/>
        </w:rPr>
        <w:t xml:space="preserve">” means, with respect to any Benchmark Transition Event, the first applicable alternative set forth in the order below that can be determined by the Administrative Agent for the applicable Benchmark Replacement Date: </w:t>
      </w:r>
    </w:p>
    <w:p>
      <w:pPr>
        <w:pStyle w:val="TextBody"/>
        <w:bidi w:val="0"/>
        <w:spacing w:before="120" w:after="0"/>
        <w:jc w:val="left"/>
        <w:rPr>
          <w:rFonts w:ascii="Times New Roman" w:hAnsi="Times New Roman"/>
          <w:sz w:val="20"/>
        </w:rPr>
      </w:pPr>
      <w:r>
        <w:rPr>
          <w:rFonts w:ascii="Times New Roman" w:hAnsi="Times New Roman"/>
          <w:sz w:val="20"/>
        </w:rPr>
        <w:t xml:space="preserve">(1) Daily Simple SOFR; and </w:t>
      </w:r>
    </w:p>
    <w:p>
      <w:pPr>
        <w:pStyle w:val="TextBody"/>
        <w:bidi w:val="0"/>
        <w:spacing w:before="120" w:after="0"/>
        <w:jc w:val="left"/>
        <w:rPr>
          <w:rFonts w:ascii="Times New Roman" w:hAnsi="Times New Roman"/>
          <w:sz w:val="20"/>
        </w:rPr>
      </w:pPr>
      <w:r>
        <w:rPr>
          <w:rFonts w:ascii="Times New Roman" w:hAnsi="Times New Roman"/>
          <w:sz w:val="20"/>
        </w:rPr>
        <w:t xml:space="preserve">(2) the sum of (A) the alternate benchmark rate that has been selected by the Administrative Agent and the Borrowers, giving due consideration to (x) any selection or recommendation of a replacement benchmark rate or the mechanism for determining such a rate by the Relevant Governmental Body or (y) any evolving or then-prevailing market convention for determining a benchmark rate as a replacement to the then-current Benchmark for Dollar-denominated syndicated credit facilities at such time and (B) the related Benchmark Replacement Adjustment;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if the Benchmark Replacement as determined pursuant to </w:t>
      </w:r>
      <w:r>
        <w:rPr>
          <w:rFonts w:ascii="Times New Roman" w:hAnsi="Times New Roman"/>
          <w:sz w:val="20"/>
          <w:u w:val="single"/>
        </w:rPr>
        <w:t>clause (2)</w:t>
      </w:r>
      <w:r>
        <w:rPr>
          <w:rFonts w:ascii="Times New Roman" w:hAnsi="Times New Roman"/>
          <w:sz w:val="20"/>
        </w:rPr>
        <w:t xml:space="preserve"> above would be less than the Floor, the Benchmark Replacement will be deemed to be the Floor for the purposes of this Agreement and the other Transaction Documents;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Benchmark Replacement shall be administratively feasible as determined by the Administrative Agent in its sole discretion. </w:t>
      </w:r>
    </w:p>
    <w:p>
      <w:pPr>
        <w:pStyle w:val="TextBody"/>
        <w:bidi w:val="0"/>
        <w:spacing w:before="120" w:after="0"/>
        <w:jc w:val="left"/>
        <w:rPr/>
      </w:pPr>
      <w:r>
        <w:rPr/>
        <w:t>“</w:t>
      </w:r>
      <w:r>
        <w:rPr>
          <w:rFonts w:ascii="Times New Roman" w:hAnsi="Times New Roman"/>
          <w:sz w:val="20"/>
          <w:u w:val="single"/>
        </w:rPr>
        <w:t>Benchmark Replacement Adjustment</w:t>
      </w:r>
      <w:r>
        <w:rPr>
          <w:rFonts w:ascii="Times New Roman" w:hAnsi="Times New Roman"/>
          <w:sz w:val="20"/>
        </w:rPr>
        <w:t xml:space="preserve">”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Borrowers,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Benchmark Replacement Date</w:t>
      </w:r>
      <w:r>
        <w:rPr>
          <w:rFonts w:ascii="Times New Roman" w:hAnsi="Times New Roman"/>
          <w:sz w:val="20"/>
        </w:rPr>
        <w:t xml:space="preserve">” means a date and time determined by the Administrative Agent, which date shall be no later than the earliest to occur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 </w:t>
      </w:r>
    </w:p>
    <w:p>
      <w:pPr>
        <w:pStyle w:val="TextBody"/>
        <w:bidi w:val="0"/>
        <w:spacing w:before="120" w:after="0"/>
        <w:jc w:val="left"/>
        <w:rPr>
          <w:rFonts w:ascii="Times New Roman" w:hAnsi="Times New Roman"/>
          <w:sz w:val="20"/>
        </w:rPr>
      </w:pPr>
      <w:r>
        <w:rPr>
          <w:rFonts w:ascii="Times New Roman" w:hAnsi="Times New Roman"/>
          <w:sz w:val="20"/>
        </w:rPr>
        <w:t xml:space="preserve">(2) in the case of </w:t>
      </w:r>
      <w:r>
        <w:rPr>
          <w:rFonts w:ascii="Times New Roman" w:hAnsi="Times New Roman"/>
          <w:sz w:val="20"/>
          <w:u w:val="single"/>
        </w:rPr>
        <w:t>clause (3)</w:t>
      </w:r>
      <w:r>
        <w:rPr>
          <w:rFonts w:ascii="Times New Roman" w:hAnsi="Times New Roman"/>
          <w:sz w:val="20"/>
        </w:rPr>
        <w:t xml:space="preserve"> of the definition of “Benchmark Transition Event,” the date determined by the Administrative Agent, which date shall promptly follow the date of the public statement or publication of information referenced therein; </w:t>
      </w:r>
    </w:p>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the “Benchmark Replacement Date” will be deemed to have occurred in the case of </w:t>
      </w:r>
      <w:r>
        <w:rPr>
          <w:rFonts w:ascii="Times New Roman" w:hAnsi="Times New Roman"/>
          <w:sz w:val="20"/>
          <w:u w:val="single"/>
        </w:rPr>
        <w:t>clause (1)</w:t>
      </w:r>
      <w:r>
        <w:rPr>
          <w:rFonts w:ascii="Times New Roman" w:hAnsi="Times New Roman"/>
          <w:sz w:val="20"/>
        </w:rPr>
        <w:t xml:space="preserve"> or </w:t>
      </w:r>
      <w:r>
        <w:rPr>
          <w:rFonts w:ascii="Times New Roman" w:hAnsi="Times New Roman"/>
          <w:sz w:val="20"/>
          <w:u w:val="single"/>
        </w:rPr>
        <w:t>(2)</w:t>
      </w:r>
      <w:r>
        <w:rPr>
          <w:rFonts w:ascii="Times New Roman" w:hAnsi="Times New Roman"/>
          <w:sz w:val="20"/>
        </w:rPr>
        <w:t xml:space="preserve">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120" w:after="0"/>
        <w:jc w:val="left"/>
        <w:rPr/>
      </w:pPr>
      <w:r>
        <w:rPr/>
        <w:t>“</w:t>
      </w:r>
      <w:r>
        <w:rPr>
          <w:rFonts w:ascii="Times New Roman" w:hAnsi="Times New Roman"/>
          <w:sz w:val="20"/>
          <w:u w:val="single"/>
        </w:rPr>
        <w:t>Benchmark Transition Event</w:t>
      </w:r>
      <w:r>
        <w:rPr>
          <w:rFonts w:ascii="Times New Roman" w:hAnsi="Times New Roman"/>
          <w:sz w:val="20"/>
        </w:rPr>
        <w:t xml:space="preserve">” means, the occurrence of one or more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w:t>
      </w:r>
    </w:p>
    <w:p>
      <w:pPr>
        <w:pStyle w:val="TextBody"/>
        <w:bidi w:val="0"/>
        <w:spacing w:before="120" w:after="0"/>
        <w:jc w:val="left"/>
        <w:rPr>
          <w:rFonts w:ascii="Times New Roman" w:hAnsi="Times New Roman"/>
          <w:sz w:val="20"/>
        </w:rPr>
      </w:pPr>
      <w:r>
        <w:rPr>
          <w:rFonts w:ascii="Times New Roman" w:hAnsi="Times New Roman"/>
          <w:sz w:val="20"/>
        </w:rPr>
        <w:t xml:space="preserve">(2) a public statement or publication of information by a Governmental Authority having jurisdiction over the Administrative Agent,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a public statement or publication of information by the regulatory supervisor for the administrator of such Benchmark (or the published component used in the calculation thereof) or a Governmental Authority having jurisdiction over the Administrative Agent announcing that all Available Tenors of such Benchmark (or such component thereof) are not, or as of a specified future date will not be, representative. </w:t>
      </w:r>
    </w:p>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120" w:after="0"/>
        <w:jc w:val="left"/>
        <w:rPr/>
      </w:pPr>
      <w:r>
        <w:rPr/>
        <w:t>“</w:t>
      </w:r>
      <w:r>
        <w:rPr>
          <w:rFonts w:ascii="Times New Roman" w:hAnsi="Times New Roman"/>
          <w:sz w:val="20"/>
          <w:u w:val="single"/>
        </w:rPr>
        <w:t>Benchmark Unavailability Period</w:t>
      </w:r>
      <w:r>
        <w:rPr>
          <w:rFonts w:ascii="Times New Roman" w:hAnsi="Times New Roman"/>
          <w:sz w:val="20"/>
        </w:rPr>
        <w:t xml:space="preserve">” means the period (if any) (x) beginning at the time that a Benchmark Replacement Date has occurred if, at such time, no Benchmark Replacement has replaced the then-current Benchmark for all purposes hereunder and under any Transaction Document in accordance with this </w:t>
      </w:r>
      <w:r>
        <w:rPr>
          <w:rFonts w:ascii="Times New Roman" w:hAnsi="Times New Roman"/>
          <w:sz w:val="20"/>
          <w:u w:val="single"/>
        </w:rPr>
        <w:t>Section 5.06</w:t>
      </w:r>
      <w:r>
        <w:rPr>
          <w:rFonts w:ascii="Times New Roman" w:hAnsi="Times New Roman"/>
          <w:sz w:val="20"/>
        </w:rPr>
        <w:t xml:space="preserve"> and (y) ending at the time that a Benchmark Replacement has replaced the then-current Benchmark for all purposes hereunder and under any Transaction Document in accordance with this </w:t>
      </w:r>
      <w:r>
        <w:rPr>
          <w:rFonts w:ascii="Times New Roman" w:hAnsi="Times New Roman"/>
          <w:sz w:val="20"/>
          <w:u w:val="single"/>
        </w:rPr>
        <w:t>Section 5.06</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Relevant Governmental Body</w:t>
      </w:r>
      <w:r>
        <w:rPr>
          <w:rFonts w:ascii="Times New Roman" w:hAnsi="Times New Roman"/>
          <w:sz w:val="20"/>
        </w:rPr>
        <w:t xml:space="preserve">” means the Board of Governors of the Federal Reserve System of the United States and/or the Federal Reserve Bank of New York, or a committee officially endorsed or convened by the Board of Governors of the Federal Reserve System of the United States or the Federal Reserve Bank of New York, or any successor thereto. </w:t>
      </w:r>
    </w:p>
    <w:p>
      <w:pPr>
        <w:pStyle w:val="TextBody"/>
        <w:bidi w:val="0"/>
        <w:spacing w:before="120" w:after="0"/>
        <w:jc w:val="left"/>
        <w:rPr/>
      </w:pPr>
      <w:r>
        <w:rPr/>
        <w:t>“</w:t>
      </w:r>
      <w:r>
        <w:rPr>
          <w:rFonts w:ascii="Times New Roman" w:hAnsi="Times New Roman"/>
          <w:sz w:val="20"/>
          <w:u w:val="single"/>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120" w:after="0"/>
        <w:jc w:val="center"/>
        <w:rPr>
          <w:rFonts w:ascii="Times New Roman" w:hAnsi="Times New Roman"/>
          <w:b/>
          <w:sz w:val="20"/>
        </w:rPr>
      </w:pPr>
      <w:r>
        <w:rPr>
          <w:rFonts w:ascii="Times New Roman" w:hAnsi="Times New Roman"/>
          <w:b/>
          <w:sz w:val="20"/>
        </w:rPr>
        <w:t xml:space="preserve">CONDITIONS TO EFFECTIVENESS AND CREDIT EXTENSIONS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Conditions Precedent to Effectiveness and the Initial Credit Extension</w:t>
      </w:r>
      <w:r>
        <w:rPr>
          <w:rFonts w:ascii="Times New Roman" w:hAnsi="Times New Roman"/>
          <w:sz w:val="20"/>
        </w:rPr>
        <w:t xml:space="preserve">. This Agreement shall become effective as of the Closing Date when (a) the Administrative Agent shall have received each of the documents, agreements (in fully executed form), opinions of counsel, lien search results, UCC filings, certificates and other deliverables listed on the closing memorandum attached as </w:t>
      </w:r>
      <w:r>
        <w:rPr>
          <w:rFonts w:ascii="Times New Roman" w:hAnsi="Times New Roman"/>
          <w:sz w:val="20"/>
          <w:u w:val="single"/>
        </w:rPr>
        <w:t>Exhibit I</w:t>
      </w:r>
      <w:r>
        <w:rPr>
          <w:rFonts w:ascii="Times New Roman" w:hAnsi="Times New Roman"/>
          <w:sz w:val="20"/>
        </w:rPr>
        <w:t xml:space="preserve"> hereto, in each case, in form and substance reasonably acceptable to the Administrative Agent and (b) all fees and expenses payable by the Borrowers on the Closing Date to the Credit Parties have been paid in full in accordance with the terms of the Transaction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Conditions Precedent to All Credit Extensions</w:t>
      </w:r>
      <w:r>
        <w:rPr>
          <w:rFonts w:ascii="Times New Roman" w:hAnsi="Times New Roman"/>
          <w:sz w:val="20"/>
        </w:rPr>
        <w:t xml:space="preserve">. Each Credit Extension hereunder on or after the Closing Date shall be subject to the conditions precedent that: </w:t>
      </w:r>
    </w:p>
    <w:p>
      <w:pPr>
        <w:pStyle w:val="TextBody"/>
        <w:bidi w:val="0"/>
        <w:spacing w:before="120" w:after="0"/>
        <w:jc w:val="left"/>
        <w:rPr>
          <w:rFonts w:ascii="Times New Roman" w:hAnsi="Times New Roman"/>
          <w:sz w:val="20"/>
        </w:rPr>
      </w:pPr>
      <w:r>
        <w:rPr>
          <w:rFonts w:ascii="Times New Roman" w:hAnsi="Times New Roman"/>
          <w:sz w:val="20"/>
        </w:rPr>
        <w:t xml:space="preserve">(a) a Borrower shall have delivered to the Administrative Agent and each Lender a Loan Request for such Loan, in accordance with </w:t>
      </w:r>
      <w:r>
        <w:rPr>
          <w:rFonts w:ascii="Times New Roman" w:hAnsi="Times New Roman"/>
          <w:sz w:val="20"/>
          <w:u w:val="single"/>
        </w:rPr>
        <w:t>Section 2.02(a)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Servicer shall have delivered to the Administrative Agent and each Lender all Information Packages and Interim Reports, if any, required to be delivered hereunder; </w:t>
      </w:r>
    </w:p>
    <w:p>
      <w:pPr>
        <w:pStyle w:val="TextBody"/>
        <w:bidi w:val="0"/>
        <w:spacing w:before="240" w:after="0"/>
        <w:jc w:val="left"/>
        <w:rPr>
          <w:rFonts w:ascii="Times New Roman" w:hAnsi="Times New Roman"/>
          <w:sz w:val="20"/>
        </w:rPr>
      </w:pPr>
      <w:r>
        <w:rPr>
          <w:rFonts w:ascii="Times New Roman" w:hAnsi="Times New Roman"/>
          <w:sz w:val="20"/>
        </w:rPr>
        <w:t xml:space="preserve">(c) the conditions precedent to such Credit Extension specified in </w:t>
      </w:r>
      <w:r>
        <w:rPr>
          <w:rFonts w:ascii="Times New Roman" w:hAnsi="Times New Roman"/>
          <w:sz w:val="20"/>
          <w:u w:val="single"/>
        </w:rPr>
        <w:t>Section 2.01(i)</w:t>
      </w:r>
      <w:r>
        <w:rPr>
          <w:rFonts w:ascii="Times New Roman" w:hAnsi="Times New Roman"/>
          <w:sz w:val="20"/>
        </w:rPr>
        <w:t xml:space="preserve"> through </w:t>
      </w:r>
      <w:r>
        <w:rPr>
          <w:rFonts w:ascii="Times New Roman" w:hAnsi="Times New Roman"/>
          <w:sz w:val="20"/>
          <w:u w:val="single"/>
        </w:rPr>
        <w:t>(iii)</w:t>
      </w:r>
      <w:r>
        <w:rPr>
          <w:rFonts w:ascii="Times New Roman" w:hAnsi="Times New Roman"/>
          <w:sz w:val="20"/>
        </w:rPr>
        <w:t xml:space="preserve">, shall be satisfied; and </w:t>
      </w:r>
    </w:p>
    <w:p>
      <w:pPr>
        <w:pStyle w:val="TextBody"/>
        <w:bidi w:val="0"/>
        <w:spacing w:before="240" w:after="0"/>
        <w:jc w:val="left"/>
        <w:rPr>
          <w:rFonts w:ascii="Times New Roman" w:hAnsi="Times New Roman"/>
          <w:sz w:val="20"/>
        </w:rPr>
      </w:pPr>
      <w:r>
        <w:rPr>
          <w:rFonts w:ascii="Times New Roman" w:hAnsi="Times New Roman"/>
          <w:sz w:val="20"/>
        </w:rPr>
        <w:t xml:space="preserve">(d) on the date of such Credit Extension the following statements shall be true and correct (and upon the occurrence of such Credit Extension, each Borrower and the Servicer shall be deemed to have represented and warranted that such statements are then true and correct): </w:t>
      </w:r>
    </w:p>
    <w:p>
      <w:pPr>
        <w:pStyle w:val="TextBody"/>
        <w:bidi w:val="0"/>
        <w:spacing w:before="120" w:after="0"/>
        <w:jc w:val="left"/>
        <w:rPr>
          <w:rFonts w:ascii="Times New Roman" w:hAnsi="Times New Roman"/>
          <w:sz w:val="20"/>
        </w:rPr>
      </w:pPr>
      <w:r>
        <w:rPr>
          <w:rFonts w:ascii="Times New Roman" w:hAnsi="Times New Roman"/>
          <w:sz w:val="20"/>
        </w:rPr>
        <w:t xml:space="preserve">(i) the representations and warranties of each Borrower and the Servicer contained in </w:t>
      </w:r>
      <w:r>
        <w:rPr>
          <w:rFonts w:ascii="Times New Roman" w:hAnsi="Times New Roman"/>
          <w:sz w:val="20"/>
          <w:u w:val="single"/>
        </w:rPr>
        <w:t>Sections 7.01</w:t>
      </w:r>
      <w:r>
        <w:rPr>
          <w:rFonts w:ascii="Times New Roman" w:hAnsi="Times New Roman"/>
          <w:sz w:val="20"/>
        </w:rPr>
        <w:t xml:space="preserve"> and </w:t>
      </w:r>
      <w:r>
        <w:rPr>
          <w:rFonts w:ascii="Times New Roman" w:hAnsi="Times New Roman"/>
          <w:sz w:val="20"/>
          <w:u w:val="single"/>
        </w:rPr>
        <w:t>7.02</w:t>
      </w:r>
      <w:r>
        <w:rPr>
          <w:rFonts w:ascii="Times New Roman" w:hAnsi="Times New Roman"/>
          <w:sz w:val="20"/>
        </w:rPr>
        <w:t xml:space="preserve"> are true and correct in all material respects on and as of the date of such Credit Extension as though made on and as of such date unless such representations and warranties by their terms refer to an earlier date, in which case they shall be true and correct in all material respects on and as of such earlier date; </w:t>
      </w:r>
    </w:p>
    <w:p>
      <w:pPr>
        <w:pStyle w:val="TextBody"/>
        <w:bidi w:val="0"/>
        <w:spacing w:before="120" w:after="0"/>
        <w:jc w:val="left"/>
        <w:rPr>
          <w:rFonts w:ascii="Times New Roman" w:hAnsi="Times New Roman"/>
          <w:sz w:val="20"/>
        </w:rPr>
      </w:pPr>
      <w:r>
        <w:rPr>
          <w:rFonts w:ascii="Times New Roman" w:hAnsi="Times New Roman"/>
          <w:sz w:val="20"/>
        </w:rPr>
        <w:t xml:space="preserve">(ii) no Event of Default or Unmatured Event of Default has occurred and is continuing, and no Event of Default or Unmatured Event of Default would result from such Credit Extension; </w:t>
      </w:r>
    </w:p>
    <w:p>
      <w:pPr>
        <w:pStyle w:val="TextBody"/>
        <w:bidi w:val="0"/>
        <w:spacing w:before="120" w:after="0"/>
        <w:jc w:val="left"/>
        <w:rPr>
          <w:rFonts w:ascii="Times New Roman" w:hAnsi="Times New Roman"/>
          <w:sz w:val="20"/>
        </w:rPr>
      </w:pPr>
      <w:r>
        <w:rPr>
          <w:rFonts w:ascii="Times New Roman" w:hAnsi="Times New Roman"/>
          <w:sz w:val="20"/>
        </w:rPr>
        <w:t xml:space="preserve">(iii) no Borrowing Base Deficit exists or would exist after giving effect to such Credit Extension; and </w:t>
      </w:r>
    </w:p>
    <w:p>
      <w:pPr>
        <w:pStyle w:val="TextBody"/>
        <w:bidi w:val="0"/>
        <w:spacing w:before="120" w:after="0"/>
        <w:jc w:val="left"/>
        <w:rPr>
          <w:rFonts w:ascii="Times New Roman" w:hAnsi="Times New Roman"/>
          <w:sz w:val="20"/>
        </w:rPr>
      </w:pPr>
      <w:r>
        <w:rPr>
          <w:rFonts w:ascii="Times New Roman" w:hAnsi="Times New Roman"/>
          <w:sz w:val="20"/>
        </w:rPr>
        <w:t xml:space="preserve">(iv) the Termination Date has not occurred.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Conditions Precedent to All Releases</w:t>
      </w:r>
      <w:r>
        <w:rPr>
          <w:rFonts w:ascii="Times New Roman" w:hAnsi="Times New Roman"/>
          <w:sz w:val="20"/>
        </w:rPr>
        <w:t xml:space="preserve">. Each Release hereunder on or after the Closing Date shall be subject to the conditions precedent that: </w:t>
      </w:r>
    </w:p>
    <w:p>
      <w:pPr>
        <w:pStyle w:val="TextBody"/>
        <w:bidi w:val="0"/>
        <w:spacing w:before="120" w:after="0"/>
        <w:jc w:val="left"/>
        <w:rPr>
          <w:rFonts w:ascii="Times New Roman" w:hAnsi="Times New Roman"/>
          <w:sz w:val="20"/>
        </w:rPr>
      </w:pPr>
      <w:r>
        <w:rPr>
          <w:rFonts w:ascii="Times New Roman" w:hAnsi="Times New Roman"/>
          <w:sz w:val="20"/>
        </w:rPr>
        <w:t xml:space="preserve">(a) after giving effect to such Release, the Servicer shall be holding in trust for the benefit of the Secured Parties an amount of Collections sufficient to pay the sum of (x) all accrued and unpaid Servicing Fees, Interest, Fees and Breakage Fees, in each case, through the date of such Release, (y) the amount of any Borrowing Base Deficit and (z) the amount of all other accrued and unpaid Borrower Obligations through the date of such Release; </w:t>
      </w:r>
    </w:p>
    <w:p>
      <w:pPr>
        <w:pStyle w:val="TextBody"/>
        <w:bidi w:val="0"/>
        <w:spacing w:before="240" w:after="0"/>
        <w:jc w:val="left"/>
        <w:rPr>
          <w:rFonts w:ascii="Times New Roman" w:hAnsi="Times New Roman"/>
          <w:sz w:val="20"/>
        </w:rPr>
      </w:pPr>
      <w:r>
        <w:rPr>
          <w:rFonts w:ascii="Times New Roman" w:hAnsi="Times New Roman"/>
          <w:sz w:val="20"/>
        </w:rPr>
        <w:t xml:space="preserve">(b) the Borrowers shall use the proceeds of such Release solely to pay the purchase price for Receivables purchased by the Borrowers in accordance with the terms of the Purchase and Sale Agreements and amounts owing by the Borrowers to the Originators under the Intercompany Loan Agreements;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on the date of such Release the following statements shall be true and correct (and upon the occurrence of such Release, each Borrower and the Servicer shall be deemed to have represented and warranted that such statements are then true and correct): </w:t>
      </w:r>
    </w:p>
    <w:p>
      <w:pPr>
        <w:pStyle w:val="TextBody"/>
        <w:bidi w:val="0"/>
        <w:spacing w:before="120" w:after="0"/>
        <w:jc w:val="left"/>
        <w:rPr>
          <w:rFonts w:ascii="Times New Roman" w:hAnsi="Times New Roman"/>
          <w:sz w:val="20"/>
        </w:rPr>
      </w:pPr>
      <w:r>
        <w:rPr>
          <w:rFonts w:ascii="Times New Roman" w:hAnsi="Times New Roman"/>
          <w:sz w:val="20"/>
        </w:rPr>
        <w:t xml:space="preserve">(i) the representations and warranties of each Borrower and the Servicer contained in </w:t>
      </w:r>
      <w:r>
        <w:rPr>
          <w:rFonts w:ascii="Times New Roman" w:hAnsi="Times New Roman"/>
          <w:sz w:val="20"/>
          <w:u w:val="single"/>
        </w:rPr>
        <w:t>Sections 7.01</w:t>
      </w:r>
      <w:r>
        <w:rPr>
          <w:rFonts w:ascii="Times New Roman" w:hAnsi="Times New Roman"/>
          <w:sz w:val="20"/>
        </w:rPr>
        <w:t xml:space="preserve"> and </w:t>
      </w:r>
      <w:r>
        <w:rPr>
          <w:rFonts w:ascii="Times New Roman" w:hAnsi="Times New Roman"/>
          <w:sz w:val="20"/>
          <w:u w:val="single"/>
        </w:rPr>
        <w:t>7.02</w:t>
      </w:r>
      <w:r>
        <w:rPr>
          <w:rFonts w:ascii="Times New Roman" w:hAnsi="Times New Roman"/>
          <w:sz w:val="20"/>
        </w:rPr>
        <w:t xml:space="preserve"> are true and correct in all material respects on and as of the date of such Release as though made on and as of such date unless such representations and warranties by their terms refer to an earlier date, in which case they shall be true and correct in all material respects on and as of such earlier date; </w:t>
      </w:r>
    </w:p>
    <w:p>
      <w:pPr>
        <w:pStyle w:val="TextBody"/>
        <w:bidi w:val="0"/>
        <w:spacing w:before="120" w:after="0"/>
        <w:jc w:val="left"/>
        <w:rPr>
          <w:rFonts w:ascii="Times New Roman" w:hAnsi="Times New Roman"/>
          <w:sz w:val="20"/>
        </w:rPr>
      </w:pPr>
      <w:r>
        <w:rPr>
          <w:rFonts w:ascii="Times New Roman" w:hAnsi="Times New Roman"/>
          <w:sz w:val="20"/>
        </w:rPr>
        <w:t xml:space="preserve">(ii) no Event of Default or Unmatured Event of Default has occurred and is continuing, and no Event of Default or Unmatured Event of Default would result from such Release; </w:t>
      </w:r>
    </w:p>
    <w:p>
      <w:pPr>
        <w:pStyle w:val="TextBody"/>
        <w:bidi w:val="0"/>
        <w:spacing w:before="120" w:after="0"/>
        <w:jc w:val="left"/>
        <w:rPr>
          <w:rFonts w:ascii="Times New Roman" w:hAnsi="Times New Roman"/>
          <w:sz w:val="20"/>
        </w:rPr>
      </w:pPr>
      <w:r>
        <w:rPr>
          <w:rFonts w:ascii="Times New Roman" w:hAnsi="Times New Roman"/>
          <w:sz w:val="20"/>
        </w:rPr>
        <w:t xml:space="preserve">(iii) no Borrowing Base Deficit exists or would exist after giving effect to such Release; </w:t>
      </w:r>
    </w:p>
    <w:p>
      <w:pPr>
        <w:pStyle w:val="TextBody"/>
        <w:bidi w:val="0"/>
        <w:spacing w:before="120" w:after="0"/>
        <w:jc w:val="left"/>
        <w:rPr>
          <w:rFonts w:ascii="Times New Roman" w:hAnsi="Times New Roman"/>
          <w:sz w:val="20"/>
        </w:rPr>
      </w:pPr>
      <w:r>
        <w:rPr>
          <w:rFonts w:ascii="Times New Roman" w:hAnsi="Times New Roman"/>
          <w:sz w:val="20"/>
        </w:rPr>
        <w:t xml:space="preserve">(iv) the Termination Date has not occurred; and </w:t>
      </w:r>
    </w:p>
    <w:p>
      <w:pPr>
        <w:pStyle w:val="TextBody"/>
        <w:bidi w:val="0"/>
        <w:spacing w:before="120" w:after="0"/>
        <w:jc w:val="left"/>
        <w:rPr>
          <w:rFonts w:ascii="Times New Roman" w:hAnsi="Times New Roman"/>
          <w:sz w:val="20"/>
        </w:rPr>
      </w:pPr>
      <w:r>
        <w:rPr>
          <w:rFonts w:ascii="Times New Roman" w:hAnsi="Times New Roman"/>
          <w:sz w:val="20"/>
        </w:rPr>
        <w:t xml:space="preserve">(v) the Aggregate Capital exceeds the Minimum Funding Threshold.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12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Representations and Warranties of the Borrowers</w:t>
      </w:r>
      <w:r>
        <w:rPr>
          <w:rFonts w:ascii="Times New Roman" w:hAnsi="Times New Roman"/>
          <w:sz w:val="20"/>
        </w:rPr>
        <w:t xml:space="preserve">. Each Borrower represents and warrants to each Credit Party as of the Closing Date, on each Settlement Date and on each day that a Credit Extension or Release shall have occurred: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 and Good Standing</w:t>
      </w:r>
      <w:r>
        <w:rPr>
          <w:rFonts w:ascii="Times New Roman" w:hAnsi="Times New Roman"/>
          <w:sz w:val="20"/>
        </w:rPr>
        <w:t xml:space="preserve">. Such Person is a limited liability company duly organized and validly existing in good standing under the laws of the State of Delaware and has full power and authority under its constitutional documents and under the laws of its jurisdiction to own its properties and to conduct its business as such properties are currently owned and such business is presently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Due Qualification</w:t>
      </w:r>
      <w:r>
        <w:rPr>
          <w:rFonts w:ascii="Times New Roman" w:hAnsi="Times New Roman"/>
          <w:sz w:val="20"/>
        </w:rPr>
        <w:t xml:space="preserve">. Such Person is duly qualified to do business as a limited liability company, is in good standing as a foreign limited liability company and has obtained all necessary licenses and approvals in all jurisdictions in which the conduct of its business requires such qualification, licenses or approvals, except where the failure to do so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Power and Authority; Due Authorization</w:t>
      </w:r>
      <w:r>
        <w:rPr>
          <w:rFonts w:ascii="Times New Roman" w:hAnsi="Times New Roman"/>
          <w:sz w:val="20"/>
        </w:rPr>
        <w:t xml:space="preserve">. Such Person (i) has all necessary limited liability company power and authority to (A) execute and deliver this Agreement and the other Transaction Documents to which it is a party, (B) perform its obligations under this Agreement and the other Transaction Documents to which it is a party and (C) grant a security interest in the Collateral to the Administrative Agent on the terms and subject to the conditions herein provided and (ii) has duly authorized by all necessary limited liability company action such grant and the execution, delivery and performance of, and the consummation of the transactions provided for in, this Agreement and the other Transaction Documents to which it is a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Binding Obligations</w:t>
      </w:r>
      <w:r>
        <w:rPr>
          <w:rFonts w:ascii="Times New Roman" w:hAnsi="Times New Roman"/>
          <w:sz w:val="20"/>
        </w:rPr>
        <w:t xml:space="preserve">. This Agreement and each of the other Transaction Documents to which such Person is a party constitutes legal, valid and binding obligations of such Person, enforceable against such Person in accordance with their respective terms,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Conflict or Violation</w:t>
      </w:r>
      <w:r>
        <w:rPr>
          <w:rFonts w:ascii="Times New Roman" w:hAnsi="Times New Roman"/>
          <w:sz w:val="20"/>
        </w:rPr>
        <w:t xml:space="preserve">. The execution, delivery and performance of, and the consummation of the transactions contemplated by, this Agreement and the other Transaction Documents to which such Person is a party, and the fulfillment of the terms hereof and thereof, will not (i) conflict with, result in any breach of any of the terms or provisions of, or constitute (with or without notice or lapse of time or both) a default under its organizational documents or any indenture, sale agreement, credit agreement (including the Credit Agreement), loan agreement, security agreement, mortgage, deed of trust, or other agreement or instrument to which such Person is a party or by which it or any of its properties is bound, (ii) result in the creation or imposition of any Adverse Claim upon any of the Collateral pursuant to the terms of any such indenture, credit agreement (including the Credit Agreement), loan agreement, security agreement, mortgage, deed of trust, or other agreement or instrument other than this Agreement and the other Transaction Documents or (iii) conflict with or violate any Applicable Law applicable to such Person or any of its properties, except to the extent that any such violation of Applicable Law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Litigation and Other Proceedings</w:t>
      </w:r>
      <w:r>
        <w:rPr>
          <w:rFonts w:ascii="Times New Roman" w:hAnsi="Times New Roman"/>
          <w:sz w:val="20"/>
        </w:rPr>
        <w:t xml:space="preserve">. (i) There is no action, suit, proceeding or investigation pending or, to the knowledge of such Person, threatened, against such Person before any Governmental Authority and (ii) such Person is not subject to any order, judgment, decree, injunction, stipulation or consent order of or with any Governmental Authority that, in the case of either of the foregoing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 asserts the invalidity of this Agreement or any other Transaction Document, (B) seeks to prevent the grant of a security interest in any Collateral by such Person to the Administrative Agent, the ownership or acquisition by such Person of any Pool Receivable or other Collateral or the consummation of any of the transactions contemplated by this Agreement or any other Transaction Document, (C) seeks any determination or ruling that could materially and adversely affect the performance by such Person of its obligations under, or the validity or enforceability of, this Agreement or any other Transaction Document or (D) individually or in the aggregate for all such actions, suits, proceedings and investigations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Governmental Approvals</w:t>
      </w:r>
      <w:r>
        <w:rPr>
          <w:rFonts w:ascii="Times New Roman" w:hAnsi="Times New Roman"/>
          <w:sz w:val="20"/>
        </w:rPr>
        <w:t xml:space="preserve">. Except where the failure to obtain or make such authorization, consent, order, approval or action could not reasonably be expected to have a Material Adverse Effect, all authorizations, consents, orders and approvals of, or other actions by, any Governmental Authority that are required to be obtained by such Person in connection with the grant of a security interest in the Collateral to the Administrative Agent hereunder or the due execution, delivery and performance by such Person of this Agreement or any other Transaction Document to which it is a party and the consummation by such Person of the transactions contemplated by this Agreement and the other Transaction Documents to which it is a party have been obtained or made and are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Margin Regulations</w:t>
      </w:r>
      <w:r>
        <w:rPr>
          <w:rFonts w:ascii="Times New Roman" w:hAnsi="Times New Roman"/>
          <w:sz w:val="20"/>
        </w:rPr>
        <w:t xml:space="preserve">. Such Person is not engaged, principally or as one of its important activities, in the business of extending credit for the purpose of purchasing or carrying margin stock (within the meanings of Regulations T, U and X of the Board of Governors of the Federal Reserve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Solvency</w:t>
      </w:r>
      <w:r>
        <w:rPr>
          <w:rFonts w:ascii="Times New Roman" w:hAnsi="Times New Roman"/>
          <w:sz w:val="20"/>
        </w:rPr>
        <w:t xml:space="preserve">. After giving effect to the transactions contemplated by this Agreement and the other Transaction Documents, the Borrowers, on a combined basis, are Solvent.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Offices; Legal Name</w:t>
      </w:r>
      <w:r>
        <w:rPr>
          <w:rFonts w:ascii="Times New Roman" w:hAnsi="Times New Roman"/>
          <w:sz w:val="20"/>
        </w:rPr>
        <w:t xml:space="preserve">. Such Person’s sole jurisdiction of organization is the State of Delaware and such jurisdiction has not changed within four months prior to the date of this Agreement. The office and legal name of such is set forth on </w:t>
      </w:r>
      <w:r>
        <w:rPr>
          <w:rFonts w:ascii="Times New Roman" w:hAnsi="Times New Roman"/>
          <w:sz w:val="20"/>
          <w:u w:val="single"/>
        </w:rPr>
        <w:t>Schedule III</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Investment Company Act; Volcker Rule</w:t>
      </w:r>
      <w:r>
        <w:rPr>
          <w:rFonts w:ascii="Times New Roman" w:hAnsi="Times New Roman"/>
          <w:sz w:val="20"/>
        </w:rPr>
        <w:t xml:space="preserve">. Such Person (i) is not, and is not controlled by, an “investment company” registered or required to be registered under the Investment Company Act and (ii) is not a “covered fund” under the Volcker Rule. In determining that such Person is not a “covered fund” under the Volcker Rule, such Person relies on, and is entitled to rely on, the exemption from the definition of “investment company” set forth in Section 3(c)(5) of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No Material Adverse Effect</w:t>
      </w:r>
      <w:r>
        <w:rPr>
          <w:rFonts w:ascii="Times New Roman" w:hAnsi="Times New Roman"/>
          <w:sz w:val="20"/>
        </w:rPr>
        <w:t xml:space="preserve">. Since the date of formation of such Person there has been no Material Adverse Effect with respect to such Person.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Accuracy of Information</w:t>
      </w:r>
      <w:r>
        <w:rPr>
          <w:rFonts w:ascii="Times New Roman" w:hAnsi="Times New Roman"/>
          <w:sz w:val="20"/>
        </w:rPr>
        <w:t xml:space="preserve">. All Information Packages, Interim Reports, Loan Requests, certificates, reports, statements and other documents furnished to the Administrative Agent or any other Credit Party by or on behalf of such Person pursuant to any provision of this Agreement or any other Transaction Document, or in connection with or pursuant to any amendment or modification of, or waiver under, this Agreement or any other Transaction Document, is, at the time the same are so furnished, complete and correct in all material respects on the date the same are furnished to the Administrative Agent or such other Credit Party, and does not contain any material misstatement of fact or omit to state a material fact or any fact necessary to make the statements contained therein, in light of the circumstances in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Sanctions and International Trade Laws</w:t>
      </w:r>
      <w:r>
        <w:rPr>
          <w:rFonts w:ascii="Times New Roman" w:hAnsi="Times New Roman"/>
          <w:sz w:val="20"/>
        </w:rPr>
        <w:t xml:space="preserve">. Each Covered Entity, and its directors and officers, and any employee, agent, or affiliate acting on behalf of such Covered Entity: (i) is not a Sanctioned Person; (ii) does not do any business in or with, or derive any of its operating income from direct or indirect investments in or transactions involving, any Sanctioned Jurisdiction or Sanctioned Person; and (iii) is not in violation of, and has not, during the past five (5) years, directly or indirectly, taken any act that could cause any Covered Entity to be in violation of applicable International Trade Laws. No Covered Entity nor any of its directors, officers, employees, or to the knowledge of any Borrower-Related Party, its agents or affiliates acting on behalf of such Covered Entity has, during the past five (5) years, received any notice or communication from any Person that alleges, or has been involved in an internal investigation involving any allegations relating to, potential violation of any International Trade Laws, or has received a request for information from any Governmental Authority regarding International Trade Law matters. Each Covered Entity has instituted and maintains policies and procedures reasonably designed to ensure compliance with applicable International Trade Laws. No Collateral constitutes Blocked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Perfection Representations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creates a valid and continuing security interest (as defined in the applicable UCC) in such Person’s right, title and interest in, to and under the Collateral which (A) security interest has been perfected and is enforceable against creditors of and purchasers from such Person and (B) will be free of all Adverse Claims in such Collateral. </w:t>
      </w:r>
    </w:p>
    <w:p>
      <w:pPr>
        <w:pStyle w:val="TextBody"/>
        <w:bidi w:val="0"/>
        <w:spacing w:before="120" w:after="0"/>
        <w:jc w:val="left"/>
        <w:rPr>
          <w:rFonts w:ascii="Times New Roman" w:hAnsi="Times New Roman"/>
          <w:sz w:val="20"/>
        </w:rPr>
      </w:pPr>
      <w:r>
        <w:rPr>
          <w:rFonts w:ascii="Times New Roman" w:hAnsi="Times New Roman"/>
          <w:sz w:val="20"/>
        </w:rPr>
        <w:t xml:space="preserve">(ii) The Receivables constitute “accounts” or “general intangibles” within the meaning of Section 9-102 of the UCC. </w:t>
      </w:r>
    </w:p>
    <w:p>
      <w:pPr>
        <w:pStyle w:val="TextBody"/>
        <w:bidi w:val="0"/>
        <w:spacing w:before="120" w:after="0"/>
        <w:jc w:val="left"/>
        <w:rPr>
          <w:rFonts w:ascii="Times New Roman" w:hAnsi="Times New Roman"/>
          <w:sz w:val="20"/>
        </w:rPr>
      </w:pPr>
      <w:r>
        <w:rPr>
          <w:rFonts w:ascii="Times New Roman" w:hAnsi="Times New Roman"/>
          <w:sz w:val="20"/>
        </w:rPr>
        <w:t xml:space="preserve">(iii) The Borrowers own and have good and marketable title to the Collateral free and clear of any Adverse Claim of any Person, other than Permitted Adverse Claims. </w:t>
      </w:r>
    </w:p>
    <w:p>
      <w:pPr>
        <w:pStyle w:val="TextBody"/>
        <w:bidi w:val="0"/>
        <w:spacing w:before="120" w:after="0"/>
        <w:jc w:val="left"/>
        <w:rPr>
          <w:rFonts w:ascii="Times New Roman" w:hAnsi="Times New Roman"/>
          <w:sz w:val="20"/>
        </w:rPr>
      </w:pPr>
      <w:r>
        <w:rPr>
          <w:rFonts w:ascii="Times New Roman" w:hAnsi="Times New Roman"/>
          <w:sz w:val="20"/>
        </w:rPr>
        <w:t xml:space="preserve">(iv) All appropriate financing statements, financing statement amendments and continuation statements have been filed in the proper filing office in the appropriate jurisdictions under Applicable Law in order to perfect (and continue the perfection of) the sale and contribution of the Receivables and Related Security from each applicable Originator to such Person pursuant to the applicable Purchase and Sale Agreements and the grant by such Person of a security interest in the Collateral to the Administrative Agent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 Other than the security interest granted to the Administrative Agent pursuant to this Agreement, such Person has not pledged, assigned, sold, granted a security interest in, or otherwise conveyed any of the Collateral except as permitted by this Agreement and the other Transaction Documents. Such Person has not authorized the filing of and is not aware of any financing statements filed against such Person that include a description of collateral covering the Collateral other than any financing statement (i) in favor of the Administrative Agent or (ii) that has been terminated. Such Person is not aware of any judgment lien, ERISA lien or tax lien filings against such Person. </w:t>
      </w:r>
    </w:p>
    <w:p>
      <w:pPr>
        <w:pStyle w:val="TextBody"/>
        <w:bidi w:val="0"/>
        <w:spacing w:before="120" w:after="0"/>
        <w:jc w:val="left"/>
        <w:rPr>
          <w:rFonts w:ascii="Times New Roman" w:hAnsi="Times New Roman"/>
          <w:sz w:val="20"/>
        </w:rPr>
      </w:pPr>
      <w:r>
        <w:rPr>
          <w:rFonts w:ascii="Times New Roman" w:hAnsi="Times New Roman"/>
          <w:sz w:val="20"/>
        </w:rPr>
        <w:t xml:space="preserve">(vi) Notwithstanding any other provision of this Agreement or any other Transaction Document, the representations contained in this </w:t>
      </w:r>
      <w:r>
        <w:rPr>
          <w:rFonts w:ascii="Times New Roman" w:hAnsi="Times New Roman"/>
          <w:sz w:val="20"/>
          <w:u w:val="single"/>
        </w:rPr>
        <w:t>Section 7.01(o)</w:t>
      </w:r>
      <w:r>
        <w:rPr>
          <w:rFonts w:ascii="Times New Roman" w:hAnsi="Times New Roman"/>
          <w:sz w:val="20"/>
        </w:rPr>
        <w:t xml:space="preserve"> shall be continuing and remain in full force and effect until the Final Payout Date.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The Lock-Boxes, Mail-Boxes and Collection Accounts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Nature of Collection Accounts</w:t>
      </w:r>
      <w:r>
        <w:rPr>
          <w:rFonts w:ascii="Times New Roman" w:hAnsi="Times New Roman"/>
          <w:sz w:val="20"/>
        </w:rPr>
        <w:t xml:space="preserve">. Each Collection Account constitutes a “deposit account” within the meaning of the applicable UCC.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Ownership</w:t>
      </w:r>
      <w:r>
        <w:rPr>
          <w:rFonts w:ascii="Times New Roman" w:hAnsi="Times New Roman"/>
          <w:sz w:val="20"/>
        </w:rPr>
        <w:t xml:space="preserve">. Each Lock-Box and Collection Account is in the name of a Borrower, and the Borrowers own and have good and marketable title to the Collection Accounts free and clear of any Adverse Claim, other than Permitted Adverse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Perfection</w:t>
      </w:r>
      <w:r>
        <w:rPr>
          <w:rFonts w:ascii="Times New Roman" w:hAnsi="Times New Roman"/>
          <w:sz w:val="20"/>
        </w:rPr>
        <w:t xml:space="preserve">. The Borrowers have delivered to the Administrative Agent a fully executed Account Control Agreement relating to each Lock-Box and Collection Account, pursuant to which each applicable Collection Account Bank has agreed to comply with the instructions originated by the Administrative Agent directing the disposition of funds in such Lock-Box and Collection Account without further consent by any Borrower, the Servicer or any other Person. The Administrative Agent has “control” (as defined in Section 9-104 of the UCC) over each Collection Account.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Instructions</w:t>
      </w:r>
      <w:r>
        <w:rPr>
          <w:rFonts w:ascii="Times New Roman" w:hAnsi="Times New Roman"/>
          <w:sz w:val="20"/>
        </w:rPr>
        <w:t xml:space="preserve">. Neither the Lock-Boxes nor the Collection Accounts are in the name of any Person other than a Borrower. Neither the Borrowers nor the Servicer have consented to the applicable Collection Account Bank complying with instructions of any Person other than the Administrative Agent. Neither the Borrowers nor the Servicer have instructed any Person (other than any Lamar Party) to distribute any Collections remitted to any Mail-Box and no Lamar Party is aware of any Person (other than any Lamar Party) distributing Collections remitted to any Mail-Box. Each Mail-Box is an address of the Servicer or an Originator.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Ordinary Course of Business</w:t>
      </w:r>
      <w:r>
        <w:rPr>
          <w:rFonts w:ascii="Times New Roman" w:hAnsi="Times New Roman"/>
          <w:sz w:val="20"/>
        </w:rPr>
        <w:t xml:space="preserve">. Each remittance of Collections by or on behalf of such Person to the Credit Parties under this Agreement will have been (i) in payment of a debt incurred by such Person in the ordinary course of business or financial affairs of such Person and (ii) made in the ordinary course of business or financial affairs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Compliance with Law</w:t>
      </w:r>
      <w:r>
        <w:rPr>
          <w:rFonts w:ascii="Times New Roman" w:hAnsi="Times New Roman"/>
          <w:sz w:val="20"/>
        </w:rPr>
        <w:t xml:space="preserve">. Such Person has complied in all material respects with all Applicable Laws to which it may be subject.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Bulk Sales Act</w:t>
      </w:r>
      <w:r>
        <w:rPr>
          <w:rFonts w:ascii="Times New Roman" w:hAnsi="Times New Roman"/>
          <w:sz w:val="20"/>
        </w:rPr>
        <w:t xml:space="preserve">. No transaction contemplated by this Agreement requires compliance by it with any bulk sales act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Eligible Receivables</w:t>
      </w:r>
      <w:r>
        <w:rPr>
          <w:rFonts w:ascii="Times New Roman" w:hAnsi="Times New Roman"/>
          <w:sz w:val="20"/>
        </w:rPr>
        <w:t xml:space="preserve">. Each Receivable included as an Eligible Receivable in the calculation of the Net Receivables Pool Balance as of any date is an Eligible Receivable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Taxes</w:t>
      </w:r>
      <w:r>
        <w:rPr>
          <w:rFonts w:ascii="Times New Roman" w:hAnsi="Times New Roman"/>
          <w:sz w:val="20"/>
        </w:rPr>
        <w:t xml:space="preserve">. Such Person has (i) timely filed all tax returns (federal, state and local) required to be filed by it and (ii) paid, or caused to be paid, all taxes, assessments and other governmental charges, if any, other than taxes, assessments and other governmental charges being contested in good faith by appropriate proceedings and as to which adequate reserves have been provided in accordance with GAAP, except in the case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above, where failure to do so could not reasonably be expected to have a Materially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Tax Status</w:t>
      </w:r>
      <w:r>
        <w:rPr>
          <w:rFonts w:ascii="Times New Roman" w:hAnsi="Times New Roman"/>
          <w:sz w:val="20"/>
        </w:rPr>
        <w:t xml:space="preserve">. Such Person (i) is, and shall at all relevant times continue to be, a “disregarded entity” within the meaning of U.S. Treasury Regulation § 301.7701-3 for U.S. federal income tax purposes that is wholly owned by a “United States person” (within the meaning of Section 7701(a)(30) of the Code) and (ii) is not and will not at any relevant time become an association (or publicly traded partnership) taxable as a corporation for U.S. federal income tax purposes. Such Person is not subject to any Tax in any jurisdiction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Opinions</w:t>
      </w:r>
      <w:r>
        <w:rPr>
          <w:rFonts w:ascii="Times New Roman" w:hAnsi="Times New Roman"/>
          <w:sz w:val="20"/>
        </w:rPr>
        <w:t xml:space="preserve">. The facts regarding each Lamar Party, the Receivables, the Related Security and the related matters set forth or assumed in each of the opinions of counsel delivered in connection with this Agreement and the Transaction Documents are true and correct in all material respects.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Other Transaction Documents</w:t>
      </w:r>
      <w:r>
        <w:rPr>
          <w:rFonts w:ascii="Times New Roman" w:hAnsi="Times New Roman"/>
          <w:sz w:val="20"/>
        </w:rPr>
        <w:t xml:space="preserve">. Each representation and warranty made by such Person under each other Transaction Document to which it is a party is true and correct in all material respects as of the date when made.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Liquidity Coverage Ratio</w:t>
      </w:r>
      <w:r>
        <w:rPr>
          <w:rFonts w:ascii="Times New Roman" w:hAnsi="Times New Roman"/>
          <w:sz w:val="20"/>
        </w:rPr>
        <w:t xml:space="preserve">. Such Person has not, does not and will not during this Agreement issue any LCR Security. Such Person further represents and warrants that its assets and liabilities are consolidated with the assets and liabilities of Parent for purposes of GAAP. </w:t>
      </w:r>
    </w:p>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Anti-Corruption Laws</w:t>
      </w:r>
      <w:r>
        <w:rPr>
          <w:rFonts w:ascii="Times New Roman" w:hAnsi="Times New Roman"/>
          <w:sz w:val="20"/>
        </w:rPr>
        <w:t xml:space="preserve">. Each Covered Entity, and its directors and officers, and any employee, agent, or affiliate acting on behalf of such Covered Entity, is not in violation of, and has not, during the past five (5) years, directly or indirectly, taken any act that could cause any Covered Entity to be in violation of Anti-Corruption Laws, including any act in furtherance of an offer, payment, promise to pay, authorization, or ratification of payment, directly or indirectly, of any money or anything of value (including any gift, sample, rebate, travel, meal and lodging expense, entertainment, service, equipment, debt forgiveness, donation, grant or other thing of value, however characterized) to any Government Official or any Person to secure any improper advantage or to obtain or retain business. No Covered Entity nor any of its directors, officers, employees, or to the knowledge of any Borrower-Related Party, its agents or affiliates acting on behalf of such Covered Entity has, during the past five (5) years, received any notice or communication from any Person that alleges, or has been involved in an internal investigation involving any allegations relating to, potential violation of any Anti-Corruption Laws, or has received a request for information from any Governmental Authority regarding Anti-Corruption Law matters. Each Covered Entity has instituted and maintains policies and procedures reasonably designed to ensure compliance with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(aa) </w:t>
      </w:r>
      <w:r>
        <w:rPr>
          <w:rFonts w:ascii="Times New Roman" w:hAnsi="Times New Roman"/>
          <w:sz w:val="20"/>
          <w:u w:val="single"/>
        </w:rPr>
        <w:t>Reaffirmation of Representations and Warranties</w:t>
      </w:r>
      <w:r>
        <w:rPr>
          <w:rFonts w:ascii="Times New Roman" w:hAnsi="Times New Roman"/>
          <w:i/>
          <w:sz w:val="20"/>
        </w:rPr>
        <w:t xml:space="preserve">. </w:t>
      </w:r>
      <w:r>
        <w:rPr>
          <w:rFonts w:ascii="Times New Roman" w:hAnsi="Times New Roman"/>
          <w:sz w:val="20"/>
        </w:rPr>
        <w:t xml:space="preserve">On the date of each Credit Extension, on the date of each Release, on each Settlement Date and on the date each Information Package, Interim Report or other report is delivered to the Administrative Agent or any Lender hereunder, each Borrower shall be deemed to have certified that (i) all representations and warranties of such Person hereunder are true and correct in all material respects on and as of such day as though made on and as of such day, except for representations and warranties which apply as to an earlier date (in which case such representations and warranties shall be true and correct in all material respects as of such date) and (ii) no Event of Default or an Unmatured Event of Default has occurred and is continuing or will result from such Credit Extension or Release.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Agreement or any other Transaction Document, the representations and warranties contained in this Section shall be continuing, and remain in full force and effect until the Final Payout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Representations and Warranties of the Servicer</w:t>
      </w:r>
      <w:r>
        <w:rPr>
          <w:rFonts w:ascii="Times New Roman" w:hAnsi="Times New Roman"/>
          <w:sz w:val="20"/>
        </w:rPr>
        <w:t xml:space="preserve">. The Servicer represents and warrants to each Credit Party as of the Closing Date, on each Settlement Date and on each day that a Credit Extension or Release shall have occurred: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 and Good Standing</w:t>
      </w:r>
      <w:r>
        <w:rPr>
          <w:rFonts w:ascii="Times New Roman" w:hAnsi="Times New Roman"/>
          <w:sz w:val="20"/>
        </w:rPr>
        <w:t xml:space="preserve">. The Servicer is a duly organized and validly existing corporation in good standing under the laws of the State of Delaware, with the power and authority under its organizational documents and under the laws of the State of Delaware to own its properties and to conduct its business as such properties are currently owned and such business is presently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Due Qualification.</w:t>
      </w:r>
      <w:r>
        <w:rPr>
          <w:rFonts w:ascii="Times New Roman" w:hAnsi="Times New Roman"/>
          <w:sz w:val="20"/>
        </w:rPr>
        <w:t xml:space="preserve"> The Servicer is duly qualified to do business, is in good standing as a foreign entity and has obtained all necessary licenses and approvals in all jurisdictions in which the conduct of its business or the servicing of the Pool Receivables as required by this Agreement requires such qualification, licenses or approvals, except where the failure to do so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Power and Authority; Due Authorization.</w:t>
      </w:r>
      <w:r>
        <w:rPr>
          <w:rFonts w:ascii="Times New Roman" w:hAnsi="Times New Roman"/>
          <w:sz w:val="20"/>
        </w:rPr>
        <w:t xml:space="preserve"> The Servicer has all necessary power and authority to (i) execute and deliver this Agreement and the other Transaction Documents to which it is a party and (ii) perform its obligations under this Agreement and the other Transaction Documents to which it is a party and the execution, delivery and performance of, and the consummation of the transactions provided for in, this Agreement and the other Transaction Documents to which it is a party have been duly authorized by the Servicer by all necessary action.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Binding Obligations.</w:t>
      </w:r>
      <w:r>
        <w:rPr>
          <w:rFonts w:ascii="Times New Roman" w:hAnsi="Times New Roman"/>
          <w:sz w:val="20"/>
        </w:rPr>
        <w:t xml:space="preserve"> This Agreement and each of the other Transaction Documents to which it is a party constitutes legal, valid and binding obligations of the Servicer, enforceable against the Servicer in accordance with their respective terms,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Conflict or Violation.</w:t>
      </w:r>
      <w:r>
        <w:rPr>
          <w:rFonts w:ascii="Times New Roman" w:hAnsi="Times New Roman"/>
          <w:sz w:val="20"/>
        </w:rPr>
        <w:t xml:space="preserve"> The execution and delivery of this Agreement and each other Transaction Document to which the Servicer is a party, the performance of the transactions contemplated by this Agreement and the other Transaction Documents and the fulfillment of the terms of this Agreement and the other Transaction Documents by the Servicer will not (i) conflict with, result in any breach of any of the terms or provisions of, or constitute (with or without notice or lapse of time or both) a default under, the organizational documents of the Servicer or any indenture, sale agreement, credit agreement (including the Credit Agreement), loan agreement, security agreement, mortgage, deed of trust or other agreement or instrument to which the Servicer is a party or by which it or any of its property is bound, (ii) result in the creation or imposition of any Adverse Claim upon any of its properties pursuant to the terms of any such indenture, credit agreement (including the Credit Agreement), loan agreement, security agreement, mortgage, deed of trust or other agreement or instrument, other than this Agreement and the other Transaction Documents or (iii) conflict with or violate any Applicable Law applicable to the Servicer or any of its properties, except to the extent that any such conflict, breach, default, Adverse Claim or violation could not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Litigation and Other Proceedings.</w:t>
      </w:r>
      <w:r>
        <w:rPr>
          <w:rFonts w:ascii="Times New Roman" w:hAnsi="Times New Roman"/>
          <w:sz w:val="20"/>
        </w:rPr>
        <w:t xml:space="preserve"> There is no action, suit, proceeding or investigation pending, or to the Servicer’s knowledge threatened, against the Servicer before any Governmental Authority: (i) asserting the invalidity of this Agreement or any of the other Transaction Documents; (ii) seeking to prevent the consummation of any of the transactions contemplated by this Agreement or any other Transaction Document; (iii) seeking any determination or ruling that could materially and adversely affect the performance by the Servicer of its obligations under, or the validity or enforceability of, this Agreement or any of the other Transaction Documents; or (iv) that individually or in the aggregate for all such actions, suits, proceedings and investigations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Consents.</w:t>
      </w:r>
      <w:r>
        <w:rPr>
          <w:rFonts w:ascii="Times New Roman" w:hAnsi="Times New Roman"/>
          <w:sz w:val="20"/>
        </w:rPr>
        <w:t xml:space="preserve"> The Servicer is not required to obtain the consent of any other party or any consent, license, approval, registration, authorization or declaration of or with any Governmental Authority in connection with the execution, delivery, or performance of this Agreement or any other Transaction Document to which it is a party that has not already been obtained, except where the failure to obtain such consent, license, approval, registration, authorization or declaration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Compliance with Applicable Law</w:t>
      </w:r>
      <w:r>
        <w:rPr>
          <w:rFonts w:ascii="Times New Roman" w:hAnsi="Times New Roman"/>
          <w:sz w:val="20"/>
        </w:rPr>
        <w:t xml:space="preserve">. The Servicer (i) shall duly satisfy all obligations on its part to be fulfilled under or in connection with the Pool Receivables and the related Contracts, (ii) has maintained in effect all qualifications required under Applicable Law in order to properly service the Pool Receivables and (iii) has complied in all material respects with all Applicable Laws in connection with servicing the Pool Receivables, except, in each case, where failure to so maintain or comply could not reasonably be expected to have a Material Adverse Effect .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Accuracy of Information.</w:t>
      </w:r>
      <w:r>
        <w:rPr>
          <w:rFonts w:ascii="Times New Roman" w:hAnsi="Times New Roman"/>
          <w:sz w:val="20"/>
        </w:rPr>
        <w:t xml:space="preserve"> All Information Packages, Interim Reports, Loan Requests, certificates, reports, statements and other documents furnished to the Administrative Agent or any other Credit Party by the Servicer pursuant to any provision of this Agreement or any other Transaction Document, or in connection with or pursuant to any amendment or modification of, or waiver under, this Agreement or any other Transaction Document, is, at the time the same are so furnished, complete and correct in all material respects on the date the same are furnished to the Administrative Agent or such other Credit Party, and does not contain any material misstatement of fact or omit to state a material fact or any fact necessary to make the statements contained therein, in light of the circumstances in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Location of Records.</w:t>
      </w:r>
      <w:r>
        <w:rPr>
          <w:rFonts w:ascii="Times New Roman" w:hAnsi="Times New Roman"/>
          <w:sz w:val="20"/>
        </w:rPr>
        <w:t xml:space="preserve"> The offices where the initial Servicer keeps all of its records relating to the servicing of the Pool Receivables are located at the Servicer’s address specified on </w:t>
      </w:r>
      <w:r>
        <w:rPr>
          <w:rFonts w:ascii="Times New Roman" w:hAnsi="Times New Roman"/>
          <w:sz w:val="20"/>
          <w:u w:val="single"/>
        </w:rPr>
        <w:t>Schedule 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Credit and Collection Policy.</w:t>
      </w:r>
      <w:r>
        <w:rPr>
          <w:rFonts w:ascii="Times New Roman" w:hAnsi="Times New Roman"/>
          <w:sz w:val="20"/>
        </w:rPr>
        <w:t xml:space="preserve"> The Servicer has complied in all material respects with the Credit and Collection Policy with regard to each Pool Receivable and the related Contracts.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Eligible Receivables</w:t>
      </w:r>
      <w:r>
        <w:rPr>
          <w:rFonts w:ascii="Times New Roman" w:hAnsi="Times New Roman"/>
          <w:sz w:val="20"/>
        </w:rPr>
        <w:t xml:space="preserve">. Each Receivable included as an Eligible Receivable in the calculation of the Net Receivables Pool Balance as of any date is an Eligible Receivable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Servicing Programs</w:t>
      </w:r>
      <w:r>
        <w:rPr>
          <w:rFonts w:ascii="Times New Roman" w:hAnsi="Times New Roman"/>
          <w:sz w:val="20"/>
        </w:rPr>
        <w:t xml:space="preserve">. No license or approval is required for the Administrative Agent’s use of any software or other computer program used by the Servicer, any Originator or any Sub-Servicer in the servicing of the Pool Receivables, other than those which have been obtained and are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Servicing of Pool Receivables</w:t>
      </w:r>
      <w:r>
        <w:rPr>
          <w:rFonts w:ascii="Times New Roman" w:hAnsi="Times New Roman"/>
          <w:sz w:val="20"/>
        </w:rPr>
        <w:t xml:space="preserve">. Since the Closing Date there has been no material adverse change in the ability of the Servicer or any Sub-Servicer to service and collect the Pool Receivables and the Related Security.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Other Transaction Documents</w:t>
      </w:r>
      <w:r>
        <w:rPr>
          <w:rFonts w:ascii="Times New Roman" w:hAnsi="Times New Roman"/>
          <w:sz w:val="20"/>
        </w:rPr>
        <w:t xml:space="preserve">. Each representation and warranty made by the Servicer under each other Transaction Document to which it is a party (including, without limitation, the Purchase and Sale Agreement) is true and correct in all material respects as of the date when made.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No Material Adverse Effect</w:t>
      </w:r>
      <w:r>
        <w:rPr>
          <w:rFonts w:ascii="Times New Roman" w:hAnsi="Times New Roman"/>
          <w:sz w:val="20"/>
        </w:rPr>
        <w:t xml:space="preserve">. Since December 31, 2017, there has been no Material Adverse Effect on the Servicer.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Investment Company Act</w:t>
      </w:r>
      <w:r>
        <w:rPr>
          <w:rFonts w:ascii="Times New Roman" w:hAnsi="Times New Roman"/>
          <w:sz w:val="20"/>
        </w:rPr>
        <w:t xml:space="preserve">. The Servicer is not an “investment company,” or a company “controlled” by an “investment company,” within the meaning of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Sanctions and International Trade Laws</w:t>
      </w:r>
      <w:r>
        <w:rPr>
          <w:rFonts w:ascii="Times New Roman" w:hAnsi="Times New Roman"/>
          <w:sz w:val="20"/>
        </w:rPr>
        <w:t xml:space="preserve">. Each Covered Entity, and its directors and officers, and any employee, agent, or affiliate acting on behalf of such Covered Entity: (i) is not a Sanctioned Person; (ii) does not do any business in or with, or derive any of its operating income from direct or indirect investments in or transactions involving, any Sanctioned Jurisdiction or Sanctioned Person; and (iii) is not in violation of, and has not, during the past five (5) years, directly or indirectly, taken any act that could cause any Covered Entity to be in violation of applicable International Trade Laws. No Covered Entity nor any of its directors, officers, employees, or to the knowledge of any Borrower-Related Party, its agents or affiliates acting on behalf of such Covered Entity has, during the past five (5) years, received any notice or communication from any Person that alleges, or has been involved in an internal investigation involving any allegations relating to, potential violation of any International Trade Laws, or has received a request for information from any Governmental Authority regarding International Trade Law matters. Each Covered Entity has instituted and maintains policies and procedures reasonably designed to ensure compliance with applicable International Trade Laws. No Collateral constitutes Blocked Property.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Financial Condition</w:t>
      </w:r>
      <w:r>
        <w:rPr>
          <w:rFonts w:ascii="Times New Roman" w:hAnsi="Times New Roman"/>
          <w:sz w:val="20"/>
        </w:rPr>
        <w:t xml:space="preserve">. The audited consolidated balance sheets of Holdings and its consolidated Subsidiaries as of December 31, 2017 and the related statements of income and shareholders’ equity of Holdings and its consolidated Subsidiaries for the fiscal year then ended, copies of which have been furnished to the Administrative Agent and the Lenders, present fairly in all material respects the consolidated financial position of Holdings and its consolidated Subsidiaries for the period ended on such date, all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Bulk Sales Act</w:t>
      </w:r>
      <w:r>
        <w:rPr>
          <w:rFonts w:ascii="Times New Roman" w:hAnsi="Times New Roman"/>
          <w:sz w:val="20"/>
        </w:rPr>
        <w:t xml:space="preserve">. No transaction contemplated by this Agreement requires compliance by it with any bulk sales act or similar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Taxes</w:t>
      </w:r>
      <w:r>
        <w:rPr>
          <w:rFonts w:ascii="Times New Roman" w:hAnsi="Times New Roman"/>
          <w:sz w:val="20"/>
        </w:rPr>
        <w:t xml:space="preserve">. The Servicer has (i) timely filed all tax returns (federal, state and local) required to be filed by it and (ii) paid, or caused to be paid, all taxes, assessments and other governmental charges, if any, other than taxes, assessments and other governmental charges being contested in good faith by appropriate proceedings and as to which adequate reserves have been provided in accordance with GAAP, except in the case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above, where the failure to do so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Opinions</w:t>
      </w:r>
      <w:r>
        <w:rPr>
          <w:rFonts w:ascii="Times New Roman" w:hAnsi="Times New Roman"/>
          <w:sz w:val="20"/>
        </w:rPr>
        <w:t xml:space="preserve">. The facts regarding each Lamar Party, the Receivables, the Related Security and the related matters set forth or assumed in each of the opinions of counsel delivered in connection with this Agreement and the Transaction Documents are true and correct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Permitted Disbursements</w:t>
      </w:r>
      <w:r>
        <w:rPr>
          <w:rFonts w:ascii="Times New Roman" w:hAnsi="Times New Roman"/>
          <w:sz w:val="20"/>
        </w:rPr>
        <w:t xml:space="preserve">. The aggregate amount of Permitted Disbursements as of the Closing Date does not exceed $35,000,000. </w:t>
      </w:r>
    </w:p>
    <w:p>
      <w:pPr>
        <w:pStyle w:val="TextBody"/>
        <w:bidi w:val="0"/>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Anti-Corruption Laws</w:t>
      </w:r>
      <w:r>
        <w:rPr>
          <w:rFonts w:ascii="Times New Roman" w:hAnsi="Times New Roman"/>
          <w:sz w:val="20"/>
        </w:rPr>
        <w:t xml:space="preserve">. Each Covered Entity, and its directors and officers, and any employee, agent, or affiliate acting on behalf of such Covered Entity, is not in violation of, and has not, during the past five (5) years, directly or indirectly, taken any act that could cause any Covered Entity to be in violation of Anti-Corruption Laws, including any act in furtherance of an offer, payment, promise to pay, authorization, or ratification of payment, directly or indirectly, of any money or anything of value (including any gift, sample, rebate, travel, meal and lodging expense, entertainment, service, equipment, debt forgiveness, donation, grant or other thing of value, however characterized) to any Government Official or any Person to secure any improper advantage or to obtain or retain business. No Covered Entity nor any of its directors, officers, employees, or to the knowledge of any Borrower-Related Party, its agents or affiliates acting on behalf of such Covered Entity has, during the past five (5) years, received any notice or communication from any Person that alleges, or has been involved in an internal investigation involving any allegations relating to, potential violation of any Anti-Corruption Laws, or has received a request for information from any Governmental Authority regarding Anti-Corruption Law matters. Each Covered Entity has instituted and maintains policies and procedures reasonably designed to ensure compliance with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Reaffirmation of Representations and Warranties</w:t>
      </w:r>
      <w:r>
        <w:rPr>
          <w:rFonts w:ascii="Times New Roman" w:hAnsi="Times New Roman"/>
          <w:i/>
          <w:sz w:val="20"/>
        </w:rPr>
        <w:t xml:space="preserve">. </w:t>
      </w:r>
      <w:r>
        <w:rPr>
          <w:rFonts w:ascii="Times New Roman" w:hAnsi="Times New Roman"/>
          <w:sz w:val="20"/>
        </w:rPr>
        <w:t xml:space="preserve">On the date of each Credit Extension, on the date of each Release, on each Settlement Date and on the date each Information Package, Interim Report or other report is delivered to the Administrative Agent or any Lender hereunder, the Servicer shall be deemed to have certified that (i) all representations and warranties of the Servicer hereunder are true and correct in all material respects on and as of such day as though made on and as of such day, except for representations and warranties which apply as to an earlier date (in which case such representations and warranties shall be true and correct in all material respects as of such date) and (ii) no Event of Default or an Unmatured Event of Default has occurred and is continuing or will result from such Credit Extension or Release.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Agreement or any other Transaction Document, the representations and warranties contained in this Section shall be continuing, and remain in full force and effect until the Final Payout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12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Covenants of the Borrowers</w:t>
      </w:r>
      <w:r>
        <w:rPr>
          <w:rFonts w:ascii="Times New Roman" w:hAnsi="Times New Roman"/>
          <w:sz w:val="20"/>
        </w:rPr>
        <w:t xml:space="preserve">. At all times from the Closing Date until the Final Payout Date: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 of Principal and Interest</w:t>
      </w:r>
      <w:r>
        <w:rPr>
          <w:rFonts w:ascii="Times New Roman" w:hAnsi="Times New Roman"/>
          <w:sz w:val="20"/>
        </w:rPr>
        <w:t xml:space="preserve">. Each Borrower shall duly and punctually pay Capital, Interest, Fees and all other amounts payable by such Borrower hereunder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Existence</w:t>
      </w:r>
      <w:r>
        <w:rPr>
          <w:rFonts w:ascii="Times New Roman" w:hAnsi="Times New Roman"/>
          <w:sz w:val="20"/>
        </w:rPr>
        <w:t xml:space="preserve">. Each Borrower shall keep in full force and effect its existence and rights as a limited liability company under the laws of the State of Delaware, and shall obtain and preserve its qualification to do business in each jurisdiction in which such qualification is or shall be necessary to protect the validity and enforceability of this Agreement, the other Transaction Documents and the Collateral, except where the failure to do so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Financial Reporting</w:t>
      </w:r>
      <w:r>
        <w:rPr>
          <w:rFonts w:ascii="Times New Roman" w:hAnsi="Times New Roman"/>
          <w:sz w:val="20"/>
        </w:rPr>
        <w:t xml:space="preserve">. Each Borrower will maintain a system of accounting established and administered in accordance with GAAP, and each Borrower (or the Servicer on their behalf) shall furnish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Annual Financial Statements of each Borrower</w:t>
      </w:r>
      <w:r>
        <w:rPr>
          <w:rFonts w:ascii="Times New Roman" w:hAnsi="Times New Roman"/>
          <w:i/>
          <w:sz w:val="20"/>
        </w:rPr>
        <w:t xml:space="preserve">. </w:t>
      </w:r>
      <w:r>
        <w:rPr>
          <w:rFonts w:ascii="Times New Roman" w:hAnsi="Times New Roman"/>
          <w:sz w:val="20"/>
        </w:rPr>
        <w:t xml:space="preserve">Promptly upon completion and in no event later than 120 days after the close of each fiscal year of each Borrower, annual unaudited financial statements of such Borrower certified by a Financial Officer of such Borrower that they fairly present in all material respects, in accordance with GAAP (subject to the absence of footnotes), the financial condition of such Borrower as of the date indicated and the results of its operations for the periods indicated.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Information Packages and Interim Reports</w:t>
      </w:r>
      <w:r>
        <w:rPr>
          <w:rFonts w:ascii="Times New Roman" w:hAnsi="Times New Roman"/>
          <w:sz w:val="20"/>
        </w:rPr>
        <w:t xml:space="preserve">. (A) Not later than two (2) Business Days prior to each Settlement Date, an Information Package as of the most recently completed Fiscal Month and (B) if a Ratings Event Level II has occurred, upon ten (10) Business Days’ prior written notice from the Administrative Agent, an Interim Report not later than the second Business Day of each calendar week with respect to the Pool Receivables with data as of the close of business on the last day of the immediately preceding calendar week.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Other Information</w:t>
      </w:r>
      <w:r>
        <w:rPr>
          <w:rFonts w:ascii="Times New Roman" w:hAnsi="Times New Roman"/>
          <w:i/>
          <w:sz w:val="20"/>
        </w:rPr>
        <w:t xml:space="preserve">. </w:t>
      </w:r>
      <w:r>
        <w:rPr>
          <w:rFonts w:ascii="Times New Roman" w:hAnsi="Times New Roman"/>
          <w:sz w:val="20"/>
        </w:rPr>
        <w:t xml:space="preserve">Such other information (including non-financial information) as the Administrative Agent or any Lender may from time to time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Quarterly Financial Statements of Holdings</w:t>
      </w:r>
      <w:r>
        <w:rPr>
          <w:rFonts w:ascii="Times New Roman" w:hAnsi="Times New Roman"/>
          <w:sz w:val="20"/>
        </w:rPr>
        <w:t xml:space="preserve">. As soon as available and in no event later than 60 days following the end of each of the first three fiscal quarters in each of Holdings’ fiscal years, (A) the unaudited consolidated balance sheet and statements of income of Holdings and its consolidated Subsidiaries as at the end of such fiscal quarter and the related unaudited consolidated statements of earnings and cash flows for such fiscal quarter and for the elapsed portion of the fiscal year ended with the last day of such fiscal quarter, in each case setting forth comparative figures for the corresponding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fiscal quarter in the prior fiscal year, all of which shall be certified by a Financial Officer of Holdings that they fairly present in all material respects, in accordance with GAAP, the financial condition of Holdings and its consolidated Subsidiaries as of the dates indicated and the results of their operations for the periods indicated, subject to normal year-end audit adjustments and the absence of footnotes and (B) management’s discussion and analysis of the important operational and financial developments during such fiscal quarter.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Annual Financial Statements of Holdings</w:t>
      </w:r>
      <w:r>
        <w:rPr>
          <w:rFonts w:ascii="Times New Roman" w:hAnsi="Times New Roman"/>
          <w:sz w:val="20"/>
        </w:rPr>
        <w:t xml:space="preserve">. Within 120 days after the close of each of Holdings’ fiscal years, the consolidated balance sheet of Holdings and its consolidated Subsidiaries as at the end of such fiscal year and the related consolidated statements of earnings and cash flows for such fiscal year setting forth comparative figures for the preceding fiscal year, all reported on by independent certified public accountants of recognized national standing (without (x) a “going concern” or like qualification or exception or (y) a qualification as to the scope of the audit) to the effect that such consolidated financial statements present fairly in all material respects, in accordance with GAAP, the financial condition of Holdings and its consolidated Subsidiaries as of the dates indicated and the results of their operations for the periods indicated.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Other Reports and Filings</w:t>
      </w:r>
      <w:r>
        <w:rPr>
          <w:rFonts w:ascii="Times New Roman" w:hAnsi="Times New Roman"/>
          <w:sz w:val="20"/>
        </w:rPr>
        <w:t xml:space="preserve">. Promptly (but in any event within ten days) after the filing or delivery thereof, copies of all financial information, proxy materials and reports, if any, which Holdings or any of its consolidated Subsidiaries shall publicly file with the SEC or deliver to holders (or any trustee, agent or other representative therefor) of any of its material Debt pursuant to the terms of the documentation governing the same. </w:t>
      </w:r>
    </w:p>
    <w:p>
      <w:pPr>
        <w:pStyle w:val="TextBody"/>
        <w:bidi w:val="0"/>
        <w:spacing w:before="120" w:after="0"/>
        <w:jc w:val="left"/>
        <w:rPr>
          <w:rFonts w:ascii="Times New Roman" w:hAnsi="Times New Roman"/>
          <w:sz w:val="20"/>
        </w:rPr>
      </w:pPr>
      <w:r>
        <w:rPr>
          <w:rFonts w:ascii="Times New Roman" w:hAnsi="Times New Roman"/>
          <w:sz w:val="20"/>
        </w:rPr>
        <w:t xml:space="preserve">(vii) Notwithstanding anything herein to the contrary, any financial information, proxy statements or other material required to be delivered pursuant to this </w:t>
      </w:r>
      <w:r>
        <w:rPr>
          <w:rFonts w:ascii="Times New Roman" w:hAnsi="Times New Roman"/>
          <w:sz w:val="20"/>
          <w:u w:val="single"/>
        </w:rPr>
        <w:t>clause (c)</w:t>
      </w:r>
      <w:r>
        <w:rPr>
          <w:rFonts w:ascii="Times New Roman" w:hAnsi="Times New Roman"/>
          <w:sz w:val="20"/>
        </w:rPr>
        <w:t xml:space="preserve"> shall be deemed to have been furnished to each of the Administrative Agent and each Lender (and the delivery requirement hereunder with respect to such financial information, proxy statement or other material shall be deemed satisfied) on the date that such report, proxy statement or other material is posted on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Notices</w:t>
      </w:r>
      <w:r>
        <w:rPr>
          <w:rFonts w:ascii="Times New Roman" w:hAnsi="Times New Roman"/>
          <w:sz w:val="20"/>
        </w:rPr>
        <w:t xml:space="preserve">. Each Borrower (or the Servicer on its behalf) will notify the Administrative Agent and each Lender in writing of any of the following events promptly upon (but in no event later than three (3) Business Days after) a Financial Officer or other officer learning of the occurrence thereof, with such notice describing the same, and if applicable, the steps being taken by the Person(s) affected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Notice of Events of Default or Unmatured Events of Default</w:t>
      </w:r>
      <w:r>
        <w:rPr>
          <w:rFonts w:ascii="Times New Roman" w:hAnsi="Times New Roman"/>
          <w:sz w:val="20"/>
        </w:rPr>
        <w:t xml:space="preserve">. A statement of a Financial Officer of such Borrower setting forth details of any Event of Default or Unmatured Event of Default that has occurred and is continuing and the action which such Borrower proposes to take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Representations and Warranties</w:t>
      </w:r>
      <w:r>
        <w:rPr>
          <w:rFonts w:ascii="Times New Roman" w:hAnsi="Times New Roman"/>
          <w:sz w:val="20"/>
        </w:rPr>
        <w:t xml:space="preserve">. The failure of any representation or warranty made or deemed to be made by such Borrower under this Agreement or any other Transaction Document to be true and correct in any material respect when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Litigation</w:t>
      </w:r>
      <w:r>
        <w:rPr>
          <w:rFonts w:ascii="Times New Roman" w:hAnsi="Times New Roman"/>
          <w:sz w:val="20"/>
        </w:rPr>
        <w:t xml:space="preserve">. The institution of any litigation, arbitration proceeding or governmental proceeding with respect to any Lamar Party, which with respect to any Person other than any Borrower, could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Adverse Claim</w:t>
      </w:r>
      <w:r>
        <w:rPr>
          <w:rFonts w:ascii="Times New Roman" w:hAnsi="Times New Roman"/>
          <w:i/>
          <w:sz w:val="20"/>
        </w:rPr>
        <w:t xml:space="preserve">. </w:t>
      </w:r>
      <w:r>
        <w:rPr>
          <w:rFonts w:ascii="Times New Roman" w:hAnsi="Times New Roman"/>
          <w:sz w:val="20"/>
        </w:rPr>
        <w:t xml:space="preserve">(A) Any Person shall obtain an Adverse Claim (other than a Permitted Adverse Claim) upon the Collateral or any material portion thereof, (B) any Person other than any Borrower, the Servicer or the Administrative Agent shall obtain any rights or direct any action with respect to any Collection Account (or related Lock-Box) or (C) any Obligor shall receive any change in payment instructions with respect to Pool Receivable(s) from a Person other than the Servicer or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Changes Requiring UCC Amendments</w:t>
      </w:r>
      <w:r>
        <w:rPr>
          <w:rFonts w:ascii="Times New Roman" w:hAnsi="Times New Roman"/>
          <w:sz w:val="20"/>
        </w:rPr>
        <w:t xml:space="preserve">. (A) At least thirty (30) days before any change in any Borrower’s name, jurisdiction of organization or any other change requiring the amendment of UCC financing statements, (B) at least thirty (30) days before any change in any Originator’s jurisdiction of organization and (C) not more than twenty (20) days after any change in any Originator’s name or any other change requiring the amendment of UCC financing statements.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Change in Accountants or Accounting Policy</w:t>
      </w:r>
      <w:r>
        <w:rPr>
          <w:rFonts w:ascii="Times New Roman" w:hAnsi="Times New Roman"/>
          <w:sz w:val="20"/>
        </w:rPr>
        <w:t xml:space="preserve">. Any change in (A) the external accountants of any Lamar Party, (B) any material accounting policy of any Borrower or (C) any material accounting policy of any Originator that is relevant to the transactions contemplated by this Agreement or any other Transaction Document (it being understood that any change to the manner in which any Originator accounts for the Pool Receivables shall be deemed “material” for such purpose).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Termination Event</w:t>
      </w:r>
      <w:r>
        <w:rPr>
          <w:rFonts w:ascii="Times New Roman" w:hAnsi="Times New Roman"/>
          <w:sz w:val="20"/>
        </w:rPr>
        <w:t xml:space="preserve">. The occurrence of a Purchase and Sale Termination Event under any Purchase and Sale Agreement.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Material Adverse Change</w:t>
      </w:r>
      <w:r>
        <w:rPr>
          <w:rFonts w:ascii="Times New Roman" w:hAnsi="Times New Roman"/>
          <w:sz w:val="20"/>
        </w:rPr>
        <w:t xml:space="preserve">. Promptly after the occurrence thereof, notice of any material adverse change in the business, operations, property or financial condition of (x) the Lamar Parties, taken as a whole or (y) any Borrower.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Conduct of Business</w:t>
      </w:r>
      <w:r>
        <w:rPr>
          <w:rFonts w:ascii="Times New Roman" w:hAnsi="Times New Roman"/>
          <w:sz w:val="20"/>
        </w:rPr>
        <w:t xml:space="preserve">. Each Borrower will carry on and conduct its business in substantially the same manner and in substantially the same fields of enterprise as it is presently conducted and will do all things necessary to remain duly organized, validly existing and in good standing as a domestic organization in its jurisdiction of organization and maintain all requisite authority to conduct its business in each jurisdiction in which its business is conducted if the failure to have such authority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Compliance with Laws</w:t>
      </w:r>
      <w:r>
        <w:rPr>
          <w:rFonts w:ascii="Times New Roman" w:hAnsi="Times New Roman"/>
          <w:sz w:val="20"/>
        </w:rPr>
        <w:t xml:space="preserve">. Each Borrower will comply with all Applicable Laws to which it may be subject if the failure to comply could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Furnishing of Information and Inspection of Receivables</w:t>
      </w:r>
      <w:r>
        <w:rPr>
          <w:rFonts w:ascii="Times New Roman" w:hAnsi="Times New Roman"/>
          <w:sz w:val="20"/>
        </w:rPr>
        <w:t xml:space="preserve">. Each Borrower will furnish or cause to be furnished to the Administrative Agent from time to time such information with respect to the Pool Receivables and the other Collateral as the Administrative Agent or any Lender may reasonably request. Each Borrower will, at such Borrower’s expense, during regular business hours with prior written notice (i) permit the Administrative Agent and each Lender or their respective agents or representatives to (A) examine and make copies of and abstracts from all books and records relating to the Pool Receivables or other Collateral, (B) visit the offices and properties of such Borrower for the purpose of examining such books and records and (C) discuss matters relating to the Pool Receivables, the other Collateral or such Borrower’s performance hereunder or under the other Transaction Documents to which it is a party with any of the officers, directors, employees or independent public accountants of such Borrower having knowledge of such matters and (ii) without limiting the provisions of </w:t>
      </w:r>
      <w:r>
        <w:rPr>
          <w:rFonts w:ascii="Times New Roman" w:hAnsi="Times New Roman"/>
          <w:sz w:val="20"/>
          <w:u w:val="single"/>
        </w:rPr>
        <w:t>clause (i)</w:t>
      </w:r>
      <w:r>
        <w:rPr>
          <w:rFonts w:ascii="Times New Roman" w:hAnsi="Times New Roman"/>
          <w:sz w:val="20"/>
        </w:rPr>
        <w:t xml:space="preserve"> above, during regular business hours, at such Borrower’s expense, upon prior written notice from the Administrative Agent, permit certified public accountants or other auditors acceptable to the Administrative Agent to conduct a review of its books and records with respect to such Pool Receivables and other Collateral; </w:t>
      </w:r>
      <w:r>
        <w:rPr>
          <w:rFonts w:ascii="Times New Roman" w:hAnsi="Times New Roman"/>
          <w:sz w:val="20"/>
          <w:u w:val="single"/>
        </w:rPr>
        <w:t>provided</w:t>
      </w:r>
      <w:r>
        <w:rPr>
          <w:rFonts w:ascii="Times New Roman" w:hAnsi="Times New Roman"/>
          <w:sz w:val="20"/>
        </w:rPr>
        <w:t xml:space="preserve">, that the Borrowers shall be required to reimburse the Administrative Agent for only one (1) such audit/ inspection pursuant to </w:t>
      </w:r>
      <w:r>
        <w:rPr>
          <w:rFonts w:ascii="Times New Roman" w:hAnsi="Times New Roman"/>
          <w:sz w:val="20"/>
          <w:u w:val="single"/>
        </w:rPr>
        <w:t>clause (i)</w:t>
      </w:r>
      <w:r>
        <w:rPr>
          <w:rFonts w:ascii="Times New Roman" w:hAnsi="Times New Roman"/>
          <w:sz w:val="20"/>
        </w:rPr>
        <w:t xml:space="preserve"> above and one (1) such review pursuant to </w:t>
      </w:r>
      <w:r>
        <w:rPr>
          <w:rFonts w:ascii="Times New Roman" w:hAnsi="Times New Roman"/>
          <w:sz w:val="20"/>
          <w:u w:val="single"/>
        </w:rPr>
        <w:t>clause (ii)</w:t>
      </w:r>
      <w:r>
        <w:rPr>
          <w:rFonts w:ascii="Times New Roman" w:hAnsi="Times New Roman"/>
          <w:sz w:val="20"/>
        </w:rPr>
        <w:t xml:space="preserve"> above in each case, in any twelve-month period, unless an Event of Default has occurred and is continuing or a Ratings Event Level II has occurred. Following the occurrence of an Event of Default, a Servicer Termination Event or a Ratings Event Level II, the Administrative Agent may, at the Borrowers’ expense, appoint a third party to monitor the servicing of the Pool Receivables, including the disposition of Collections received in the Mail-Boxes.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Payments on Receivables, Collection Accounts</w:t>
      </w:r>
      <w:r>
        <w:rPr>
          <w:rFonts w:ascii="Times New Roman" w:hAnsi="Times New Roman"/>
          <w:sz w:val="20"/>
        </w:rPr>
        <w:t xml:space="preserve">. Each Borrower (or the Servicer on its behalf) will, and will cause each Originator to, at all times, instruct all Obligors to deliver payments on the Pool Receivables to a Collection Account, a Mail-Box or a Lock-Box. Each Borrower (or the Servicer on its behalf) will promptly (but in any event within two (2) Business Days) following receipt of any Collections that have been mailed to a Mail-Box, cause such Collections to be deposited directly into a Collection Account. Each Borrower (or the Servicer on its behalf) will, and will cause each Originator to, at all times, maintain such books and records necessary (i) to identify Collections received from time to time on Pool Receivables, (ii) to permit the segregation of such Collections from other property of the Servicer and the Originators, (iii) to identify Affiliate Collections received from time to time and (iv) to permit the segregation of such Affiliate Collections from other property of the Servicer and the Originators. Each Borrower (or the Servicer on its behalf) shall provide such information with respect to Affiliate Collections deposited into each Collection Account as reasonably requested by the Administrative Agent. If any payments on the Pool Receivables or other Collections are received by the Borrowers, the Servicer or an Originator, it shall hold such payments in trust for the benefit of the Administrative Agent, the Lenders and the other Secured Parties and promptly (but in any event within two (2) Business Days after receipt) remit such funds into a Collection Account. Each Borrower (or the Servicer on its behalf) will cause each Collection Account Bank to comply with the terms of each applicable Account Control Agreement. The Borrowers shall not permit funds other than (i) Collections on Pool Receivables and other Collateral and (ii) Affiliate Collections, to be deposited into any Collection Account. If any Affiliate Collections or any other funds that do not constitute Collections on Pool Receivables are deposited into any Collection Account, the Borrowers (or the Servicer on its behalf) will within two (2) Business Days identify and transfer such funds to the appropriate Person entitled to such funds. The Borrowers will not, and will not permit the Servicer, any Originator or any other Person to commingle Collections or other funds to which the Administrative Agent, any Lender or any other Secured Party is entitled, with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funds other than commingling of Affiliate Collections in any Collection Account. The Borrowers shall only add a Collection Account (or a related Lock-Box) or a Collection Account Bank to those listed on </w:t>
      </w:r>
      <w:r>
        <w:rPr>
          <w:rFonts w:ascii="Times New Roman" w:hAnsi="Times New Roman"/>
          <w:sz w:val="20"/>
          <w:u w:val="single"/>
        </w:rPr>
        <w:t>Schedule II</w:t>
      </w:r>
      <w:r>
        <w:rPr>
          <w:rFonts w:ascii="Times New Roman" w:hAnsi="Times New Roman"/>
          <w:sz w:val="20"/>
        </w:rPr>
        <w:t xml:space="preserve"> to this Agreement, if the Administrative Agent has received notice of such addition and an executed and acknowledged copy of an Account Control Agreement (or an amendment thereto) in form and substance acceptable to the Administrative Agent from the applicable Collection Account Bank. The Borrowers shall only terminate a Collection Account Bank or close a Collection Account (or a related Lock-Box), in each case, with the prior written consent of the Administrative Agent. Each Borrower shall ensure that no disbursements are made from any Collection Account, other than (i) such disbursements that are made at the direction and for the account of the Borrowers and (ii) Permitted Disbursements.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set forth in this Agreement or any other Transaction Document, if an Event of Default has occurred and is continuing or a Ratings Event has occurred: </w:t>
      </w:r>
    </w:p>
    <w:p>
      <w:pPr>
        <w:pStyle w:val="TextBody"/>
        <w:bidi w:val="0"/>
        <w:spacing w:before="120" w:after="0"/>
        <w:jc w:val="left"/>
        <w:rPr>
          <w:rFonts w:ascii="Times New Roman" w:hAnsi="Times New Roman"/>
          <w:sz w:val="20"/>
        </w:rPr>
      </w:pPr>
      <w:r>
        <w:rPr>
          <w:rFonts w:ascii="Times New Roman" w:hAnsi="Times New Roman"/>
          <w:sz w:val="20"/>
        </w:rPr>
        <w:t xml:space="preserve">(i) within two (2) Business Days of the deposit of any Affiliate Collections into any Collection Account (or the related Lock-Box), the Borrowers (or the Servicer on its behalf) shall identify the portion of funds deposited into each Collection Account (and any related Lock-Box) that represent Affiliate Collections; </w:t>
      </w:r>
    </w:p>
    <w:p>
      <w:pPr>
        <w:pStyle w:val="TextBody"/>
        <w:bidi w:val="0"/>
        <w:spacing w:before="120" w:after="0"/>
        <w:jc w:val="left"/>
        <w:rPr>
          <w:rFonts w:ascii="Times New Roman" w:hAnsi="Times New Roman"/>
          <w:sz w:val="20"/>
        </w:rPr>
      </w:pPr>
      <w:r>
        <w:rPr>
          <w:rFonts w:ascii="Times New Roman" w:hAnsi="Times New Roman"/>
          <w:sz w:val="20"/>
        </w:rPr>
        <w:t xml:space="preserve">(ii) the Borrowers (or the Servicer on its behalf) will, and will cause each Originator to, at all times, maintain such books and records necessary to (a) identify Affiliate Collections received from time to time and (b) segregate such Affiliate Collections from Collections on Pool Receivables and other Collateral; </w:t>
      </w:r>
    </w:p>
    <w:p>
      <w:pPr>
        <w:pStyle w:val="TextBody"/>
        <w:bidi w:val="0"/>
        <w:spacing w:before="120" w:after="0"/>
        <w:jc w:val="left"/>
        <w:rPr>
          <w:rFonts w:ascii="Times New Roman" w:hAnsi="Times New Roman"/>
          <w:sz w:val="20"/>
        </w:rPr>
      </w:pPr>
      <w:r>
        <w:rPr>
          <w:rFonts w:ascii="Times New Roman" w:hAnsi="Times New Roman"/>
          <w:sz w:val="20"/>
        </w:rPr>
        <w:t xml:space="preserve">(iii) if requested by Administrative Agent following the occurrence of a Ratings Event Level II, the Borrowers (or the Servicer on its behalf) shall instruct the obligor of each Affiliate Receivable to cease remitting payments with respect to all Affiliate Receivables to any Collection Account or Lock-Box and to instead remit payments with respect thereto to any other account or lock-box (other than a Collection Account or Lock-Box or any other account owned by a Borrower) from time to time identified to such obligor; and </w:t>
      </w:r>
    </w:p>
    <w:p>
      <w:pPr>
        <w:pStyle w:val="TextBody"/>
        <w:bidi w:val="0"/>
        <w:spacing w:before="120" w:after="0"/>
        <w:jc w:val="left"/>
        <w:rPr>
          <w:rFonts w:ascii="Times New Roman" w:hAnsi="Times New Roman"/>
          <w:sz w:val="20"/>
        </w:rPr>
      </w:pPr>
      <w:r>
        <w:rPr>
          <w:rFonts w:ascii="Times New Roman" w:hAnsi="Times New Roman"/>
          <w:sz w:val="20"/>
        </w:rPr>
        <w:t xml:space="preserve">(iv) if requested by Administrative Agent following the occurrence of a Ratings Event Level II, the Borrowers (or the Servicer on its behalf) shall take commercially reasonable efforts to ensure that no Affiliate Collections are deposited into any Collection Account (or the related Lock-Box).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Sales, Liens, etc.</w:t>
      </w:r>
      <w:r>
        <w:rPr>
          <w:rFonts w:ascii="Times New Roman" w:hAnsi="Times New Roman"/>
          <w:sz w:val="20"/>
        </w:rPr>
        <w:t xml:space="preserve"> Except as otherwise provided herein, the Borrowers will not sell, assign (by operation of law or otherwise) or otherwise dispose of, or create or suffer to exist any Adverse Claim upon (including, without limitation, the filing of any financing statement but excluding any Permitted Adverse Claim) or with respect to, any Pool Receivable or other Collateral, or assign any right to receive income in respect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Extension or Amendment of Pool Receivables</w:t>
      </w:r>
      <w:r>
        <w:rPr>
          <w:rFonts w:ascii="Times New Roman" w:hAnsi="Times New Roman"/>
          <w:i/>
          <w:sz w:val="20"/>
        </w:rPr>
        <w:t xml:space="preserve">. </w:t>
      </w:r>
      <w:r>
        <w:rPr>
          <w:rFonts w:ascii="Times New Roman" w:hAnsi="Times New Roman"/>
          <w:sz w:val="20"/>
        </w:rPr>
        <w:t xml:space="preserve">Except as otherwise permitted in </w:t>
      </w:r>
      <w:r>
        <w:rPr>
          <w:rFonts w:ascii="Times New Roman" w:hAnsi="Times New Roman"/>
          <w:sz w:val="20"/>
          <w:u w:val="single"/>
        </w:rPr>
        <w:t>Section 9.02</w:t>
      </w:r>
      <w:r>
        <w:rPr>
          <w:rFonts w:ascii="Times New Roman" w:hAnsi="Times New Roman"/>
          <w:sz w:val="20"/>
        </w:rPr>
        <w:t xml:space="preserve">, the Borrowers will not, and will not permit the Servicer to, alter the delinquency status or adjust the Outstanding Balance or otherwise modify the terms of any Pool Receivable in any material respect, or amend, modify or waive, in any material respect, any term or condition of any related Contract. Each Borrower shall at its expense, timely and fully perform and comply in all material respects with all provisions, covenants and other promises required to be observed by it under the Contracts related to the Pool Receivables, and timely and fully comply with the Credit and Collection Policy with regard to each Pool Receivable and the related Contract.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Change in Credit and Collection Policy</w:t>
      </w:r>
      <w:r>
        <w:rPr>
          <w:rFonts w:ascii="Times New Roman" w:hAnsi="Times New Roman"/>
          <w:sz w:val="20"/>
        </w:rPr>
        <w:t xml:space="preserve">. No Borrower will make any material change in the Credit and Collection Policy without the prior written consent of the Administrative Agent and the Majority Lenders. Promptly following any change in the Credit and Collection Policy, the Borrowers will deliver a copy of the updated Credit and Collection Policy to the Administrative Agent and each Lender.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Fundamental Changes</w:t>
      </w:r>
      <w:r>
        <w:rPr>
          <w:rFonts w:ascii="Times New Roman" w:hAnsi="Times New Roman"/>
          <w:sz w:val="20"/>
        </w:rPr>
        <w:t xml:space="preserve">. No Borrower shall, without the prior written consent of the Administrative Agent and the Majority Lenders, permit itself (i) to merge or consolidate with or into, or convey, transfer, lease or otherwise dispose of (whether in one transaction or in a series of transactions) all or substantially all of its assets (whether now owned or hereafter acquired) to, any Person or (ii) to be directly owned by any Person other than an Originator. No Borrower shall, without the prior written consent of the Administrative Agent and the Majority Lenders, make any change in such Borrower’s name, identity, corporate structure or location or make any other change in such Borrower’s identity or corporate structure that could impair or otherwise render any UCC financing statement filed in connection with this Agreement or any other Transaction Document “seriously misleading” as such term (or similar term) is used in the applicable UCC.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Books and Records</w:t>
      </w:r>
      <w:r>
        <w:rPr>
          <w:rFonts w:ascii="Times New Roman" w:hAnsi="Times New Roman"/>
          <w:sz w:val="20"/>
        </w:rPr>
        <w:t xml:space="preserve">. Each Borrower shall maintain and implement (or cause the Servicer to maintain and implement) administrative and operating procedures (including an ability to recreate records evidencing Pool Receivables and related Contracts in the event of the destruction of the originals thereof), and keep and maintain (or cause the Servicer to keep and maintain) all documents, books, records, computer tapes and disks and other information reasonably necessary or advisable for the collection of all Pool Receivables (including records adequate to permit the daily identification of each Pool Receivable and all Collections of and adjustments to each existing Pool Receivable).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Identifying of Records</w:t>
      </w:r>
      <w:r>
        <w:rPr>
          <w:rFonts w:ascii="Times New Roman" w:hAnsi="Times New Roman"/>
          <w:sz w:val="20"/>
        </w:rPr>
        <w:t xml:space="preserve">. Each Borrower shall: (i) identify (or cause the Servicer to identify) its master data processing records relating to Pool Receivables and related Contracts with a legend that indicates that the Pool Receivables have been pledged in accordance with this Agreement and (ii) cause each Originator so to identify its master data processing records with such a legend.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Change in Payment Instructions to Obligors</w:t>
      </w:r>
      <w:r>
        <w:rPr>
          <w:rFonts w:ascii="Times New Roman" w:hAnsi="Times New Roman"/>
          <w:sz w:val="20"/>
        </w:rPr>
        <w:t xml:space="preserve">. No Borrower shall (and shall not permit the Servicer or any Sub-Servicer to) add, replace or terminate any Collection Account (or any related Lock-Box) or make any change in its (or their) instructions to the Obligors regarding payments to be made to the Collection Accounts (or any related Lock-Box), other than any instruction to remit payments to a different Collection Account (or any related Lock-Box), unless the Administrative Agent shall have received (i) prior written notice of such addition, termination or change and (ii) a signed and acknowledged Account Control Agreement (or amendment thereto) with respect to such new Collection Accounts (or any related Lock-Box), and the Administrative Agent shall have consented to such change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Security Interest, Etc.</w:t>
      </w:r>
      <w:r>
        <w:rPr>
          <w:rFonts w:ascii="Times New Roman" w:hAnsi="Times New Roman"/>
          <w:sz w:val="20"/>
        </w:rPr>
        <w:t xml:space="preserve"> Each Borrower shall (and shall cause the Servicer to), at its expense, take all action necessary to establish and maintain a valid and enforceable first priority perfected security interest in the Collateral in favor of the Administrative Agent (on behalf of the Secured Parties), in each case free and clear of any Adverse Claim (other than Permitted Adverse Claims) including taking such action to perfect, protect or more fully evidence the security interest of the Administrative Agent (on behalf of the Secured Parties) as the Administrative Agent or any Secured Party may reasonably request. In order to evidence the security interests of the Administrative Agent under this Agreement, each Borrower shall, from time to time take such action, or execute and deliver such instruments as may be necessary (including, without limitation, such actions as are reasonably requested by the Administrative Agent) to maintain and perfect, as a first-priority interest, the Administrative Agent’s security interest in the Receivables, Related Security and Collections. Each Borrower shall, from time to time and within the time limits established by law, prepare and present to the Administrative Agent for the Administrative Agent’s authorization and approval, all financing statements, amendments, continuations or initial financing statements in lieu of a continuation statement, or other filings necessary to continue, maintain and perfect the Administrative Agent’s security interest as a first-priority interest. The Administrative Agent’s approval of such filings shall authorize the Borrowers to file such financing statements under the UCC without the signature of any Borrower, any Originator or the Administrative Agent where allowed by Applicable Law. Notwithstanding anything else in the Transaction Documents to the contrary, no Borrower shall have any authority to file a termination, partial termination, release, partial release, or any amendment that deletes the name of a debtor or excludes collateral of any such financing statements filed in connection with the Transaction Documents, without the prior written consent of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Certain Agreements</w:t>
      </w:r>
      <w:r>
        <w:rPr>
          <w:rFonts w:ascii="Times New Roman" w:hAnsi="Times New Roman"/>
          <w:sz w:val="20"/>
        </w:rPr>
        <w:t xml:space="preserve">. Without the prior written consent of the Administrative Agent and the Majority Lenders, no Borrower will (and will not permit any Originator or the Servicer to) amend, modify, waive, revoke or terminate (i) any Transaction Document to which it is a party or (ii) any provision of such Borrower’s organizational documents which requires the consent of the “Independent Manager” (as such term is used in such Borrower’s Certificate of Formation and Limited Liability Company Agreement).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Restricted Payments</w:t>
      </w:r>
      <w:r>
        <w:rPr>
          <w:rFonts w:ascii="Times New Roman" w:hAnsi="Times New Roman"/>
          <w:sz w:val="20"/>
        </w:rPr>
        <w:t xml:space="preserve">. (i) Except pursuant to </w:t>
      </w:r>
      <w:r>
        <w:rPr>
          <w:rFonts w:ascii="Times New Roman" w:hAnsi="Times New Roman"/>
          <w:sz w:val="20"/>
          <w:u w:val="single"/>
        </w:rPr>
        <w:t>clause (ii)</w:t>
      </w:r>
      <w:r>
        <w:rPr>
          <w:rFonts w:ascii="Times New Roman" w:hAnsi="Times New Roman"/>
          <w:sz w:val="20"/>
        </w:rPr>
        <w:t xml:space="preserve"> below, no Borrower will: (A) purchase or redeem any of its membership interests, (B) declare or pay any dividend or set aside any funds for any such purpose, (C) prepay, purchase or redeem any Debt (other than any Loan pursuant to this Agreement), (D) lend or advance any funds or (E) repay any loans or advances to, for or from any of its Affiliates (the amounts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(E)</w:t>
      </w:r>
      <w:r>
        <w:rPr>
          <w:rFonts w:ascii="Times New Roman" w:hAnsi="Times New Roman"/>
          <w:sz w:val="20"/>
        </w:rPr>
        <w:t xml:space="preserve"> being referred to as “</w:t>
      </w:r>
      <w:r>
        <w:rPr>
          <w:rFonts w:ascii="Times New Roman" w:hAnsi="Times New Roman"/>
          <w:sz w:val="20"/>
          <w:u w:val="single"/>
        </w:rPr>
        <w:t>Restricted Payments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the term “Restricted Payment” include any payment by a Borrower to any of its Affiliates of amounts constituting Affiliate Collections. </w:t>
      </w:r>
    </w:p>
    <w:p>
      <w:pPr>
        <w:pStyle w:val="TextBody"/>
        <w:bidi w:val="0"/>
        <w:spacing w:before="120" w:after="0"/>
        <w:jc w:val="left"/>
        <w:rPr>
          <w:rFonts w:ascii="Times New Roman" w:hAnsi="Times New Roman"/>
          <w:sz w:val="20"/>
        </w:rPr>
      </w:pPr>
      <w:r>
        <w:rPr>
          <w:rFonts w:ascii="Times New Roman" w:hAnsi="Times New Roman"/>
          <w:sz w:val="20"/>
        </w:rPr>
        <w:t xml:space="preserve">(ii) Subject to the limitations set forth in </w:t>
      </w:r>
      <w:r>
        <w:rPr>
          <w:rFonts w:ascii="Times New Roman" w:hAnsi="Times New Roman"/>
          <w:sz w:val="20"/>
          <w:u w:val="single"/>
        </w:rPr>
        <w:t>clause (iii)</w:t>
      </w:r>
      <w:r>
        <w:rPr>
          <w:rFonts w:ascii="Times New Roman" w:hAnsi="Times New Roman"/>
          <w:sz w:val="20"/>
        </w:rPr>
        <w:t xml:space="preserve"> below, the Borrowers may make Restricted Payments so long as such Restricted Payments are made only in one or more of the following ways: (A) the Borrowers may make cash payments (including prepayments) on the Intercompany Loans in accordance with their respective terms and (B) the Borrowers may declare and pay dividends if, both immediately before and immediately after giving effect thereto, the Borrower’s Net Worth is not less than the Required Capital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Borrowers may make Restricted Payments only out of the funds, if any, it receives pursuant to </w:t>
      </w:r>
      <w:r>
        <w:rPr>
          <w:rFonts w:ascii="Times New Roman" w:hAnsi="Times New Roman"/>
          <w:sz w:val="20"/>
          <w:u w:val="single"/>
        </w:rPr>
        <w:t>Sections 4.01</w:t>
      </w:r>
      <w:r>
        <w:rPr>
          <w:rFonts w:ascii="Times New Roman" w:hAnsi="Times New Roman"/>
          <w:sz w:val="20"/>
        </w:rPr>
        <w:t xml:space="preserve"> of this Agreement; </w:t>
      </w:r>
      <w:r>
        <w:rPr>
          <w:rFonts w:ascii="Times New Roman" w:hAnsi="Times New Roman"/>
          <w:sz w:val="20"/>
          <w:u w:val="single"/>
        </w:rPr>
        <w:t>provided</w:t>
      </w:r>
      <w:r>
        <w:rPr>
          <w:rFonts w:ascii="Times New Roman" w:hAnsi="Times New Roman"/>
          <w:sz w:val="20"/>
        </w:rPr>
        <w:t xml:space="preserve">, that no Borrower shall pay, make or declare any Restricted Payment (including any dividend) if, after giving effect thereto, any Borrowing Base Deficit shall exist or any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Other Business</w:t>
      </w:r>
      <w:r>
        <w:rPr>
          <w:rFonts w:ascii="Times New Roman" w:hAnsi="Times New Roman"/>
          <w:sz w:val="20"/>
        </w:rPr>
        <w:t xml:space="preserve">. The Borrowers will not: (i) engage in any business other than the transactions contemplated by the Transaction Documents, (ii) create, incur or permit to exist any Debt of any kind (or cause or permit to be issued for its account any letters of credit or bankers’ acceptances other than pursuant to this Agreement or any Intercompany Loan Agreement or (iii) form any Subsidiary or make any investments in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Use of Collections Available to the Borrower</w:t>
      </w:r>
      <w:r>
        <w:rPr>
          <w:rFonts w:ascii="Times New Roman" w:hAnsi="Times New Roman"/>
          <w:sz w:val="20"/>
        </w:rPr>
        <w:t xml:space="preserve">. The Borrowers shall apply the Collections available to the Borrowers to make payments in the following order of priority: (i) the payment of its obligations under this Agreement and each of the other Transaction Documents (other than any Intercompany Loan Agreement), (ii) the payment of accrued and unpaid interest on any Intercompany Loans and (iii) other legal and valid purposes.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Further Assurances; Change in Name or Jurisdiction of Origination, Etc.</w:t>
      </w:r>
      <w:r>
        <w:rPr>
          <w:rFonts w:ascii="Times New Roman" w:hAnsi="Times New Roman"/>
          <w:sz w:val="20"/>
        </w:rPr>
        <w:t xml:space="preserve"> (i) Each Borrower hereby authorizes and hereby agrees from time to time, at its own expense, promptly to execute (if necessary) and deliver all further instruments and documents, and to take all further actions, that may be necessary or desirable, or that the Administrative Agent may reasonably request, to perfect, protect or more fully evidence the security interest granted pursuant to this Agreement or any other Transaction Document, or to enable the Administrative Agent (on behalf of the Secured Parties) to exercise and enforce the Secured Parties’ rights and remedies under this Agreement and the other Transaction Document. Without limiting the foregoing, each Borrower hereby authorizes, and will, upon the request of the Administrative Agent, at such Borrower’s own expense, execute (if necessary) and file such financing statements or continuation statements, or amendments thereto, and such other instruments and documents, that may be necessary or desirable, or that the Administrative Agent may reasonably request, to perfect, protect or evidence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(ii) Each Borrower authorizes the Administrative Agent to file financing statements, continuation statements and amendments thereto and assignments thereof, relating to the Receivables, the Related Security, the related Contracts, Collections with respect thereto and the other Collateral without the signature of such Borrower. A photocopy or other reproduction of this Agreement shall be sufficient as a financing statement where permitted by law. </w:t>
      </w:r>
    </w:p>
    <w:p>
      <w:pPr>
        <w:pStyle w:val="TextBody"/>
        <w:bidi w:val="0"/>
        <w:spacing w:before="120" w:after="0"/>
        <w:jc w:val="left"/>
        <w:rPr>
          <w:rFonts w:ascii="Times New Roman" w:hAnsi="Times New Roman"/>
          <w:sz w:val="20"/>
        </w:rPr>
      </w:pPr>
      <w:r>
        <w:rPr>
          <w:rFonts w:ascii="Times New Roman" w:hAnsi="Times New Roman"/>
          <w:sz w:val="20"/>
        </w:rPr>
        <w:t xml:space="preserve">(iii) Each Borrower shall at all times be organized under the laws of the State of Delaware and shall not take any action to change its jurisdiction of organization.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No Borrower will change its name, location, identity or corporate structure unless (x) such Borrower, at its own expense, shall have taken all action necessary or appropriate to perfect or maintain the perfection of the security interest under this Agreement (including, without limitation, the filing of all financing statements and the taking of such other action as the Administrative Agent may request in connection with such change or relocation) and (y) if requested by the Administrative Agent, such Borrower shall cause to be delivered to the Administrative Agent, an opinion, in form and substance satisfactory to the Administrative Agent as to such UCC perfection and priority matters as the Administrative Agent may request at such time.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Sanctions; Anti-Money Laundering Laws; Anti-Corruption Laws; International Trade Laws</w:t>
      </w:r>
      <w:r>
        <w:rPr>
          <w:rFonts w:ascii="Times New Roman" w:hAnsi="Times New Roman"/>
          <w:sz w:val="20"/>
        </w:rPr>
        <w:t xml:space="preserve">. Each Borrower shall: </w:t>
      </w:r>
    </w:p>
    <w:p>
      <w:pPr>
        <w:pStyle w:val="TextBody"/>
        <w:bidi w:val="0"/>
        <w:spacing w:before="120" w:after="0"/>
        <w:jc w:val="left"/>
        <w:rPr>
          <w:rFonts w:ascii="Times New Roman" w:hAnsi="Times New Roman"/>
          <w:sz w:val="20"/>
        </w:rPr>
      </w:pPr>
      <w:r>
        <w:rPr>
          <w:rFonts w:ascii="Times New Roman" w:hAnsi="Times New Roman"/>
          <w:sz w:val="20"/>
        </w:rPr>
        <w:t xml:space="preserve">(i) (A) immediately notify each Credit Party in writing upon the occurrence of a Reportable Compliance Event; (B) immediately provide substitute Collateral to the Administrative Agent if, at any time, any Collateral becomes Blocked Property; and (C) conduct its business in compliance with applicable Anti-Corruption Laws, Anti-Money Laundering Laws and International Trade Laws and maintain in effect policies and procedures reasonably designed to ensure compliance with all applicable Anti-Corruption Laws, Anti-Money Laundering Laws and International Trade Laws by each Covered Entity, and its directors and officers, and any employee, agent or affiliate acting on behalf of such Covered Entity in connection with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not, and not permit any of its Subsidiaries to, do any of the following, nor permit its or their respective directors, officers, employees, agents or affiliates acting on its or their behalf in connection with this Agreement to: (A) become a Sanctioned Person; (B) directly or indirectly, provide, use, or make available the proceeds of any Loan hereunder (w) to fund any activities or business of, with, or for the benefit of any Person that, at the time of such funding or facilitation, is a Sanctioned Person, (x) to fund or facilitate any activities or business of or in any Sanctioned Jurisdiction, (y) in any manner that could result in a violation by any Person of Anti-Corruption Law, Anti-Money Laundering, or International Trade Laws (including any Credit Party, underwriter, advisor, investor, or otherwise) or (z) in violation of any applicable Law, including, without limitation, any applicable Anti-Corruption Law, Anti-Money Laundering Law or International Trade Law; (C) repay any Loan with Blocked Property or funds derived from any unlawful activity; or (D) permit any Collateral to become Blocked Property; and </w:t>
      </w:r>
    </w:p>
    <w:p>
      <w:pPr>
        <w:pStyle w:val="TextBody"/>
        <w:bidi w:val="0"/>
        <w:spacing w:before="120" w:after="0"/>
        <w:jc w:val="left"/>
        <w:rPr>
          <w:rFonts w:ascii="Times New Roman" w:hAnsi="Times New Roman"/>
          <w:sz w:val="20"/>
        </w:rPr>
      </w:pPr>
      <w:r>
        <w:rPr>
          <w:rFonts w:ascii="Times New Roman" w:hAnsi="Times New Roman"/>
          <w:sz w:val="20"/>
        </w:rPr>
        <w:t xml:space="preserve">(iii) not directly or indirectly provide, use, or make available the proceeds of any Loan hereunder to any of such Borrower-Related Party’s Subsidiaries that is not a Borrower-Related Party.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Borrower’s Net Worth</w:t>
      </w:r>
      <w:r>
        <w:rPr>
          <w:rFonts w:ascii="Times New Roman" w:hAnsi="Times New Roman"/>
          <w:sz w:val="20"/>
        </w:rPr>
        <w:t xml:space="preserve">. The Borrowers shall not permit the Borrower’s Net Worth to be less than the Required Capital Amount. </w:t>
      </w:r>
    </w:p>
    <w:p>
      <w:pPr>
        <w:pStyle w:val="TextBody"/>
        <w:bidi w:val="0"/>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Federal Assignment of Claims Act; Etc</w:t>
      </w:r>
      <w:r>
        <w:rPr>
          <w:rFonts w:ascii="Times New Roman" w:hAnsi="Times New Roman"/>
          <w:sz w:val="20"/>
        </w:rPr>
        <w:t xml:space="preserve">. If requested by the Administrative Agent following the occurrence of an Event of Default, prepare and make any filings under the Federal Assignment of Claims Act (or any other similar applicable law) with respect to Receivables owing by Governmental Authorities, that are necessary in order for the Administrative Agent to enforce such Receivables against the Obligor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Taxes</w:t>
      </w:r>
      <w:r>
        <w:rPr>
          <w:rFonts w:ascii="Times New Roman" w:hAnsi="Times New Roman"/>
          <w:sz w:val="20"/>
        </w:rPr>
        <w:t xml:space="preserve">. Each Borrower will (i) timely file all tax returns (federal, state and local) required to be filed by it and (ii) pay, or cause to be paid, all taxes, assessments and other governmental charges, if any, other than taxes, assessments and other governmental charges being contested in good faith by appropriate proceedings and as to which adequate reserves have been provided in accordance with GAAP, except in the case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above, where the failure to do so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Borrowers’ Tax Status</w:t>
      </w:r>
      <w:r>
        <w:rPr>
          <w:rFonts w:ascii="Times New Roman" w:hAnsi="Times New Roman"/>
          <w:sz w:val="20"/>
        </w:rPr>
        <w:t xml:space="preserve">. Each Borrower will remain a wholly-owned subsidiary of a United States person (within the meaning of Section 7701(a)(30) of the Code) and not be subject to withholding under Section 1446 of the Code. No action will be taken that would cause any Borrower to (i) be treated other than as a “disregarded entity” within the meaning of U.S. Treasury Regulation § 301.7701-3 for U.S. federal income tax purposes or (ii) become an association taxable as a corporation or a publicly traded partnership taxable as a corporation for U.S. federal income tax purposes. No Borrower shall become subject to any Tax in any jurisdiction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(aa) </w:t>
      </w:r>
      <w:r>
        <w:rPr>
          <w:rFonts w:ascii="Times New Roman" w:hAnsi="Times New Roman"/>
          <w:sz w:val="20"/>
          <w:u w:val="single"/>
        </w:rPr>
        <w:t>Commingling</w:t>
      </w:r>
      <w:r>
        <w:rPr>
          <w:rFonts w:ascii="Times New Roman" w:hAnsi="Times New Roman"/>
          <w:sz w:val="20"/>
        </w:rPr>
        <w:t xml:space="preserve">. Each Borrower (or the Servicer on its behalf) will, and will cause each Originator to, at all times, ensure that for each calendar month, that no more than 2.5% (or after the occurrence of a Ratings Event Level II, such lesser percentage as the Administrative Agent may notify the Borrowers upon no less than 30 days prior notice, which percentage may be 0%) of the aggregate amount of all funds deposited into the Collection Accounts during such calendar month constitute Affiliate Collections. </w:t>
      </w:r>
    </w:p>
    <w:p>
      <w:pPr>
        <w:pStyle w:val="TextBody"/>
        <w:bidi w:val="0"/>
        <w:spacing w:before="240" w:after="0"/>
        <w:jc w:val="left"/>
        <w:rPr>
          <w:rFonts w:ascii="Times New Roman" w:hAnsi="Times New Roman"/>
          <w:sz w:val="20"/>
        </w:rPr>
      </w:pPr>
      <w:r>
        <w:rPr>
          <w:rFonts w:ascii="Times New Roman" w:hAnsi="Times New Roman"/>
          <w:sz w:val="20"/>
        </w:rPr>
        <w:t xml:space="preserve">(bb)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(cc) </w:t>
      </w:r>
      <w:r>
        <w:rPr>
          <w:rFonts w:ascii="Times New Roman" w:hAnsi="Times New Roman"/>
          <w:sz w:val="20"/>
          <w:u w:val="single"/>
        </w:rPr>
        <w:t>Liquidity Coverage Ratio</w:t>
      </w:r>
      <w:r>
        <w:rPr>
          <w:rFonts w:ascii="Times New Roman" w:hAnsi="Times New Roman"/>
          <w:sz w:val="20"/>
        </w:rPr>
        <w:t xml:space="preserve">. No Borrower shall issue any LCR Security. </w:t>
      </w:r>
    </w:p>
    <w:p>
      <w:pPr>
        <w:pStyle w:val="TextBody"/>
        <w:bidi w:val="0"/>
        <w:spacing w:before="240" w:after="0"/>
        <w:jc w:val="left"/>
        <w:rPr>
          <w:rFonts w:ascii="Times New Roman" w:hAnsi="Times New Roman"/>
          <w:sz w:val="20"/>
        </w:rPr>
      </w:pPr>
      <w:r>
        <w:rPr>
          <w:rFonts w:ascii="Times New Roman" w:hAnsi="Times New Roman"/>
          <w:sz w:val="20"/>
        </w:rPr>
        <w:t xml:space="preserve">(dd) </w:t>
      </w:r>
      <w:r>
        <w:rPr>
          <w:rFonts w:ascii="Times New Roman" w:hAnsi="Times New Roman"/>
          <w:sz w:val="20"/>
          <w:u w:val="single"/>
        </w:rPr>
        <w:t>Minimum Funding Threshold</w:t>
      </w:r>
      <w:r>
        <w:rPr>
          <w:rFonts w:ascii="Times New Roman" w:hAnsi="Times New Roman"/>
          <w:sz w:val="20"/>
        </w:rPr>
        <w:t xml:space="preserve">. Each Borrower shall cause the Aggregate Capital to exceed the Minimum Funding Threshold at all times.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Covenants of the Servicer</w:t>
      </w:r>
      <w:r>
        <w:rPr>
          <w:rFonts w:ascii="Times New Roman" w:hAnsi="Times New Roman"/>
          <w:sz w:val="20"/>
        </w:rPr>
        <w:t xml:space="preserve">. At all times from the Closing Date until the Final Payout Date: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Existence</w:t>
      </w:r>
      <w:r>
        <w:rPr>
          <w:rFonts w:ascii="Times New Roman" w:hAnsi="Times New Roman"/>
          <w:sz w:val="20"/>
        </w:rPr>
        <w:t xml:space="preserve">. The Servicer shall keep in full force and effect its existence and rights as a corporation or other entity under the laws of the State of Delaware. The Servicer shall obtain and preserve its qualification to do business in each jurisdiction in which the conduct of its business or the servicing of the Pool Receivables as required by this Agreement requires such qualification, except where the failure to do so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Financial Reporting</w:t>
      </w:r>
      <w:r>
        <w:rPr>
          <w:rFonts w:ascii="Times New Roman" w:hAnsi="Times New Roman"/>
          <w:sz w:val="20"/>
        </w:rPr>
        <w:t xml:space="preserve">. The Servicer will maintain a system of accounting established and administered in accordance with GAAP, and the Servicer shall furnish to the Administrative Agent and each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Compliance Certificates</w:t>
      </w:r>
      <w:r>
        <w:rPr>
          <w:rFonts w:ascii="Times New Roman" w:hAnsi="Times New Roman"/>
          <w:sz w:val="20"/>
        </w:rPr>
        <w:t xml:space="preserve">. (A) A compliance certificate promptly upon completion of the annual report of Holdings and in no event later than 120 days after the close of Holdings’ fiscal year, in form and substance substantially similar to </w:t>
      </w:r>
      <w:r>
        <w:rPr>
          <w:rFonts w:ascii="Times New Roman" w:hAnsi="Times New Roman"/>
          <w:sz w:val="20"/>
          <w:u w:val="single"/>
        </w:rPr>
        <w:t>Exhibit H</w:t>
      </w:r>
      <w:r>
        <w:rPr>
          <w:rFonts w:ascii="Times New Roman" w:hAnsi="Times New Roman"/>
          <w:sz w:val="20"/>
        </w:rPr>
        <w:t xml:space="preserve"> signed by a Financial Officer of the Servicer stating that no Event of Default or Unmatured Event of Default has occurred and is continuing, or if any Event of Default or Unmatured Event of Default has occurred and is continuing, stating the nature and status thereof and (B) within 60 days after the close of each of the first three fiscal quarters of Holding, a compliance certificate in form and substance substantially similar to </w:t>
      </w:r>
      <w:r>
        <w:rPr>
          <w:rFonts w:ascii="Times New Roman" w:hAnsi="Times New Roman"/>
          <w:sz w:val="20"/>
          <w:u w:val="single"/>
        </w:rPr>
        <w:t>Exhibit H</w:t>
      </w:r>
      <w:r>
        <w:rPr>
          <w:rFonts w:ascii="Times New Roman" w:hAnsi="Times New Roman"/>
          <w:sz w:val="20"/>
        </w:rPr>
        <w:t xml:space="preserve"> signed by a Financial Officer of the Servicer stating that no Event of Default or Unmatured Event of Default has occurred and is continuing, or if any Event of Default or Unmatured Event of Default has occurred and is continuing, stating the nature and status thereof.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Information Packages and Interim Reports</w:t>
      </w:r>
      <w:r>
        <w:rPr>
          <w:rFonts w:ascii="Times New Roman" w:hAnsi="Times New Roman"/>
          <w:sz w:val="20"/>
        </w:rPr>
        <w:t xml:space="preserve">. (A) Not later than two (2) Business Days prior to each Settlement Date, an Information Package as of the most recently completed Fiscal Month and (B) if a Ratings Event Level II has occurred, upon ten (10) Business Days’ prior written notice from the Administrative Agent, an Interim Report not later than the second Business Day of each calendar week with respect to the Pool Receivables with data as of the close of business on the last day of the immediately preceding calendar week.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Other Information</w:t>
      </w:r>
      <w:r>
        <w:rPr>
          <w:rFonts w:ascii="Times New Roman" w:hAnsi="Times New Roman"/>
          <w:i/>
          <w:sz w:val="20"/>
        </w:rPr>
        <w:t xml:space="preserve">. </w:t>
      </w:r>
      <w:r>
        <w:rPr>
          <w:rFonts w:ascii="Times New Roman" w:hAnsi="Times New Roman"/>
          <w:sz w:val="20"/>
        </w:rPr>
        <w:t xml:space="preserve">Such other information (including non-financial information) as the Administrative Agent or any Lender may from time to time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Quarterly Financial Statements of Holdings</w:t>
      </w:r>
      <w:r>
        <w:rPr>
          <w:rFonts w:ascii="Times New Roman" w:hAnsi="Times New Roman"/>
          <w:sz w:val="20"/>
        </w:rPr>
        <w:t xml:space="preserve">. As soon as available and in no event later than 60 days following the end of each of the first three fiscal quarters in each of Holdings’ fiscal years, (A) the unaudited consolidated balance sheet and statements of income of Holdings and its consolidated Subsidiaries as at the end of such fiscal quarter and the related unaudited consolidated statements of earnings and cash flows for such fiscal quarter and for the elapsed portion of the fiscal year ended with the last day of such fiscal quarter, in each case setting forth comparative figures for the corresponding fiscal quarter in the prior fiscal year, all of which shall be certified by a Financial Officer of Holdings that they fairly present in all material respects, in accordance with GAAP, the financial condition of Holdings and its consolidated Subsidiaries as of the dates indicated and the results of their operations for the periods indicated, subject to normal year-end audit adjustments and the absence of footnotes and (B) management’s discussion and analysis of the important operational and financial developments during such fiscal quarter.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Annual Financial Statements of Holdings</w:t>
      </w:r>
      <w:r>
        <w:rPr>
          <w:rFonts w:ascii="Times New Roman" w:hAnsi="Times New Roman"/>
          <w:sz w:val="20"/>
        </w:rPr>
        <w:t xml:space="preserve">. Within 120 days after the close of each of Holdings’ fiscal years, the consolidated balance sheet of Holdings and its consolidated Subsidiaries as at the end of such fiscal year and the related consolidated statements of earnings and cash flows for such fiscal year setting forth comparative figures for the preceding fiscal year, all reported on by independent certified public accountants of recognized national standing (without (x) a “going concern” or like qualification or exception or (y) a qualification as to the scope of the audit) to the effect that such consolidated financial statements present fairly in all material respects, in accordance with GAAP, the financial condition of Holdings and its consolidated Subsidiaries as of the dates indicated and the results of their operations for the periods indicated.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Other Reports and Filings</w:t>
      </w:r>
      <w:r>
        <w:rPr>
          <w:rFonts w:ascii="Times New Roman" w:hAnsi="Times New Roman"/>
          <w:sz w:val="20"/>
        </w:rPr>
        <w:t xml:space="preserve">. Promptly (but in any event within ten days) after the filing or delivery thereof, copies of all financial information, proxy materials and reports, if any, which Holdings or any of its consolidated Subsidiaries shall publicly file with the SEC or deliver to holders (or any trustee, agent or other representative therefor) of any of its material Debt pursuant to the terms of the documentation governing the same. </w:t>
      </w:r>
    </w:p>
    <w:p>
      <w:pPr>
        <w:pStyle w:val="TextBody"/>
        <w:bidi w:val="0"/>
        <w:spacing w:before="120" w:after="0"/>
        <w:jc w:val="left"/>
        <w:rPr>
          <w:rFonts w:ascii="Times New Roman" w:hAnsi="Times New Roman"/>
          <w:sz w:val="20"/>
        </w:rPr>
      </w:pPr>
      <w:r>
        <w:rPr>
          <w:rFonts w:ascii="Times New Roman" w:hAnsi="Times New Roman"/>
          <w:sz w:val="20"/>
        </w:rPr>
        <w:t xml:space="preserve">(vii) Notwithstanding anything herein to the contrary, any financial information, proxy statements or other material required to be delivered pursuant to this </w:t>
      </w:r>
      <w:r>
        <w:rPr>
          <w:rFonts w:ascii="Times New Roman" w:hAnsi="Times New Roman"/>
          <w:sz w:val="20"/>
          <w:u w:val="single"/>
        </w:rPr>
        <w:t>clause (c)</w:t>
      </w:r>
      <w:r>
        <w:rPr>
          <w:rFonts w:ascii="Times New Roman" w:hAnsi="Times New Roman"/>
          <w:sz w:val="20"/>
        </w:rPr>
        <w:t xml:space="preserve"> shall be deemed to have been furnished to each of the Administrative Agent and each Lender (and the delivery requirement hereunder with respect to such financial information, proxy statement or other material shall be deemed satisfied) on the date that such report, proxy statement or other material is posted on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Notices</w:t>
      </w:r>
      <w:r>
        <w:rPr>
          <w:rFonts w:ascii="Times New Roman" w:hAnsi="Times New Roman"/>
          <w:sz w:val="20"/>
        </w:rPr>
        <w:t xml:space="preserve">. The Servicer will notify the Administrative Agent and each Lender in writing of any of the following events promptly upon (but in no event later than three (3) Business Days after) a Financial Officer or other officer learning of the occurrence thereof, with such notice describing the same, and if applicable, the steps being taken by the Person(s) affected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Notice of Events of Default or Unmatured Events of Default</w:t>
      </w:r>
      <w:r>
        <w:rPr>
          <w:rFonts w:ascii="Times New Roman" w:hAnsi="Times New Roman"/>
          <w:sz w:val="20"/>
        </w:rPr>
        <w:t xml:space="preserve">. A statement of a Financial Officer of the Servicer setting forth details of any Event of Default or Unmatured Event of Default that has occurred and is continuing and the action which the Servicer proposes to take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Representations and Warranties</w:t>
      </w:r>
      <w:r>
        <w:rPr>
          <w:rFonts w:ascii="Times New Roman" w:hAnsi="Times New Roman"/>
          <w:sz w:val="20"/>
        </w:rPr>
        <w:t xml:space="preserve">. The failure of any representation or warranty made or deemed made by the Servicer under this Agreement or any other Transaction Document to be true and correct in any material respect when made.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Litigation</w:t>
      </w:r>
      <w:r>
        <w:rPr>
          <w:rFonts w:ascii="Times New Roman" w:hAnsi="Times New Roman"/>
          <w:sz w:val="20"/>
        </w:rPr>
        <w:t xml:space="preserve">. The institution of any litigation, arbitration proceeding or governmental proceeding with respect to any Lamar Party which could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Adverse Claim</w:t>
      </w:r>
      <w:r>
        <w:rPr>
          <w:rFonts w:ascii="Times New Roman" w:hAnsi="Times New Roman"/>
          <w:i/>
          <w:sz w:val="20"/>
        </w:rPr>
        <w:t xml:space="preserve">. </w:t>
      </w:r>
      <w:r>
        <w:rPr>
          <w:rFonts w:ascii="Times New Roman" w:hAnsi="Times New Roman"/>
          <w:sz w:val="20"/>
        </w:rPr>
        <w:t xml:space="preserve">(A) Any Person shall obtain an Adverse Claim (other than a Permitted Adverse Claim) upon the Collateral or any material portion thereof, (B) any Person other than the Borrowers, the Servicer or the Administrative Agent shall obtain any rights or direct any action with respect to any Collection Account (or related Lock-Box) or (C) any Obligor shall receive any change in payment instructions with respect to Pool Receivable(s) from a Person other than the Servicer or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Changes Requiring UCC Amendments</w:t>
      </w:r>
      <w:r>
        <w:rPr>
          <w:rFonts w:ascii="Times New Roman" w:hAnsi="Times New Roman"/>
          <w:sz w:val="20"/>
        </w:rPr>
        <w:t xml:space="preserve">. (A) At least thirty (30) days before any change in any Borrower’s name, jurisdiction of organization or any other change requiring the amendment of UCC financing statements, (B) at least thirty (30) days before any change in any Originator’s jurisdiction of organization and (C) not more than twenty (20) days after any change in any Originator’s name or any other change requiring the amendment of UCC financing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Change in Accountants or Accounting Policy</w:t>
      </w:r>
      <w:r>
        <w:rPr>
          <w:rFonts w:ascii="Times New Roman" w:hAnsi="Times New Roman"/>
          <w:sz w:val="20"/>
        </w:rPr>
        <w:t xml:space="preserve">. Any change in (A) the external accountants of any Lamar Party, (B) any material accounting policy of any Borrower or (C) any material accounting policy of any Originator that is relevant to the transactions contemplated by this Agreement or any other Transaction Document (it being understood that any change to the manner in which any Originator accounts for the Pool Receivables shall be deemed “material” for such purpose).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Termination Event</w:t>
      </w:r>
      <w:r>
        <w:rPr>
          <w:rFonts w:ascii="Times New Roman" w:hAnsi="Times New Roman"/>
          <w:sz w:val="20"/>
        </w:rPr>
        <w:t xml:space="preserve">. The occurrence of a Purchase and Sale Termination Event under the Purchase and Sale Agreement.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Material Adverse Change</w:t>
      </w:r>
      <w:r>
        <w:rPr>
          <w:rFonts w:ascii="Times New Roman" w:hAnsi="Times New Roman"/>
          <w:sz w:val="20"/>
        </w:rPr>
        <w:t xml:space="preserve">. Promptly after the occurrence thereof, notice of any material adverse change in the business, operations, property or financial condition of (x) the Lamar Parties, taken as a whole or (y) any Borrower.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Conduct of Business</w:t>
      </w:r>
      <w:r>
        <w:rPr>
          <w:rFonts w:ascii="Times New Roman" w:hAnsi="Times New Roman"/>
          <w:sz w:val="20"/>
        </w:rPr>
        <w:t xml:space="preserve">. The Servicer will carry on and conduct its business in substantially the same manner and in substantially the same fields of enterprise as it is presently conducted, and will do all things necessary to remain duly organized, validly existing and in good standing as a domestic corporation in its jurisdiction of organization and maintain all requisite authority to conduct its business in each jurisdiction in which its business is conducted if the failure to have such authority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Compliance with Laws</w:t>
      </w:r>
      <w:r>
        <w:rPr>
          <w:rFonts w:ascii="Times New Roman" w:hAnsi="Times New Roman"/>
          <w:sz w:val="20"/>
        </w:rPr>
        <w:t xml:space="preserve">. The Servicer will comply with all Applicable Laws to which it may be subject if the failure to comply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Furnishing of Information and Inspection of Receivables</w:t>
      </w:r>
      <w:r>
        <w:rPr>
          <w:rFonts w:ascii="Times New Roman" w:hAnsi="Times New Roman"/>
          <w:sz w:val="20"/>
        </w:rPr>
        <w:t xml:space="preserve">. The Servicer will furnish or cause to be furnished to the Administrative Agent and each Lender from time to time such information with respect to the Pool Receivables and the other Collateral as the Administrative Agent or any Lender may reasonably request. The Servicer will, at the Servicer’s expense, during regular business hours with prior written notice, (i) permit the Administrative Agent and each Lender or their respective agents or representatives to (A) examine and make copies of and abstracts from all books and records relating to the Pool Receivables or other Collateral, (B) visit the offices and properties of the Servicer for the purpose of examining such books and records and (C) discuss matters relating to the Pool Receivables, the other Collateral or the Servicer’s performance hereunder or under the other Transaction Documents to which it is a party with any of the officers, directors, employees or independent public accountants of the Servicer having knowledge of such matters and (ii) without limiting the provisions of </w:t>
      </w:r>
      <w:r>
        <w:rPr>
          <w:rFonts w:ascii="Times New Roman" w:hAnsi="Times New Roman"/>
          <w:sz w:val="20"/>
          <w:u w:val="single"/>
        </w:rPr>
        <w:t>clause (i)</w:t>
      </w:r>
      <w:r>
        <w:rPr>
          <w:rFonts w:ascii="Times New Roman" w:hAnsi="Times New Roman"/>
          <w:sz w:val="20"/>
        </w:rPr>
        <w:t xml:space="preserve"> above, during regular business hours, at the Servicer’s expense, upon prior written notice from the Administrative Agent, permit certified public accountants or other auditors acceptable to the Administrative Agent to conduct a review of its books and records with respect to the Pool Receivables and other Collateral; </w:t>
      </w:r>
      <w:r>
        <w:rPr>
          <w:rFonts w:ascii="Times New Roman" w:hAnsi="Times New Roman"/>
          <w:sz w:val="20"/>
          <w:u w:val="single"/>
        </w:rPr>
        <w:t>provided</w:t>
      </w:r>
      <w:r>
        <w:rPr>
          <w:rFonts w:ascii="Times New Roman" w:hAnsi="Times New Roman"/>
          <w:sz w:val="20"/>
        </w:rPr>
        <w:t xml:space="preserve">, that the Servicer shall be required to reimburse the Administrative Agent for only one (1) such audit/ inspection pursuant to </w:t>
      </w:r>
      <w:r>
        <w:rPr>
          <w:rFonts w:ascii="Times New Roman" w:hAnsi="Times New Roman"/>
          <w:sz w:val="20"/>
          <w:u w:val="single"/>
        </w:rPr>
        <w:t>clause (i)</w:t>
      </w:r>
      <w:r>
        <w:rPr>
          <w:rFonts w:ascii="Times New Roman" w:hAnsi="Times New Roman"/>
          <w:sz w:val="20"/>
        </w:rPr>
        <w:t xml:space="preserve"> above and one (1) such review pursuant to </w:t>
      </w:r>
      <w:r>
        <w:rPr>
          <w:rFonts w:ascii="Times New Roman" w:hAnsi="Times New Roman"/>
          <w:sz w:val="20"/>
          <w:u w:val="single"/>
        </w:rPr>
        <w:t>clause (ii)</w:t>
      </w:r>
      <w:r>
        <w:rPr>
          <w:rFonts w:ascii="Times New Roman" w:hAnsi="Times New Roman"/>
          <w:sz w:val="20"/>
        </w:rPr>
        <w:t xml:space="preserve"> above, in each case, in any twelve-month period unless an Event of Default has occurred and is continuing or a Ratings Event Level II has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Following the occurrence of an Event of Default, a Servicer Termination Event or a Ratings Event Level II, the Administrative Agent may, at the Servicer’s expense, appoint a third party to monitor the servicing of the Pool Receivables, including the disposition of Collections received in the Mail-Boxes.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Payments on Receivables, Collection Accounts</w:t>
      </w:r>
      <w:r>
        <w:rPr>
          <w:rFonts w:ascii="Times New Roman" w:hAnsi="Times New Roman"/>
          <w:sz w:val="20"/>
        </w:rPr>
        <w:t xml:space="preserve">. The Servicer will at all times, instruct all Obligors to deliver payments on the Pool Receivables to a Collection Account, a Mail-Box or a Lock-Box. The Servicer will promptly (but in any event within two (2) Business Days) following receipt of any Collections that have been mailed to a Mail-Box, cause such Collections to be deposited directly into a Collection Account. The Servicer will, at all times, maintain such books and records necessary (i) to identify Collections received from time to time on Pool Receivables, (ii) to permit the segregation of such Collections from other property of the Servicer and the Originators, (iii) to identify Affiliate Collections received from time to time and (iv) to permit the segregation of such Affiliate Collections from other property of the Servicer and the Originators. The Servicer shall provide such information with respect to Affiliate Collections deposited into each Collection Account as reasonably requested by the Administrative Agent. If any payments on the Pool Receivables or other Collections are received by a Borrower, the Servicer or an Originator, it shall hold such payments in trust for the benefit of the Administrative Agent, the Lenders and the other Secured Parties and promptly (but in any event within two (2) Business Days after receipt) remit such funds into a Collection Account. The Servicer will enforce the terms of each applicable Account Control Agreement. The Servicer shall not permit funds other than (i) Collections on Pool Receivables and other Collateral and (ii) Affiliate Collections, to be deposited into any Collection Account. If any Affiliate Collections or any other funds that do not constitute Collections on Pool Receivables are deposited into any Collection Account, the Servicer will within two (2) Business Days identify and transfer such funds to the appropriate Person entitled to such funds. The Servicer will not, and will not permit any Borrower, any Originator or any other Person to commingle Collections or other funds to which the Administrative Agent, any Lender or any other Secured Party is entitled, with any other funds other than commingling of Affiliate Collections in any Collection Account. The Servicer shall only add a Collection Account (or a related Lock-Box), or a Collection Account Bank to those listed on </w:t>
      </w:r>
      <w:r>
        <w:rPr>
          <w:rFonts w:ascii="Times New Roman" w:hAnsi="Times New Roman"/>
          <w:sz w:val="20"/>
          <w:u w:val="single"/>
        </w:rPr>
        <w:t>Schedule II</w:t>
      </w:r>
      <w:r>
        <w:rPr>
          <w:rFonts w:ascii="Times New Roman" w:hAnsi="Times New Roman"/>
          <w:sz w:val="20"/>
        </w:rPr>
        <w:t xml:space="preserve"> to this Agreement, if the Administrative Agent has received notice of such addition and an executed and acknowledged copy of an Account Control Agreement (or an amendment thereto) in form and substance acceptable to the Administrative Agent from the applicable Collection Account Bank. The Servicer shall only terminate a Collection Account Bank or close a Collection Account (or a related Lock-Box), in each case, with the prior written consent of the Administrative Agent. The Servicer shall ensure that no disbursements are made from any Collection Account, other than (i) such disbursements that are made at the direction and for the account of the Borrowers and (ii) Permitted Disbursements.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set forth in this Agreement or any other Transaction Document, if an Event of Default has occurred and is continuing or a Ratings Event has occurred: </w:t>
      </w:r>
    </w:p>
    <w:p>
      <w:pPr>
        <w:pStyle w:val="TextBody"/>
        <w:bidi w:val="0"/>
        <w:spacing w:before="120" w:after="0"/>
        <w:jc w:val="left"/>
        <w:rPr>
          <w:rFonts w:ascii="Times New Roman" w:hAnsi="Times New Roman"/>
          <w:sz w:val="20"/>
        </w:rPr>
      </w:pPr>
      <w:r>
        <w:rPr>
          <w:rFonts w:ascii="Times New Roman" w:hAnsi="Times New Roman"/>
          <w:sz w:val="20"/>
        </w:rPr>
        <w:t xml:space="preserve">(i) within two Business Days of the deposit of any Affiliate Collections into any Collection Account (or the related Lock-Box), the Servicer shall identify the portion of funds deposited into each Collection Account (and any related Lock-Box) that represent Affiliate Collections;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Servicer will, and will cause each Originator to, at all times, maintain such books and records necessary to (a) identify Affiliate Collections received from time to time and (b) segregate such Affiliate Collections from Collections on Pool Receivables and other Collateral; </w:t>
      </w:r>
    </w:p>
    <w:p>
      <w:pPr>
        <w:pStyle w:val="TextBody"/>
        <w:bidi w:val="0"/>
        <w:spacing w:before="120" w:after="0"/>
        <w:jc w:val="left"/>
        <w:rPr>
          <w:rFonts w:ascii="Times New Roman" w:hAnsi="Times New Roman"/>
          <w:sz w:val="20"/>
        </w:rPr>
      </w:pPr>
      <w:r>
        <w:rPr>
          <w:rFonts w:ascii="Times New Roman" w:hAnsi="Times New Roman"/>
          <w:sz w:val="20"/>
        </w:rPr>
        <w:t xml:space="preserve">(iii) if requested by Administrative Agent following the occurrence of a Ratings Event Level II, the Servicer shall instruct the obligor of each Affiliate Receivable to cease remitting payments with respect to all Affiliate Receivables to any Collection Account or Lock-Box and to instead remit payments with respect thereto to any other account or lock-box (other than a Collection Account or Lock-Box or any other account owned by any Borrower) from time to time identified to such obligor; and </w:t>
      </w:r>
    </w:p>
    <w:p>
      <w:pPr>
        <w:pStyle w:val="TextBody"/>
        <w:bidi w:val="0"/>
        <w:spacing w:before="120" w:after="0"/>
        <w:jc w:val="left"/>
        <w:rPr>
          <w:rFonts w:ascii="Times New Roman" w:hAnsi="Times New Roman"/>
          <w:sz w:val="20"/>
        </w:rPr>
      </w:pPr>
      <w:r>
        <w:rPr>
          <w:rFonts w:ascii="Times New Roman" w:hAnsi="Times New Roman"/>
          <w:sz w:val="20"/>
        </w:rPr>
        <w:t xml:space="preserve">(iv) if requested by Administrative Agent following the occurrence of a Ratings Event Level II, the Servicer shall take commercially reasonable efforts to ensure that no Affiliate Collections are deposited into any Collection Account (or the related Lock-Box).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Extension or Amendment of Pool Receivables</w:t>
      </w:r>
      <w:r>
        <w:rPr>
          <w:rFonts w:ascii="Times New Roman" w:hAnsi="Times New Roman"/>
          <w:sz w:val="20"/>
        </w:rPr>
        <w:t xml:space="preserve">. Except as otherwise permitted in </w:t>
      </w:r>
      <w:r>
        <w:rPr>
          <w:rFonts w:ascii="Times New Roman" w:hAnsi="Times New Roman"/>
          <w:sz w:val="20"/>
          <w:u w:val="single"/>
        </w:rPr>
        <w:t>Section 9.02</w:t>
      </w:r>
      <w:r>
        <w:rPr>
          <w:rFonts w:ascii="Times New Roman" w:hAnsi="Times New Roman"/>
          <w:sz w:val="20"/>
        </w:rPr>
        <w:t xml:space="preserve">, the Servicer will not alter the delinquency status or adjust the Outstanding Balance or otherwise modify the terms of any Pool Receivable in any material respect, or amend, modify or waive, in any material respect, any term or condition of any related Contract. The Servicer shall at its expense, timely and fully perform and comply in all material respects with all provisions, covenants and other promises required to be observed by it under the Contracts related to the Pool Receivables, and timely and fully comply with the Credit and Collection Policy with regard to each Pool Receivable and the related Contract.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Change in Credit and Collection Policy</w:t>
      </w:r>
      <w:r>
        <w:rPr>
          <w:rFonts w:ascii="Times New Roman" w:hAnsi="Times New Roman"/>
          <w:sz w:val="20"/>
        </w:rPr>
        <w:t xml:space="preserve">. The Servicer will not make any material change in the Credit and Collection Policy without the prior written consent of the Administrative Agent and the Majority Lenders. Promptly following any change in the Credit and Collection Policy, the Servicer will deliver a copy of the updated Credit and Collection Policy to the Administrative Agent and each Lender.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Records</w:t>
      </w:r>
      <w:r>
        <w:rPr>
          <w:rFonts w:ascii="Times New Roman" w:hAnsi="Times New Roman"/>
          <w:sz w:val="20"/>
        </w:rPr>
        <w:t xml:space="preserve">. The Servicer will maintain and implement administrative and operating procedures (including an ability to recreate records evidencing Pool Receivables and related Contracts in the event of the destruction of the originals thereof), and keep and maintain all documents, books, records, computer tapes and disks and other information reasonably necessary or advisable for the collection of all Pool Receivables (including records adequate to permit the daily identification of each Pool Receivable and all Collections of and adjustments to each existing Pool Receivable).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Identifying of Records</w:t>
      </w:r>
      <w:r>
        <w:rPr>
          <w:rFonts w:ascii="Times New Roman" w:hAnsi="Times New Roman"/>
          <w:sz w:val="20"/>
        </w:rPr>
        <w:t xml:space="preserve">. The Servicer shall identify its master data processing records relating to Pool Receivables and related Contracts with a legend that indicates that the Pool Receivables have been pledged in accordance with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Change in Payment Instructions to Obligors</w:t>
      </w:r>
      <w:r>
        <w:rPr>
          <w:rFonts w:ascii="Times New Roman" w:hAnsi="Times New Roman"/>
          <w:sz w:val="20"/>
        </w:rPr>
        <w:t xml:space="preserve">. The Servicer shall not (and shall not permit any Sub-Servicer to) add, replace or terminate any Collection Account (or any related Lock-Box) or make any change in its instructions to the Obligors regarding payments to be made to the Collection Accounts (or any related Lock-Box), other than any instruction to remit payments to a different Collection Account (or any related Lock-Box), unless the Administrative Agent shall have received (i) prior written notice of such addition, termination or change and (ii) a signed and acknowledged Account Control Agreement (or an amendment thereto) with respect to such new Collection Accounts (or any related Lock-Box) and the Administrative Agent shall have consented to such change in writing.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Security Interest, Etc.</w:t>
      </w:r>
      <w:r>
        <w:rPr>
          <w:rFonts w:ascii="Times New Roman" w:hAnsi="Times New Roman"/>
          <w:sz w:val="20"/>
        </w:rPr>
        <w:t xml:space="preserve"> The Servicer shall, at its expense, take all action necessary to (i) establish and maintain a valid and enforceable first priority perfected security interest in the Collateral in favor of the Administrative Agent (on behalf of the Secured Parties), in each case free and clear of any Adverse Claim (other than Permitted Adverse Claims) including taking such action to perfect, protect or more fully evidence the security interest of the Administrative Agent (on behalf of the Secured Parties) as the Administrative Agent or any Secured Party may reasonably request and (ii) enable the Administrative Agent (on behalf of the Secured Parties) to exercise and enforce their respective rights and remedies under this Agreement or any other Transaction Document. In order to evidence the security interests of the Administrative Agent under this Agreement, the Servicer shall, from time to time take such action, or execute and deliver such instruments as may be necessary (including, without limitation, such actions as are reasonably requested by the Administrative Agent) to maintain and perfect, as a first-priority interest, the Administrative Agent’s security interest in the Receivables, Related Security and Collections. The Servicer shall, from time to time and within the time limits established by law, prepare and present to the Administrative Agent for the Administrative Agent’s authorization and approval, all financing statements, amendments, continuations or initial financing statements in lieu of a continuation statement, or other filings necessary to continue, maintain and perfect the Administrative Agent’s security interest as a first-priority interest. The Administrative Agent’s approval of such filings shall authorize the Servicer to file such financing statements under the UCC without the signature of any Borrower, any Originator or the Administrative Agent where allowed by Applicable Law. Notwithstanding anything else in the Transaction Documents to the contrary, the Servicer shall not have any authority to file a termination, partial termination, release, partial release, or any amendment that deletes the name of a debtor or excludes collateral of any such financing statements filed in connection with the Transaction Documents, without the prior written consent of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Further Assurances; Change in Name or Jurisdiction of Origination, Etc.</w:t>
      </w:r>
      <w:r>
        <w:rPr>
          <w:rFonts w:ascii="Times New Roman" w:hAnsi="Times New Roman"/>
          <w:sz w:val="20"/>
        </w:rPr>
        <w:t xml:space="preserve"> The Servicer hereby authorizes and hereby agrees from time to time, at its own expense, promptly to execute (if necessary) and deliver all further instruments and documents, and to take all further actions, that may be necessary or desirable, or that the Administrative Agent may reasonably request, to perfect, protect or more fully evidence the security interest granted pursuant to this Agreement or any other Transaction Document, or to enable the Administrative Agent (on behalf of the Secured Parties) to exercise and enforce their respective rights and remedies under this Agreement or any other Transaction Document. Without limiting the foregoing, the Servicer hereby authorizes, and will, upon the request of the Administrative Agent, at the Servicer’s own expense, execute (if necessary) and file such financing statements or continuation statements, or amendments thereto, and such other instruments and documents, that may be necessary or desirable, or that the Administrative Agent may reasonably request, to perfect, protect or evidence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Sanctions; Anti-Money Laundering Laws; Anti-Corruption Laws; International Trade Laws</w:t>
      </w:r>
      <w:r>
        <w:rPr>
          <w:rFonts w:ascii="Times New Roman" w:hAnsi="Times New Roman"/>
          <w:sz w:val="20"/>
        </w:rPr>
        <w:t xml:space="preserve">. The Servicer shall, and shall cause each other Covered Entity to: </w:t>
      </w:r>
    </w:p>
    <w:p>
      <w:pPr>
        <w:pStyle w:val="TextBody"/>
        <w:bidi w:val="0"/>
        <w:spacing w:before="120" w:after="0"/>
        <w:jc w:val="left"/>
        <w:rPr>
          <w:rFonts w:ascii="Times New Roman" w:hAnsi="Times New Roman"/>
          <w:sz w:val="20"/>
        </w:rPr>
      </w:pPr>
      <w:r>
        <w:rPr>
          <w:rFonts w:ascii="Times New Roman" w:hAnsi="Times New Roman"/>
          <w:sz w:val="20"/>
        </w:rPr>
        <w:t xml:space="preserve">(i) (A) immediately notify each Credit Party in writing upon the occurrence of a Reportable Compliance Event; (B) immediately provide substitute Collateral to the Administrative Agent if, at any time, any Collateral becomes Blocked Property; and (C) conduct its business in compliance with applicable Anti-Corruption Laws, Anti-Money Laundering Laws and International Trade Laws and maintain in effect policies and procedures reasonably designed to ensure compliance with all applicable Anti-Corruption Laws, Anti-Money Laundering Laws and International Trade Laws by each Covered Entity, and its directors and officers, and any employee, agent or affiliate acting on behalf of such Covered Entity in connection with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not, and not permit any of its Subsidiaries to, do any of the following, nor permit its or their respective directors, officers, employees, agents or affiliates acting on its or their behalf in connection with this Agreement to: (A) become a Sanctioned Person; (B) directly or indirectly, provide, use, or make available the proceeds of any Loan hereunder (w) to fund any activities or business of, with, or for the benefit of any Person that, at the time of such funding or facilitation, is a Sanctioned Person, (x) to fund or facilitate any activities or business of or in any Sanctioned Jurisdiction, (y) in any manner that could result in a violation by any Person of Anti-Corruption Law, Anti-Money Laundering, or International Trade Laws (including any Credit Party, underwriter, advisor, investor, or otherwise) or (z) in violation of any applicable Law, including, without limitation, any applicable Anti-Corruption Law, Anti-Money Laundering Law or International Trade Law; (C) repay any Loan with Blocked Property or funds derived from any unlawful activity; or (D) permit any Collateral to become Blocked Property; and </w:t>
      </w:r>
    </w:p>
    <w:p>
      <w:pPr>
        <w:pStyle w:val="TextBody"/>
        <w:bidi w:val="0"/>
        <w:spacing w:before="120" w:after="0"/>
        <w:jc w:val="left"/>
        <w:rPr>
          <w:rFonts w:ascii="Times New Roman" w:hAnsi="Times New Roman"/>
          <w:sz w:val="20"/>
        </w:rPr>
      </w:pPr>
      <w:r>
        <w:rPr>
          <w:rFonts w:ascii="Times New Roman" w:hAnsi="Times New Roman"/>
          <w:sz w:val="20"/>
        </w:rPr>
        <w:t xml:space="preserve">(iii) not directly or indirectly provide, use, or make available the proceeds of any Loan hereunder to any of such Borrower-Related Party’s Subsidiaries that is not a Borrower-Related Party.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Federal Assignment of Claims Act; Etc</w:t>
      </w:r>
      <w:r>
        <w:rPr>
          <w:rFonts w:ascii="Times New Roman" w:hAnsi="Times New Roman"/>
          <w:sz w:val="20"/>
        </w:rPr>
        <w:t xml:space="preserve">. If requested by the Administrative Agent following the occurrence of an Event of Default, the Servicer shall prepare and make any filings under the Federal Assignment of Claims Act (or any other similar applicable law) with respect to Receivables owing by Governmental Authorities, that are necessary in order for the Administrative Agent to enforce such Receivables against the Obligor thereof.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Taxes</w:t>
      </w:r>
      <w:r>
        <w:rPr>
          <w:rFonts w:ascii="Times New Roman" w:hAnsi="Times New Roman"/>
          <w:sz w:val="20"/>
        </w:rPr>
        <w:t xml:space="preserve">. The Servicer will (i) timely file all tax returns (federal, state and local) required to be filed by it and (ii) pay, or cause to be paid, all taxes, assessments and other governmental charges, if any, other than taxes, assessments and other governmental charges being contested in good faith by appropriate proceedings and as to which adequate reserves have been provided in accordance with GAAP, except in the case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above, where the failure to do so could not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Borrowers’ Tax Status</w:t>
      </w:r>
      <w:r>
        <w:rPr>
          <w:rFonts w:ascii="Times New Roman" w:hAnsi="Times New Roman"/>
          <w:sz w:val="20"/>
        </w:rPr>
        <w:t xml:space="preserve">. The Servicer shall not take or cause any action to be taken that could result in any Borrower (i) being treated other than as a “disregarded entity” within the meaning of U.S. Treasury Regulation § 301.7701-3 for U.S. federal income tax purposes that is wholly owned by a United States person (within the meaning of Section 7701(a)(30) of the Code), (ii) becoming an association taxable as a corporation or a publicly traded partnership taxable as a corporation for U.S. federal income tax purposes, or (iii) becoming subject to any Tax in any jurisdiction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Commingling</w:t>
      </w:r>
      <w:r>
        <w:rPr>
          <w:rFonts w:ascii="Times New Roman" w:hAnsi="Times New Roman"/>
          <w:sz w:val="20"/>
        </w:rPr>
        <w:t xml:space="preserve">. The Servicer will, and will cause each Originator to, at all times, ensure that for each calendar month, that no more than 2.5% (or after the occurrence of a Ratings Event Level II, such lesser percentage as the Administrative Agent may notify the Servicer upon no less than 30 days prior notice, which percentage may be 0%) of the aggregate amount of all funds deposited into the Collection Accounts during such calendar month constitute Affiliate Collections.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Lines of Business</w:t>
      </w:r>
      <w:r>
        <w:rPr>
          <w:rFonts w:ascii="Times New Roman" w:hAnsi="Times New Roman"/>
          <w:sz w:val="20"/>
        </w:rPr>
        <w:t xml:space="preserve">. Neither the Servicer nor any of its Subsidiaries shall engage to any substantial extent in any line or lines of business activity which would cause earnings from outdoor advertising, out of home media, logo signage and other activities reasonably ancillary thereto to constitute less than 60% of EBITDA for any period.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Certain REIT Matters</w:t>
      </w:r>
      <w:r>
        <w:rPr>
          <w:rFonts w:ascii="Times New Roman" w:hAnsi="Times New Roman"/>
          <w:sz w:val="20"/>
        </w:rPr>
        <w:t xml:space="preserve">. The Servicer shall at all times conduct its affairs, and shall cause its affiliates to conduct their affairs, in a manner so as to allow Holdings (or its successor) to qualify as a REIT under all applicable laws, rules and regulations until such time as the Board of Directors of Holdings (or its successor) deems it in the best interests of the Holdings (or its successor) and its stockholders for Holdings (or its successor) not to remain qualified as a REIT.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ESG Certificate</w:t>
      </w:r>
      <w:r>
        <w:rPr>
          <w:rFonts w:ascii="Times New Roman" w:hAnsi="Times New Roman"/>
          <w:sz w:val="20"/>
        </w:rPr>
        <w:t>. On or before the Monthly Settlement Date immediately following the ESG Margin Effective Date (the calendar month of such Monthly Settlement Date, the “</w:t>
      </w:r>
      <w:r>
        <w:rPr>
          <w:rFonts w:ascii="Times New Roman" w:hAnsi="Times New Roman"/>
          <w:sz w:val="20"/>
          <w:u w:val="single"/>
        </w:rPr>
        <w:t>ESG Reporting Month</w:t>
      </w:r>
      <w:r>
        <w:rPr>
          <w:rFonts w:ascii="Times New Roman" w:hAnsi="Times New Roman"/>
          <w:sz w:val="20"/>
        </w:rPr>
        <w:t>”) and on or before the Monthly Settlement Date occurring in the ESG Reporting Month for each successive year until the Final Payout Date, the Servicer shall furnish to the Administrative Agent a certificate in form reasonably satisfactory to the Administrative Agent (each, an “</w:t>
      </w:r>
      <w:r>
        <w:rPr>
          <w:rFonts w:ascii="Times New Roman" w:hAnsi="Times New Roman"/>
          <w:sz w:val="20"/>
          <w:u w:val="single"/>
        </w:rPr>
        <w:t>ESG Certificate</w:t>
      </w:r>
      <w:r>
        <w:rPr>
          <w:rFonts w:ascii="Times New Roman" w:hAnsi="Times New Roman"/>
          <w:sz w:val="20"/>
        </w:rPr>
        <w:t xml:space="preserve">”) containing calculations, mutually agreed by the Borrowers, the Administrative Agent and each Lender, for the prior calendar year, in reasonable detail, together with supporting information in connection therewith, signed by a Financial Officer of the Servicer and certified as being true, complete and correct in all material respects. Each party hereto hereby agrees that the Administrative Agent shall not have any responsibility for (or liability in respect of) reviewing, auditing or otherwise evaluating any calculation by the Servicer (or any of the data or computations that are part of or related to any such calculation) set forth in any ESG Certificate (and the Administrative Agent may rely conclusively on any such certificate, without further inquiry). </w:t>
      </w:r>
    </w:p>
    <w:p>
      <w:pPr>
        <w:pStyle w:val="TextBody"/>
        <w:bidi w:val="0"/>
        <w:spacing w:before="240" w:after="0"/>
        <w:jc w:val="left"/>
        <w:rPr>
          <w:rFonts w:ascii="Times New Roman" w:hAnsi="Times New Roman"/>
          <w:sz w:val="20"/>
        </w:rPr>
      </w:pPr>
      <w:r>
        <w:rPr>
          <w:rFonts w:ascii="Times New Roman" w:hAnsi="Times New Roman"/>
          <w:sz w:val="20"/>
        </w:rPr>
        <w:t>SECTION 8.03.</w:t>
      </w:r>
      <w:r>
        <w:rPr>
          <w:rFonts w:ascii="Times New Roman" w:hAnsi="Times New Roman"/>
          <w:sz w:val="20"/>
          <w:u w:val="single"/>
        </w:rPr>
        <w:t>Separate Existence of the Borrowers</w:t>
      </w:r>
      <w:r>
        <w:rPr>
          <w:rFonts w:ascii="Times New Roman" w:hAnsi="Times New Roman"/>
          <w:sz w:val="20"/>
        </w:rPr>
        <w:t xml:space="preserve">. Each of the Borrowers and the Servicer hereby acknowledges that the Secured Parties, the Lenders and the Administrative Agent are entering into the transactions contemplated by this Agreement and the other Transaction Documents in reliance upon each Borrower’s identity as a legal entity separate from any Originator, the Servicer, the Performance Guarantor and their Affiliates. Therefore, each Borrower and the Servicer shall take all steps specifically required by this Agreement or reasonably required by the Administrative Agent or any Lender to continue each Borrower’s identity as a separate legal entity and to make it apparent to third Persons that each Borrower is an entity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assets and liabilities distinct from those of the Performance Guarantor, the Originators, the Servicer and any other Person, and is not a division of the Performance Guarantor, the Originators, the Servicer, its Affiliates or any other Person. Without limiting the generality of the foregoing and in addition to and consistent with the other covenants set forth herein, each Borrower and the Servicer shall take such actions as shall be required in order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Special Purpose Entity</w:t>
      </w:r>
      <w:r>
        <w:rPr>
          <w:rFonts w:ascii="Times New Roman" w:hAnsi="Times New Roman"/>
          <w:sz w:val="20"/>
        </w:rPr>
        <w:t xml:space="preserve">. Each Borrower will be a special purpose company whose primary activities are restricted in its Limited Liability Company Agreement to: (i) purchasing or otherwise acquiring from the Originators, owning, holding, collecting, granting security interests or selling interests in the Collateral, (ii) entering into agreements for the selling, servicing and financing of the Receivables Pool (including the Transaction Documents), (iii) guaranteeing the obligations of the other Borrowers and (iv) conducting such other activities as it deems necessary or appropriate to carry out its primary activities.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Other Business or Debt</w:t>
      </w:r>
      <w:r>
        <w:rPr>
          <w:rFonts w:ascii="Times New Roman" w:hAnsi="Times New Roman"/>
          <w:sz w:val="20"/>
        </w:rPr>
        <w:t xml:space="preserve">. No Borrower shall engage in any business or activity except as set forth in this Agreement nor, incur any indebtedness or liability other than as expressly permitted by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Independent Manager</w:t>
      </w:r>
      <w:r>
        <w:rPr>
          <w:rFonts w:ascii="Times New Roman" w:hAnsi="Times New Roman"/>
          <w:sz w:val="20"/>
        </w:rPr>
        <w:t>. Not fewer than one member of each Borrower’s board of managers (the “</w:t>
      </w:r>
      <w:r>
        <w:rPr>
          <w:rFonts w:ascii="Times New Roman" w:hAnsi="Times New Roman"/>
          <w:sz w:val="20"/>
          <w:u w:val="single"/>
        </w:rPr>
        <w:t>Independent Manager</w:t>
      </w:r>
      <w:r>
        <w:rPr>
          <w:rFonts w:ascii="Times New Roman" w:hAnsi="Times New Roman"/>
          <w:sz w:val="20"/>
        </w:rPr>
        <w:t xml:space="preserve">”) shall be a natural person who (i) during the five (5) year period prior to such Person’s appointment as Independent Manager of such Borrower has not been and shall at no time during the continuation of such Person’s service as Independent Manager of such Borrower be, an equityholder, director, officer, manager, member, partner, officer, employee or associate of any member of the Parent Group (as hereinafter defined) (other than his or her service as an Independent Manager of such Borrower or an independent director of any other bankruptcy-remote special purpose entity formed for the sole purpose of securitizing, or facilitating the securitization of, financial assets of any member or members of the Parent Group), (ii) is not a customer or supplier of any member of the Parent Group (other than his or her service as an Independent Manager of such Borrower or an independent director of any other bankruptcy-remote special purpose entity formed for the sole purpose of securitizing, or facilitating the securitization of, financial assets of any member or members of the Parent Group), (iii) is not any member of the immediate family of a person described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above, and (iv) has (x) prior experience as an independent director for a corporation or limited liability company whose organizational or charter documents required the unanimous consent of all independent directors thereof before such corporation or limited liability company could consent to the institution of bankruptcy or insolvency proceedings against it or could file a petition seeking relief under any applicable federal or state law relating to bankruptcy and (y) at least three years of employment experience with one or more entities that provide, in the ordinary course of their respective businesses, advisory, management or placement services to issuers of securitization or structured finance instruments, agreements or securities. For purposes of this </w:t>
      </w:r>
      <w:r>
        <w:rPr>
          <w:rFonts w:ascii="Times New Roman" w:hAnsi="Times New Roman"/>
          <w:sz w:val="20"/>
          <w:u w:val="single"/>
        </w:rPr>
        <w:t>clause (c)</w:t>
      </w:r>
      <w:r>
        <w:rPr>
          <w:rFonts w:ascii="Times New Roman" w:hAnsi="Times New Roman"/>
          <w:sz w:val="20"/>
        </w:rPr>
        <w:t>, “</w:t>
      </w:r>
      <w:r>
        <w:rPr>
          <w:rFonts w:ascii="Times New Roman" w:hAnsi="Times New Roman"/>
          <w:sz w:val="20"/>
          <w:u w:val="single"/>
        </w:rPr>
        <w:t>Parent Group</w:t>
      </w:r>
      <w:r>
        <w:rPr>
          <w:rFonts w:ascii="Times New Roman" w:hAnsi="Times New Roman"/>
          <w:sz w:val="20"/>
        </w:rPr>
        <w:t xml:space="preserve">” shall mean (i) the Parent, the Servicer, the Performance Guarantor and each Originator, (ii) each person that directly or indirectly, owns or controls, whether beneficially, or as a trustee, guardian or other fiduciary, five percent (5%) or more of the Capital Stock in the Parent, (iii) each person that controls, is controlled by or is under common control with the Parent and (iv) each of such person’s officers, directors, managers, joint venturers and partners. For the purposes of this definition, “control” of a person means the possession, directly or indirectly, of the power to direct or cause the direction of the management and policies of a person or entity, whether through the ownership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voting securities, by contract or otherwise. A person shall be deemed to be an “associate” of (A) a corporation or organization of which such person is an officer, director, partner or manager or is, directly or indirectly, the beneficial owner of ten percent (10%) or more of any class of equity securities, (B) any trust or other estate in which such person serves as trustee or in a similar capacity and (C) any relative or spouse of a person described in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sentence, or any relative of such spouse. </w:t>
      </w:r>
    </w:p>
    <w:p>
      <w:pPr>
        <w:pStyle w:val="TextBody"/>
        <w:bidi w:val="0"/>
        <w:spacing w:before="240" w:after="0"/>
        <w:jc w:val="left"/>
        <w:rPr>
          <w:rFonts w:ascii="Times New Roman" w:hAnsi="Times New Roman"/>
          <w:sz w:val="20"/>
        </w:rPr>
      </w:pPr>
      <w:r>
        <w:rPr>
          <w:rFonts w:ascii="Times New Roman" w:hAnsi="Times New Roman"/>
          <w:sz w:val="20"/>
        </w:rPr>
        <w:t xml:space="preserve">Each Borrower shall (A) give written notice to the Administrative Agent of the election or appointment, or proposed election or appointment, of a new Independent Manager of such Borrower, which notice shall be given not later than ten (10) Business Days prior to the date such appointment or election would be effective (except when such election or appointment is necessary to fill a vacancy caused by the death, disability, or incapacity of the existing Independent Manager, or the failure of such Independent Manager to satisfy the criteria for an Independent Manager set forth in this </w:t>
      </w:r>
      <w:r>
        <w:rPr>
          <w:rFonts w:ascii="Times New Roman" w:hAnsi="Times New Roman"/>
          <w:sz w:val="20"/>
          <w:u w:val="single"/>
        </w:rPr>
        <w:t>clause (c)</w:t>
      </w:r>
      <w:r>
        <w:rPr>
          <w:rFonts w:ascii="Times New Roman" w:hAnsi="Times New Roman"/>
          <w:sz w:val="20"/>
        </w:rPr>
        <w:t xml:space="preserve">, in which case such Borrower shall provide written notice of such election or appointment within one (1) Business Day) and (B) with any such written notice, certify to the Administrative Agent that the Independent Manager satisfies the criteria for an Independent Manager set forth in this </w:t>
      </w:r>
      <w:r>
        <w:rPr>
          <w:rFonts w:ascii="Times New Roman" w:hAnsi="Times New Roman"/>
          <w:sz w:val="20"/>
          <w:u w:val="single"/>
        </w:rPr>
        <w:t>clause (c)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Borrower’s Limited Liability Company Agreement shall provide that: (A) such Borrower’s board of directors shall not approve, or take any other action to cause the filing of, a voluntary bankruptcy petition with respect to such Borrower unless the Independent Manager shall approve the taking of such action in writing before the taking of such action and (B) such provision and each other provision requiring an Independent Manager cannot be amended without the prior written consent of the Independent Manager. </w:t>
      </w:r>
    </w:p>
    <w:p>
      <w:pPr>
        <w:pStyle w:val="TextBody"/>
        <w:bidi w:val="0"/>
        <w:spacing w:before="240" w:after="0"/>
        <w:jc w:val="left"/>
        <w:rPr>
          <w:rFonts w:ascii="Times New Roman" w:hAnsi="Times New Roman"/>
          <w:sz w:val="20"/>
        </w:rPr>
      </w:pPr>
      <w:r>
        <w:rPr>
          <w:rFonts w:ascii="Times New Roman" w:hAnsi="Times New Roman"/>
          <w:sz w:val="20"/>
        </w:rPr>
        <w:t xml:space="preserve">No Independent Manager shall at any time serve as a trustee in bankruptcy for any Lamar Party or any of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Organizational Documents</w:t>
      </w:r>
      <w:r>
        <w:rPr>
          <w:rFonts w:ascii="Times New Roman" w:hAnsi="Times New Roman"/>
          <w:sz w:val="20"/>
        </w:rPr>
        <w:t xml:space="preserve">. Each Borrower shall maintain its organizational documents in conformity with this Agreement, such that it does not amend, restate, supplement or otherwise modify its ability to comply with the terms and provisions of any of the Transaction Documents, including, without limitation, </w:t>
      </w:r>
      <w:r>
        <w:rPr>
          <w:rFonts w:ascii="Times New Roman" w:hAnsi="Times New Roman"/>
          <w:sz w:val="20"/>
          <w:u w:val="single"/>
        </w:rPr>
        <w:t>Section 8.01(p)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Conduct of Business</w:t>
      </w:r>
      <w:r>
        <w:rPr>
          <w:rFonts w:ascii="Times New Roman" w:hAnsi="Times New Roman"/>
          <w:sz w:val="20"/>
        </w:rPr>
        <w:t xml:space="preserve">. Each Borrower shall conduct its affairs strictly in accordance with its organizational documents and observe all necessary, appropriate and customary company formalities, including, but not limited to, holding all regular and special members’ and board of directors’ meetings appropriate to authorize all company action, keeping separate and accurate minutes of its meetings, passing all resolutions or consents necessary to authorize actions taken or to be taken, and maintaining accurate and separate books, records and accounts, including, but not limited to, payroll and intercompany transaction accounts.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Compensation</w:t>
      </w:r>
      <w:r>
        <w:rPr>
          <w:rFonts w:ascii="Times New Roman" w:hAnsi="Times New Roman"/>
          <w:sz w:val="20"/>
        </w:rPr>
        <w:t xml:space="preserve">. Any employee, consultant or agent of any Borrower will be compensated from such Borrower’s funds for services provided to such Borrower, and to the extent that any Borrower shares the same officers or other employees as the Servicer (or any other Affiliate thereof), the salaries and expenses relating to providing benefits to such officers and other employees shall be fairly allocated among such entities, and each such entity shall bear its fair share of the salary and benefit costs associated with such common officers and employees. No Borrower will engage any agents other than its attorneys, auditors and other professionals, and a servicer and any other agent contemplated by the Transaction Documents for the Receivables Pool, which servicer will be fully compensated for its services by payment of the Servicing Fee.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Servicing and Costs</w:t>
      </w:r>
      <w:r>
        <w:rPr>
          <w:rFonts w:ascii="Times New Roman" w:hAnsi="Times New Roman"/>
          <w:sz w:val="20"/>
        </w:rPr>
        <w:t xml:space="preserve">. Each Borrower will contract with the Servicer to perform for such Borrower all operations required on a daily basis to service the Receivables Pool. No Borrower will incur any indirect or overhead expenses for items shared with the Servicer (or any other Affiliate thereof) that are not reflected in the Servicing Fee. To the extent, if any, that any Borrower (or any Affiliate thereof) shares items of expenses not reflected in the Servicing Fee, such as legal, auditing and other professional services, such expenses will be allocated to the extent practical on the basis of actual use or the value of services rendered, and otherwise on a basis reasonably related to the actual use or the value of services rendered.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Operating Expenses</w:t>
      </w:r>
      <w:r>
        <w:rPr>
          <w:rFonts w:ascii="Times New Roman" w:hAnsi="Times New Roman"/>
          <w:sz w:val="20"/>
        </w:rPr>
        <w:t xml:space="preserve">. No Borrower’s operating expenses will be paid by any Lamar Party or any Affiliate thereof.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Stationery</w:t>
      </w:r>
      <w:r>
        <w:rPr>
          <w:rFonts w:ascii="Times New Roman" w:hAnsi="Times New Roman"/>
          <w:sz w:val="20"/>
        </w:rPr>
        <w:t xml:space="preserve">. Each Borrower will have its own separate stationery.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Books and Records</w:t>
      </w:r>
      <w:r>
        <w:rPr>
          <w:rFonts w:ascii="Times New Roman" w:hAnsi="Times New Roman"/>
          <w:sz w:val="20"/>
        </w:rPr>
        <w:t xml:space="preserve">. Each Borrower’s books and records will be maintained separately from those of the other Lamar Parties and any of their Affiliates and in a manner such that it will not be difficult or costly to segregate, ascertain or otherwise identify the assets and liabilities of such Borrower.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Disclosure of Transactions</w:t>
      </w:r>
      <w:r>
        <w:rPr>
          <w:rFonts w:ascii="Times New Roman" w:hAnsi="Times New Roman"/>
          <w:sz w:val="20"/>
        </w:rPr>
        <w:t xml:space="preserve">. All financial statements of the Servicer, the Parent, the Performance Guarantor, the Originators or any Affiliate thereof that are consolidated to include the Borrowers will disclose that (i) each Borrower’s sole business consists of the purchase or acceptance through capital contributions of the Receivables and Related Rights from the Originators and the subsequent retransfer of or granting of a security interest in such Receivables and Related Rights to the Administrative Agent pursuant to this Agreement, (ii) each Borrower is a separate legal entity with its own separate creditors who will be entitled, upon its liquidation, to be satisfied out of such Borrower’s assets prior to any assets or value in such Borrower becoming available to such Borrower’s equity holders and (iii) the assets of the Borrowers are not available to pay creditors of the Servicer, the Parent, the Performance Guarantor, the Originators or any Affiliate thereof.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Segregation of Assets</w:t>
      </w:r>
      <w:r>
        <w:rPr>
          <w:rFonts w:ascii="Times New Roman" w:hAnsi="Times New Roman"/>
          <w:sz w:val="20"/>
        </w:rPr>
        <w:t xml:space="preserve">. Each Borrower’s assets will be maintained in a manner that facilitates their identification and segregation from those of the other Lamar Parties or any Affiliates thereof.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Corporate Formalities</w:t>
      </w:r>
      <w:r>
        <w:rPr>
          <w:rFonts w:ascii="Times New Roman" w:hAnsi="Times New Roman"/>
          <w:sz w:val="20"/>
        </w:rPr>
        <w:t xml:space="preserve">. Each Borrower will strictly observe limited liability company formalities in its dealings any other Lamar Party or any Affiliates thereof, and funds or other assets of the Borrowers will not be commingled with those of the other Lamar Parties or any Affiliates thereof except as permitted by this Agreement in connection with servicing the Pool Receivables. The Borrowers shall not maintain joint bank accounts or other depository accounts to which any other Lamar Party or any Affiliate thereof (other than the Servicer solely in its capacity as such) has independent access. No Borrower is named, and no Borrower has entered into any agreement to be named, directly or indirectly, as a direct or contingent beneficiary or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payee on any insurance policy with respect to any loss relating to the property of any other Lamar Party or any Subsidiaries or other Affiliates thereof. Each Borrower will pay to the appropriate Affiliate the marginal increase or, in the absence of such increase, the market amount of its portion of the premium payable with respect to any insurance policy that covers such Borrower and such Affiliate.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Arm’s-Length Relationships</w:t>
      </w:r>
      <w:r>
        <w:rPr>
          <w:rFonts w:ascii="Times New Roman" w:hAnsi="Times New Roman"/>
          <w:sz w:val="20"/>
        </w:rPr>
        <w:t xml:space="preserve">. Each Borrower will maintain arm’s-length relationships with each of the other Lamar Parties and any Affiliates thereof. Any Person that renders or otherwise furnishes services to a Borrower will be compensated by such Borrower at market rates for such services it renders or otherwise furnishes to such Borrower. Neither any Borrower on the one hand, nor any other Lamar Party or any Affiliate thereof, on the other hand, will be or will hold itself out to be responsible for the debts of the other or the decisions or actions respecting the daily business and affairs of the other. Each Lamar Party and their respective Affiliates will immediately correct any known misrepresentation with respect to the foregoing, and they will not operate or purport to operate as an integrated single economic unit with respect to each other or in their dealing with any other entity.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Allocation of Overhead</w:t>
      </w:r>
      <w:r>
        <w:rPr>
          <w:rFonts w:ascii="Times New Roman" w:hAnsi="Times New Roman"/>
          <w:sz w:val="20"/>
        </w:rPr>
        <w:t xml:space="preserve">. To the extent that any Borrower, on the one hand, and any Lamar Party or any Affiliate thereof, on the other hand, have offices in the same location, there shall be a fair and appropriate allocation of overhead costs between them, and each Borrower shall bear its fair share of such expenses, which may be paid through the Servicing Fee or otherwise.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120" w:after="0"/>
        <w:jc w:val="center"/>
        <w:rPr>
          <w:rFonts w:ascii="Times New Roman" w:hAnsi="Times New Roman"/>
          <w:b/>
          <w:sz w:val="20"/>
        </w:rPr>
      </w:pPr>
      <w:r>
        <w:rPr>
          <w:rFonts w:ascii="Times New Roman" w:hAnsi="Times New Roman"/>
          <w:b/>
          <w:sz w:val="20"/>
        </w:rPr>
        <w:t xml:space="preserve">ADMINISTRATION AND COLLECTION </w:t>
      </w:r>
    </w:p>
    <w:p>
      <w:pPr>
        <w:pStyle w:val="TextBody"/>
        <w:bidi w:val="0"/>
        <w:spacing w:before="0" w:after="0"/>
        <w:jc w:val="center"/>
        <w:rPr>
          <w:rFonts w:ascii="Times New Roman" w:hAnsi="Times New Roman"/>
          <w:b/>
          <w:sz w:val="20"/>
        </w:rPr>
      </w:pPr>
      <w:r>
        <w:rPr>
          <w:rFonts w:ascii="Times New Roman" w:hAnsi="Times New Roman"/>
          <w:b/>
          <w:sz w:val="20"/>
        </w:rPr>
        <w:t xml:space="preserve">OF RECEIVABLES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Appointment of the Servicer.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servicing, administering and collection of the Pool Receivables shall be conducted by the Person so designated from time to time as the Servicer in accordance with this </w:t>
      </w:r>
      <w:r>
        <w:rPr>
          <w:rFonts w:ascii="Times New Roman" w:hAnsi="Times New Roman"/>
          <w:sz w:val="20"/>
          <w:u w:val="single"/>
        </w:rPr>
        <w:t>Section 9.01</w:t>
      </w:r>
      <w:r>
        <w:rPr>
          <w:rFonts w:ascii="Times New Roman" w:hAnsi="Times New Roman"/>
          <w:sz w:val="20"/>
        </w:rPr>
        <w:t xml:space="preserve">. Until the Administrative Agent gives notice to Lamar (in accordance with this </w:t>
      </w:r>
      <w:r>
        <w:rPr>
          <w:rFonts w:ascii="Times New Roman" w:hAnsi="Times New Roman"/>
          <w:sz w:val="20"/>
          <w:u w:val="single"/>
        </w:rPr>
        <w:t>Section 9.01</w:t>
      </w:r>
      <w:r>
        <w:rPr>
          <w:rFonts w:ascii="Times New Roman" w:hAnsi="Times New Roman"/>
          <w:sz w:val="20"/>
        </w:rPr>
        <w:t xml:space="preserve">) of the designation of a new Servicer, Lamar is hereby designated as, and hereby agrees to perform the duties and obligations of, the Servicer pursuant to the terms hereof. Upon the occurrence and during the continuation of a Servicer Termination Event, the Administrative Agent may (with the consent of the Majority Lenders) and shall (at the direction of the Majority Lenders) designate as Servicer any Person (including itself) to succeed Lamar or any successor Servicer, on the condition in each case that any such Person so designated shall agree to perform the duties and obligations of the Servicer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(b) Upon the designation of a successor Servicer as set forth in </w:t>
      </w:r>
      <w:r>
        <w:rPr>
          <w:rFonts w:ascii="Times New Roman" w:hAnsi="Times New Roman"/>
          <w:sz w:val="20"/>
          <w:u w:val="single"/>
        </w:rPr>
        <w:t>clause (a)</w:t>
      </w:r>
      <w:r>
        <w:rPr>
          <w:rFonts w:ascii="Times New Roman" w:hAnsi="Times New Roman"/>
          <w:sz w:val="20"/>
        </w:rPr>
        <w:t xml:space="preserve"> above, Lamar agrees that it will terminate its activities as Servicer hereunder in a manner that the Administrative Agent reasonably determines will facilitate the transition of the performance of such activities to the new Servicer, and Lamar shall cooperate with and assist such new Servicer. Such cooperation shall include access to and transfer of records (including all Contracts) related to Pool Receivables and use by the new Servicer of all licenses (or the obtaining of new licenses), hardware or software necessary or reasonably desirable to collect the Pool Receivables and the Related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Lamar acknowledges that, in making its decision to execute and deliver this Agreement, the Administrative Agent and each Lender have relied on Lamar’s agreement to act as Servicer hereunder. Accordingly, Lamar agrees that it will not voluntarily resign as Servicer without the prior written consent of the Administrative Agent and the Majority Lenders. </w:t>
      </w:r>
    </w:p>
    <w:p>
      <w:pPr>
        <w:pStyle w:val="TextBody"/>
        <w:bidi w:val="0"/>
        <w:spacing w:before="240" w:after="0"/>
        <w:jc w:val="left"/>
        <w:rPr>
          <w:rFonts w:ascii="Times New Roman" w:hAnsi="Times New Roman"/>
          <w:sz w:val="20"/>
        </w:rPr>
      </w:pPr>
      <w:r>
        <w:rPr>
          <w:rFonts w:ascii="Times New Roman" w:hAnsi="Times New Roman"/>
          <w:sz w:val="20"/>
        </w:rPr>
        <w:t>(d) The Servicer may delegate its duties and obligations hereunder to any subservicer (each a “</w:t>
      </w:r>
      <w:r>
        <w:rPr>
          <w:rFonts w:ascii="Times New Roman" w:hAnsi="Times New Roman"/>
          <w:sz w:val="20"/>
          <w:u w:val="single"/>
        </w:rPr>
        <w:t>Sub-Servicer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each such delegation: (i) such Sub-Servicer shall agree in writing to perform the delegated duties and obligations of the Servicer pursuant to the terms hereof, (ii) the Servicer shall remain liable for the performance of the duties and obligations so delegated, (iii) the Borrowers, the Administrative Agent and each Lender shall have the right to look solely to the Servicer for performance, (iv) the terms of any agreement with any Sub-Servicer shall provide that the Administrative Agent may terminate such agreement upon the termination of the Servicer hereunder by giving notice of its desire to terminate such agreement to the Servicer (and the Servicer shall provide appropriate notice to each such Sub-Servicer) and (v) if such Sub-Servicer is not an Affiliate of the Parent, the Administrative Agent and the Majority Lenders shall have consented in writing in advance to such delegation.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Duties of the Servicer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Servicer shall take or cause to be taken all such action as may be necessary or reasonably advisable to service, administer and collect each Pool Receivable from time to time, all in accordance with this Agreement and all Applicable Laws, with reasonable care and diligence, and in accordance with the Credit and Collection Policy and consistent with the past practices of the Originators. The Servicer shall set aside, for the accounts of each Credit Party, the amount of Collections to which each such Credit Party is entitled in accordance with </w:t>
      </w:r>
      <w:r>
        <w:rPr>
          <w:rFonts w:ascii="Times New Roman" w:hAnsi="Times New Roman"/>
          <w:sz w:val="20"/>
          <w:u w:val="single"/>
        </w:rPr>
        <w:t>Article IV</w:t>
      </w:r>
      <w:r>
        <w:rPr>
          <w:rFonts w:ascii="Times New Roman" w:hAnsi="Times New Roman"/>
          <w:sz w:val="20"/>
        </w:rPr>
        <w:t xml:space="preserve"> hereof. The Servicer may, in accordance with the Credit and Collection Policy and consistent with past practices of the Originators, take such action, including modifications, waivers or restructurings of Pool Receivables and related Contracts, as the Servicer may reasonably determine to be appropriate to maximize Collections thereof or reflect adjustments expressly permitted under the Credit and Collection Policy or as expressly required under Applicable Laws, including, for these purposes, requirements Holdings must satisfy to continue to qualify as a REIT for federal income tax purposes, or the applicable Contract; </w:t>
      </w:r>
      <w:r>
        <w:rPr>
          <w:rFonts w:ascii="Times New Roman" w:hAnsi="Times New Roman"/>
          <w:sz w:val="20"/>
          <w:u w:val="single"/>
        </w:rPr>
        <w:t>provided</w:t>
      </w:r>
      <w:r>
        <w:rPr>
          <w:rFonts w:ascii="Times New Roman" w:hAnsi="Times New Roman"/>
          <w:sz w:val="20"/>
        </w:rPr>
        <w:t xml:space="preserve">, that for purposes of this Agreement: (i) such action shall not, and shall not be deemed to, change the number of days such Pool Receivable has remained unpaid from the date of the original due date related to such Pool Receivable, (ii) such action shall not alter the status of such Pool Receivable as a Delinquent Receivable or a Defaulted Receivable or limit the rights of any Secured Party under this Agreement or any other Transaction Document and (iii) if a Servicer Termination Event has occurred and is continuing, the Servicer may take such action only upon the prior written consent of the Administrative Agent. Each Borrower shall deliver to the Servicer and the Servicer shall hold for the benefit of the Administrative Agent (individually and for the benefit of each Credit Party), in accordance with their respective interests, all records and documents (including computer tapes or disks) with respect to each Pool Receivable. Notwithstanding anything to the contrary contained herein, if an Event of Default has occurred and is continuing, the Administrative Agent may direct the Servicer to commence or settle any legal action to enforce collection of any Pool Receivable that is a Defaulted Receivable or to foreclose upon or repossess any Related Security with respect to any such Defaulted Receivable.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Servicer shall, as soon as practicable following actual receipt of collected funds, turn over to the Borrowers the collections of any indebtedness that is not a Pool Receivable, less, if Lamar or an Affiliate thereof is not the Servicer, all reasonable and appropriate out-of-pocket costs and expenses of such Servicer of servicing, collecting and administering such collections. The Servicer, if other than Lamar or an Affiliate thereof, shall, as soon as practicable upon demand, deliver to the applicable Borrower all records in its possession that evidence or relate to any indebtedness that is not a Pool Receivable, and copies of records in its possession that evidence or relate to any indebtedness that is a Pool Receivable. </w:t>
      </w:r>
    </w:p>
    <w:p>
      <w:pPr>
        <w:pStyle w:val="TextBody"/>
        <w:bidi w:val="0"/>
        <w:spacing w:before="240" w:after="0"/>
        <w:jc w:val="left"/>
        <w:rPr>
          <w:rFonts w:ascii="Times New Roman" w:hAnsi="Times New Roman"/>
          <w:sz w:val="20"/>
        </w:rPr>
      </w:pPr>
      <w:r>
        <w:rPr>
          <w:rFonts w:ascii="Times New Roman" w:hAnsi="Times New Roman"/>
          <w:sz w:val="20"/>
        </w:rPr>
        <w:t xml:space="preserve">(c) The Servicer’s obligations hereunder shall terminate on the Final Payout Date. Promptly following the Final Payout Date, the Servicer shall deliver to the Borrowers all books, records and related materials that the Borrowers previously provided to the Servicer, or that have been obtained by the Servicer, in connection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Collection Account Arrangements.</w:t>
      </w:r>
      <w:r>
        <w:rPr>
          <w:rFonts w:ascii="Times New Roman" w:hAnsi="Times New Roman"/>
          <w:sz w:val="20"/>
        </w:rPr>
        <w:t xml:space="preserve"> The Borrowers shall have entered into Account Control Agreements with all of the Collection Account Banks and delivered executed counterparts of each to the Administrative Agent. Upon the occurrence and during the continuance of an Event of Default, the Administrative Agent may (with the consent of the Majority Lenders) and shall (upon the direction of the Majority Lenders) at any time thereafter give notice to each Collection Account Bank that the Administrative Agent is exercising its rights under the Account Control Agreements to do any or all of the following: (a) to have the exclusive dominion and control of the Collection Accounts transferred to the Administrative Agent (for the benefit of the Secured Parties) and to exercise exclusive dominion and control over the funds deposited therein (for the benefit of the Secured Parties), (b) to have the proceeds that are sent to the respective Collection Accounts redirected pursuant to the Administrative Agent’s instructions rather than deposited in the applicable Collection Account and (c) to take any or all other actions permitted under the applicable Account Control Agreement. Each Borrower hereby agrees that if the Administrative Agent at any time takes any action set forth in the preceding sentence, the Administrative Agent shall have exclusive control (for the benefit of the Secured Parties) of the proceeds (including Collections) of all Pool Receivables and each Borrower hereby further agrees to take any other action that the Administrative Agent may reasonably request to transfer such control. Any proceeds of Pool Receivables received by the Borrowers or the Servicer thereafter shall be sent immediately to, or as otherwise instructed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Enforcement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any time following the occurrence and during the continuation of an Event of Default, a Servicer Termination Event or a Ratings Event Level II,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 if a Servicer Termination Event has occurred and is continuing, the Administrative Agent (at the Borrowers’ expense) may direct the Obligors that payment of all amounts payable under any Pool Receivable is to be made directly to (A) the Administrative Agent or its designee or (B) a Collection Account or a Lock-Box;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a Ratings Event Level II has occurred and is continuing, the Administrative Agent may instruct any Borrower or the Servicer to direct the Obligors that payment of all amounts payable under Pool Receivables are to be made directly to a Collection Account or a Lock-Box, and such Borrower or the Servicer, as the case may be, shall give such notice at the expense of such Borrower or the Servicer, as the case may be; </w:t>
      </w:r>
      <w:r>
        <w:rPr>
          <w:rFonts w:ascii="Times New Roman" w:hAnsi="Times New Roman"/>
          <w:sz w:val="20"/>
          <w:u w:val="single"/>
        </w:rPr>
        <w:t>provided</w:t>
      </w:r>
      <w:r>
        <w:rPr>
          <w:rFonts w:ascii="Times New Roman" w:hAnsi="Times New Roman"/>
          <w:sz w:val="20"/>
        </w:rPr>
        <w:t xml:space="preserve">, that if such Borrower or the Servicer, as the case may be, fails to so notify each Obligor within two (2) Business Days following instruction by the Administrative Agent, the Administrative Agent (at such Borrower’s or the Servicer’s, as the case may be, expense) may so notify the Obligors; </w:t>
      </w:r>
    </w:p>
    <w:p>
      <w:pPr>
        <w:pStyle w:val="TextBody"/>
        <w:bidi w:val="0"/>
        <w:spacing w:before="120" w:after="0"/>
        <w:jc w:val="left"/>
        <w:rPr>
          <w:rFonts w:ascii="Times New Roman" w:hAnsi="Times New Roman"/>
          <w:sz w:val="20"/>
        </w:rPr>
      </w:pPr>
      <w:r>
        <w:rPr>
          <w:rFonts w:ascii="Times New Roman" w:hAnsi="Times New Roman"/>
          <w:sz w:val="20"/>
        </w:rPr>
        <w:t xml:space="preserve">(iii) if a Servicer Termination Event has occurred and is continuing, the Administrative Agent may instruct any Borrower or the Servicer to give notice of the Secured Parties’ interest in Pool Receivables to each Obligor, which notice shall direct that payments be made directly to (A) the Administrative Agent or its designee (on behalf of the Secured Parties) or (B) a Collection Account or a Lock-Box, and such Borrower or the Servicer, as the case may be, shall give such notice at the expense of such Borrower or the Servicer, as the case may be; </w:t>
      </w:r>
      <w:r>
        <w:rPr>
          <w:rFonts w:ascii="Times New Roman" w:hAnsi="Times New Roman"/>
          <w:sz w:val="20"/>
          <w:u w:val="single"/>
        </w:rPr>
        <w:t>provided</w:t>
      </w:r>
      <w:r>
        <w:rPr>
          <w:rFonts w:ascii="Times New Roman" w:hAnsi="Times New Roman"/>
          <w:sz w:val="20"/>
        </w:rPr>
        <w:t xml:space="preserve">, that if such Borrower or the Servicer, as the case may be, fails to so notify each Obligor within two (2) Business Days following instruction by the Administrative Agent, the Administrative Agent (at such Borrower’s or the Servicer’s, as the case may be, expense) may so notify the Obligors; </w:t>
      </w:r>
    </w:p>
    <w:p>
      <w:pPr>
        <w:pStyle w:val="TextBody"/>
        <w:bidi w:val="0"/>
        <w:spacing w:before="120" w:after="0"/>
        <w:jc w:val="left"/>
        <w:rPr>
          <w:rFonts w:ascii="Times New Roman" w:hAnsi="Times New Roman"/>
          <w:sz w:val="20"/>
        </w:rPr>
      </w:pPr>
      <w:r>
        <w:rPr>
          <w:rFonts w:ascii="Times New Roman" w:hAnsi="Times New Roman"/>
          <w:sz w:val="20"/>
        </w:rPr>
        <w:t xml:space="preserve">(iv) if an Event of Default or a Servicer Termination Event has occurred and is continuing, the Administrative Agent may request the Servicer to, and upon such request the Servicer shall: (A) assemble all of the records necessary or desirable to collect the Pool Receivables and the Related Security, and transfer or license to a successor Servicer the use of all software necessary or desirable to collect the Pool Receivables and the Related Security, and make the same available to the Administrative Agent or its designee (for the benefit of the Secured Parties) at a place selected by the Administrative Agent and (B) segregate all cash, checks and other instruments received by it from time to time constituting Collections in a manner reasonably acceptable to the Administrative Agent and, promptly upon receipt, remit all such cash, checks and instruments, duly endorsed or with duly executed instruments of transfer, to the Administrative Agent or its designee; </w:t>
      </w:r>
    </w:p>
    <w:p>
      <w:pPr>
        <w:pStyle w:val="TextBody"/>
        <w:bidi w:val="0"/>
        <w:spacing w:before="120" w:after="0"/>
        <w:jc w:val="left"/>
        <w:rPr>
          <w:rFonts w:ascii="Times New Roman" w:hAnsi="Times New Roman"/>
          <w:sz w:val="20"/>
        </w:rPr>
      </w:pPr>
      <w:r>
        <w:rPr>
          <w:rFonts w:ascii="Times New Roman" w:hAnsi="Times New Roman"/>
          <w:sz w:val="20"/>
        </w:rPr>
        <w:t xml:space="preserve">(v) if an Event of Default has occurred and is continuing, the Administrative Agent may notify the Collection Account Banks that such Borrower and the Servicer will no longer have any access to the Collection Accounts; </w:t>
      </w:r>
    </w:p>
    <w:p>
      <w:pPr>
        <w:pStyle w:val="TextBody"/>
        <w:bidi w:val="0"/>
        <w:spacing w:before="120" w:after="0"/>
        <w:jc w:val="left"/>
        <w:rPr>
          <w:rFonts w:ascii="Times New Roman" w:hAnsi="Times New Roman"/>
          <w:sz w:val="20"/>
        </w:rPr>
      </w:pPr>
      <w:r>
        <w:rPr>
          <w:rFonts w:ascii="Times New Roman" w:hAnsi="Times New Roman"/>
          <w:sz w:val="20"/>
        </w:rPr>
        <w:t xml:space="preserve">(vi) if a Servicer Termination Event has occurred and is continuing, the Administrative Agent may (or, at the direction of the Majority Lenders shall) replace the Person then acting as Servicer; and </w:t>
      </w:r>
    </w:p>
    <w:p>
      <w:pPr>
        <w:pStyle w:val="TextBody"/>
        <w:bidi w:val="0"/>
        <w:spacing w:before="120" w:after="0"/>
        <w:jc w:val="left"/>
        <w:rPr>
          <w:rFonts w:ascii="Times New Roman" w:hAnsi="Times New Roman"/>
          <w:sz w:val="20"/>
        </w:rPr>
      </w:pPr>
      <w:r>
        <w:rPr>
          <w:rFonts w:ascii="Times New Roman" w:hAnsi="Times New Roman"/>
          <w:sz w:val="20"/>
        </w:rPr>
        <w:t xml:space="preserve">(vii) if an Event of Default has occurred and is continuing, the Administrative Agent may collect any amounts due from an Originator under each Purchase and Sale Agreement or the Performance Guarantor under the Performance Guaranty.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the foregoing rights and remedies of the Administrative Agent upon an Event of Default, a Servicer Termination Event or a Ratings Event Level II are in addition to and not exclusive of the rights and remedies contained herein and under the other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(b) Each Borrower hereby authorizes the Administrative Agent (on behalf of the Secured Parties), and irrevocably appoints the Administrative Agent as its attorney-in-fact with full power of substitution and with full authority in the place and stead of such Borrower, which appointment is coupled with an interest, to take any and all steps in the name of such Borrower and on behalf of such Borrower necessary or desirable, in the reasonable determination of the Administrative Agent, after the occurrence and during the continuation of an Event of Default, to collect any and all amounts or portions thereof due under any and all Collateral, including endorsing the name of such Borrower on checks and other instruments representing Collections and enforcing such Collateral. Notwithstanding anything to the contrary contained in this subsection, none of the powers conferred upon such attorney-in-fact pursuant to the preceding sentence shall subject such attorney-in-fact to any liability if any action taken by it shall prove to be inadequate or invalid, nor shall they confer any obligations upon such attorney-in-fact in any manner whatsoever. </w:t>
      </w:r>
    </w:p>
    <w:p>
      <w:pPr>
        <w:pStyle w:val="TextBody"/>
        <w:bidi w:val="0"/>
        <w:spacing w:before="240" w:after="0"/>
        <w:jc w:val="left"/>
        <w:rPr>
          <w:rFonts w:ascii="Times New Roman" w:hAnsi="Times New Roman"/>
          <w:sz w:val="20"/>
        </w:rPr>
      </w:pPr>
      <w:r>
        <w:rPr>
          <w:rFonts w:ascii="Times New Roman" w:hAnsi="Times New Roman"/>
          <w:sz w:val="20"/>
        </w:rPr>
        <w:t xml:space="preserve">(c) The Servicer hereby authorizes the Administrative Agent (on behalf of the Secured Parties), and irrevocably appoints the Administrative Agent as its attorney-in-fact with full power of substitution and with full authority in the place and stead of the Servicer, which appointment is coupled with an interest, to take any and all steps in the name of the Servicer and on behalf of the Servicer necessary or desirable, in the reasonable determination of the Administrative Agent, after the occurrence and during the continuation of an Event of Default, to collect any and all amounts or portions thereof due under any and all Collateral, including endorsing the name of the Servicer on checks and other instruments representing Collections and enforcing such Collateral. Notwithstanding anything to the contrary contained in this subsection, none of the powers conferred upon such attorney-in-fact pursuant to the preceding sentence shall subject such attorney-in-fact to any liability if any action taken by it shall prove to be inadequate or invalid, nor shall they confer any obligations upon such attorney-in-fact in any manner whatsoever. </w:t>
      </w:r>
    </w:p>
    <w:p>
      <w:pPr>
        <w:pStyle w:val="TextBody"/>
        <w:bidi w:val="0"/>
        <w:spacing w:before="240" w:after="0"/>
        <w:jc w:val="left"/>
        <w:rPr>
          <w:rFonts w:ascii="Times New Roman" w:hAnsi="Times New Roman"/>
          <w:sz w:val="20"/>
        </w:rPr>
      </w:pPr>
      <w:r>
        <w:rPr>
          <w:rFonts w:ascii="Times New Roman" w:hAnsi="Times New Roman"/>
          <w:sz w:val="20"/>
        </w:rPr>
        <w:t xml:space="preserve">(d) At any time following the occurrence of an Event of Default that has not been waived in accordance with this Agreement, to the extent that the Administrative Agent has exercised exclusive dominion and control over the Collection Accounts, the Servicer may, in its sole discretion, and shall at the direction of the Administrative Agent, deliver to the Administrative Agent a Commingling Report on any Business Day. Upon receipt of such Commingling Report, the Administrative Agent shall promptly review such Commingling Report to determine if such Commingling Report constitutes a Qualifying Commingling Report. In the event that the Administrative Agent reasonably determines that such Commingling Report constitutes a Qualifying Commingling Report, the Administrative Agent shall, unless otherwise directed by any Governmental Authority or otherwise prohibited by Applicable Law, promptly remit to the Servicer from the Collection Accounts the lesser of (i) the amount identified on such Qualifying Commingling Report as Affiliate Collections on deposit in the Collection Accounts and (ii) the aggregate amount of available funds then on deposit in the Collection Accounts. For purposes of this </w:t>
      </w:r>
      <w:r>
        <w:rPr>
          <w:rFonts w:ascii="Times New Roman" w:hAnsi="Times New Roman"/>
          <w:sz w:val="20"/>
          <w:u w:val="single"/>
        </w:rPr>
        <w:t>clause (d)</w:t>
      </w:r>
      <w:r>
        <w:rPr>
          <w:rFonts w:ascii="Times New Roman" w:hAnsi="Times New Roman"/>
          <w:sz w:val="20"/>
        </w:rPr>
        <w:t xml:space="preserve">, each of the following terms shall have the meanings set forth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Commingling Report</w:t>
      </w:r>
      <w:r>
        <w:rPr>
          <w:rFonts w:ascii="Times New Roman" w:hAnsi="Times New Roman"/>
          <w:sz w:val="20"/>
        </w:rPr>
        <w:t xml:space="preserve">” shall mean any report, in form and substance reasonably satisfactory to the Administrative Agent, setting forth information in reasonable detail relating to the amount on deposit in the Collection Accounts and the portions thereof representing Collections and Affiliate Collections. </w:t>
      </w:r>
    </w:p>
    <w:p>
      <w:pPr>
        <w:pStyle w:val="TextBody"/>
        <w:bidi w:val="0"/>
        <w:spacing w:before="120" w:after="0"/>
        <w:jc w:val="left"/>
        <w:rPr/>
      </w:pPr>
      <w:r>
        <w:rPr/>
        <w:t>“</w:t>
      </w:r>
      <w:r>
        <w:rPr>
          <w:rFonts w:ascii="Times New Roman" w:hAnsi="Times New Roman"/>
          <w:sz w:val="20"/>
          <w:u w:val="single"/>
        </w:rPr>
        <w:t>Qualifying Commingling Report</w:t>
      </w:r>
      <w:r>
        <w:rPr>
          <w:rFonts w:ascii="Times New Roman" w:hAnsi="Times New Roman"/>
          <w:sz w:val="20"/>
        </w:rPr>
        <w:t xml:space="preserve">” shall mean any Commingling Report that satisfies each of the following conditions: (A) such Commingling Report is calculated as of the immediately prior Business Day, (B) such Commingling Report sets forth, in reasonable detail, the calculation of the aggregate amount on deposit in the Collection Accounts and the portion thereof representing Collections and Affiliate Collections, (C) such Commingling Report identifies the Obligor and the related Receivable for each portion of the Collections on deposit in the Collection Accounts, (D) such Commingling Report identifies the obligor and the related Affiliate Receivable for each portion of the Affiliate Collections on deposit in the Collection Accounts and (E) the Administrative Agent does not in good faith reasonably believe that any of the information or calculations set forth in such Commingling Report is false or incorrect in any material respect (and notice of any such determination shall be provided promptly to the Servicer).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Responsibilities of the Borrowers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Anything herein to the contrary notwithstanding, each Borrower shall: (i) perform all of its obligations, if any, under the Contracts related to the Pool Receivables to the same extent as if interests in such Pool Receivables had not been transferred hereunder, and the exercise by the Administrative Agent, or any other Credit Party of their respective rights hereunder shall not relieve such Borrower from such obligations and (ii) pay when due any taxes, including any sales taxes payable in connection with the Pool Receivables and their creation and satisfaction. None of the Credit Parties shall have any obligation or liability with respect to any Collateral, nor shall any of them be obligated to perform any of the obligations of any Lamar Party thereunder. </w:t>
      </w:r>
    </w:p>
    <w:p>
      <w:pPr>
        <w:pStyle w:val="TextBody"/>
        <w:bidi w:val="0"/>
        <w:spacing w:before="240" w:after="0"/>
        <w:jc w:val="left"/>
        <w:rPr>
          <w:rFonts w:ascii="Times New Roman" w:hAnsi="Times New Roman"/>
          <w:sz w:val="20"/>
        </w:rPr>
      </w:pPr>
      <w:r>
        <w:rPr>
          <w:rFonts w:ascii="Times New Roman" w:hAnsi="Times New Roman"/>
          <w:sz w:val="20"/>
        </w:rPr>
        <w:t xml:space="preserve">(b) Lamar hereby irrevocably agrees that if at any time it shall cease to be the Servicer hereunder, it shall act (if the then-current Servicer so requests) as the data-processing agent of the Servicer and, in such capacity, Lamar shall conduct the data-processing functions of the administration of the Receivables and the Collections thereon in substantially the same way that Lamar conducted such data-processing functions while it acted as the Servicer. In connection with any such processing functions, the Borrowers shall pay to Lamar its reasonable out-of-pocket costs and expenses from the Borrowers’ own funds (subject to the priority of payments set forth in </w:t>
      </w:r>
      <w:r>
        <w:rPr>
          <w:rFonts w:ascii="Times New Roman" w:hAnsi="Times New Roman"/>
          <w:sz w:val="20"/>
          <w:u w:val="single"/>
        </w:rPr>
        <w:t>Section 4.01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Servicing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clause (b)</w:t>
      </w:r>
      <w:r>
        <w:rPr>
          <w:rFonts w:ascii="Times New Roman" w:hAnsi="Times New Roman"/>
          <w:sz w:val="20"/>
        </w:rPr>
        <w:t> below, the Borrowers shall pay the Servicer a fee (the “</w:t>
      </w:r>
      <w:r>
        <w:rPr>
          <w:rFonts w:ascii="Times New Roman" w:hAnsi="Times New Roman"/>
          <w:sz w:val="20"/>
          <w:u w:val="single"/>
        </w:rPr>
        <w:t>Servicing Fee</w:t>
      </w:r>
      <w:r>
        <w:rPr>
          <w:rFonts w:ascii="Times New Roman" w:hAnsi="Times New Roman"/>
          <w:sz w:val="20"/>
        </w:rPr>
        <w:t>”) equal to 1.00% per annum (the “</w:t>
      </w:r>
      <w:r>
        <w:rPr>
          <w:rFonts w:ascii="Times New Roman" w:hAnsi="Times New Roman"/>
          <w:sz w:val="20"/>
          <w:u w:val="single"/>
        </w:rPr>
        <w:t>Servicing Fee Rate</w:t>
      </w:r>
      <w:r>
        <w:rPr>
          <w:rFonts w:ascii="Times New Roman" w:hAnsi="Times New Roman"/>
          <w:sz w:val="20"/>
        </w:rPr>
        <w:t xml:space="preserve">”) of the daily average aggregate Outstanding Balance of the Pool Receivables. Accrued Servicing Fees shall be payable from Collections to the extent of available funds in accordance with </w:t>
      </w:r>
      <w:r>
        <w:rPr>
          <w:rFonts w:ascii="Times New Roman" w:hAnsi="Times New Roman"/>
          <w:sz w:val="20"/>
          <w:u w:val="single"/>
        </w:rPr>
        <w:t>Section 4.01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the Servicer ceases to be Lamar or an Affiliate thereof, the Servicing Fee shall be the greater of: (i) the amount calculated pursuant to </w:t>
      </w:r>
      <w:r>
        <w:rPr>
          <w:rFonts w:ascii="Times New Roman" w:hAnsi="Times New Roman"/>
          <w:sz w:val="20"/>
          <w:u w:val="single"/>
        </w:rPr>
        <w:t>clause (a)</w:t>
      </w:r>
      <w:r>
        <w:rPr>
          <w:rFonts w:ascii="Times New Roman" w:hAnsi="Times New Roman"/>
          <w:sz w:val="20"/>
        </w:rPr>
        <w:t xml:space="preserve"> above and (ii) an alternative amount specified by the successor Servicer not to exceed 110% of the aggregate reasonable costs and expenses incurred by such successor Servicer in connection with the performance of its obligations as Servicer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120" w:after="0"/>
        <w:jc w:val="center"/>
        <w:rPr>
          <w:rFonts w:ascii="Times New Roman" w:hAnsi="Times New Roman"/>
          <w:b/>
          <w:sz w:val="20"/>
        </w:rPr>
      </w:pPr>
      <w:r>
        <w:rPr>
          <w:rFonts w:ascii="Times New Roman" w:hAnsi="Times New Roman"/>
          <w:b/>
          <w:sz w:val="20"/>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Events of Default</w:t>
      </w:r>
      <w:r>
        <w:rPr>
          <w:rFonts w:ascii="Times New Roman" w:hAnsi="Times New Roman"/>
          <w:sz w:val="20"/>
        </w:rPr>
        <w:t>. If any of the following events (each an “</w:t>
      </w:r>
      <w:r>
        <w:rPr>
          <w:rFonts w:ascii="Times New Roman" w:hAnsi="Times New Roman"/>
          <w:sz w:val="20"/>
          <w:u w:val="single"/>
        </w:rPr>
        <w:t>Event of Default</w:t>
      </w:r>
      <w:r>
        <w:rPr>
          <w:rFonts w:ascii="Times New Roman" w:hAnsi="Times New Roman"/>
          <w:sz w:val="20"/>
        </w:rPr>
        <w:t xml:space="preserve">”) shall occur: </w:t>
      </w:r>
    </w:p>
    <w:p>
      <w:pPr>
        <w:pStyle w:val="TextBody"/>
        <w:bidi w:val="0"/>
        <w:spacing w:before="120" w:after="0"/>
        <w:jc w:val="left"/>
        <w:rPr>
          <w:rFonts w:ascii="Times New Roman" w:hAnsi="Times New Roman"/>
          <w:sz w:val="20"/>
        </w:rPr>
      </w:pPr>
      <w:r>
        <w:rPr>
          <w:rFonts w:ascii="Times New Roman" w:hAnsi="Times New Roman"/>
          <w:sz w:val="20"/>
        </w:rPr>
        <w:t xml:space="preserve">(a) (i) any Lamar Party shall fail to perform or observe any term, covenant or agreement under this Agreement or any other Transaction Document (other than any such failure which would constitute an Event of Default under </w:t>
      </w:r>
      <w:r>
        <w:rPr>
          <w:rFonts w:ascii="Times New Roman" w:hAnsi="Times New Roman"/>
          <w:sz w:val="20"/>
          <w:u w:val="single"/>
        </w:rPr>
        <w:t>clause (ii)</w:t>
      </w:r>
      <w:r>
        <w:rPr>
          <w:rFonts w:ascii="Times New Roman" w:hAnsi="Times New Roman"/>
          <w:sz w:val="20"/>
        </w:rPr>
        <w:t xml:space="preserve"> or </w:t>
      </w:r>
      <w:r>
        <w:rPr>
          <w:rFonts w:ascii="Times New Roman" w:hAnsi="Times New Roman"/>
          <w:sz w:val="20"/>
          <w:u w:val="single"/>
        </w:rPr>
        <w:t>(iii)</w:t>
      </w:r>
      <w:r>
        <w:rPr>
          <w:rFonts w:ascii="Times New Roman" w:hAnsi="Times New Roman"/>
          <w:sz w:val="20"/>
        </w:rPr>
        <w:t xml:space="preserve"> of this </w:t>
      </w:r>
      <w:r>
        <w:rPr>
          <w:rFonts w:ascii="Times New Roman" w:hAnsi="Times New Roman"/>
          <w:sz w:val="20"/>
          <w:u w:val="single"/>
        </w:rPr>
        <w:t>paragraph (a)</w:t>
      </w:r>
      <w:r>
        <w:rPr>
          <w:rFonts w:ascii="Times New Roman" w:hAnsi="Times New Roman"/>
          <w:sz w:val="20"/>
        </w:rPr>
        <w:t xml:space="preserve">), and such failure, solely to the extent capable of cure, shall continue for thirty (30) days, (ii) any Lamar Party shall fail to make when due any payment or deposit required to be made by it under this Agreement or any other Transaction Document as and when due and such failure shall continue unremedied for two (2) Business Days or (iii) Lamar shall resign as Servicer, and no successor Servicer reasonably satisfactory to the Administrative Agent shall have been appointed; </w:t>
      </w:r>
    </w:p>
    <w:p>
      <w:pPr>
        <w:pStyle w:val="TextBody"/>
        <w:bidi w:val="0"/>
        <w:spacing w:before="240" w:after="0"/>
        <w:jc w:val="left"/>
        <w:rPr>
          <w:rFonts w:ascii="Times New Roman" w:hAnsi="Times New Roman"/>
          <w:sz w:val="20"/>
        </w:rPr>
      </w:pPr>
      <w:r>
        <w:rPr>
          <w:rFonts w:ascii="Times New Roman" w:hAnsi="Times New Roman"/>
          <w:sz w:val="20"/>
        </w:rPr>
        <w:t xml:space="preserve">(b) any representation or warranty made or deemed made by any Lamar Party (or any of their respective officers) under or in connection with this Agreement or any other Transaction Document or any information or report delivered by any Lamar Party pursuant to this Agreement or any other Transaction Document, shall prove to have been incorrect or untrue in any material respect when made or deemed made or delivered; </w:t>
      </w:r>
    </w:p>
    <w:p>
      <w:pPr>
        <w:pStyle w:val="TextBody"/>
        <w:bidi w:val="0"/>
        <w:spacing w:before="240" w:after="0"/>
        <w:jc w:val="left"/>
        <w:rPr>
          <w:rFonts w:ascii="Times New Roman" w:hAnsi="Times New Roman"/>
          <w:sz w:val="20"/>
        </w:rPr>
      </w:pPr>
      <w:r>
        <w:rPr>
          <w:rFonts w:ascii="Times New Roman" w:hAnsi="Times New Roman"/>
          <w:sz w:val="20"/>
        </w:rPr>
        <w:t xml:space="preserve">(c) any Borrower or the Servicer shall fail to deliver an Information Package or Interim Report at the time required pursuant to this Agreement, and such failure shall remain unremedied for two (2) Business Days; </w:t>
      </w:r>
    </w:p>
    <w:p>
      <w:pPr>
        <w:pStyle w:val="TextBody"/>
        <w:bidi w:val="0"/>
        <w:spacing w:before="240" w:after="0"/>
        <w:jc w:val="left"/>
        <w:rPr>
          <w:rFonts w:ascii="Times New Roman" w:hAnsi="Times New Roman"/>
          <w:sz w:val="20"/>
        </w:rPr>
      </w:pPr>
      <w:r>
        <w:rPr>
          <w:rFonts w:ascii="Times New Roman" w:hAnsi="Times New Roman"/>
          <w:sz w:val="20"/>
        </w:rPr>
        <w:t xml:space="preserve">(d) this Agreement or any security interest granted pursuant to this Agreement or any other Transaction Document shall for any reason cease to create, or for any reason cease to be, a valid and enforceable first priority perfected security interest in favor of the Administrative Agent with respect to the Collateral, free and clear of any Adverse Claim; </w:t>
      </w:r>
    </w:p>
    <w:p>
      <w:pPr>
        <w:pStyle w:val="TextBody"/>
        <w:bidi w:val="0"/>
        <w:spacing w:before="240" w:after="0"/>
        <w:jc w:val="left"/>
        <w:rPr>
          <w:rFonts w:ascii="Times New Roman" w:hAnsi="Times New Roman"/>
          <w:sz w:val="20"/>
        </w:rPr>
      </w:pPr>
      <w:r>
        <w:rPr>
          <w:rFonts w:ascii="Times New Roman" w:hAnsi="Times New Roman"/>
          <w:sz w:val="20"/>
        </w:rPr>
        <w:t xml:space="preserve">(e) any Lamar Party shall generally not pay its debts as such debts become due, or shall admit in writing its inability to pay its debts generally, or shall make a general assignment for the benefit of creditors; or any Insolvency Proceeding shall be instituted by or against any Lamar Party and, in the case of any such proceeding instituted against such Person (but not instituted by such Person), either such proceeding shall remain undismissed or unstayed for a period of sixty (60) consecutive days, or any of the actions sought in such proceeding (including the entry of an order for relief against, or the appointment of a receiver, trustee, custodian or other similar official for, it or for any substantial part of its property) shall occur; or any Lamar Party shall take any corporate or organizational action to authorize any of the actions set forth above in this paragraph;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 the average for three consecutive Fiscal Months of: (A) the Default Ratio shall exceed 3.50%, (B) the Delinquency Ratio shall exceed, (x) solely with respect to any Subject Period, </w:t>
      </w:r>
      <w:r>
        <w:rPr>
          <w:rFonts w:ascii="Times New Roman" w:hAnsi="Times New Roman"/>
          <w:strike/>
          <w:color w:val="FF0000"/>
          <w:sz w:val="20"/>
        </w:rPr>
        <w:t>16.00</w:t>
      </w:r>
      <w:r>
        <w:rPr>
          <w:rFonts w:ascii="Times New Roman" w:hAnsi="Times New Roman"/>
          <w:color w:val="0000FF"/>
          <w:sz w:val="20"/>
          <w:u w:val="single"/>
          <w:bdr w:val="double" w:sz="2" w:space="1" w:color="000000"/>
        </w:rPr>
        <w:t>11.00</w:t>
      </w:r>
      <w:r>
        <w:rPr>
          <w:rFonts w:ascii="Times New Roman" w:hAnsi="Times New Roman"/>
          <w:sz w:val="20"/>
        </w:rPr>
        <w:t xml:space="preserve">% and, (y) otherwise, </w:t>
      </w:r>
      <w:r>
        <w:rPr>
          <w:rFonts w:ascii="Times New Roman" w:hAnsi="Times New Roman"/>
          <w:strike/>
          <w:color w:val="FF0000"/>
          <w:sz w:val="20"/>
        </w:rPr>
        <w:t>13.00</w:t>
      </w:r>
      <w:r>
        <w:rPr>
          <w:rFonts w:ascii="Times New Roman" w:hAnsi="Times New Roman"/>
          <w:color w:val="0000FF"/>
          <w:sz w:val="20"/>
          <w:u w:val="single"/>
          <w:bdr w:val="double" w:sz="2" w:space="1" w:color="000000"/>
        </w:rPr>
        <w:t>8.00</w:t>
      </w:r>
      <w:r>
        <w:rPr>
          <w:rFonts w:ascii="Times New Roman" w:hAnsi="Times New Roman"/>
          <w:sz w:val="20"/>
        </w:rPr>
        <w:t xml:space="preserve">% or (C) the Dilution Ratio shall exceed 5.00% or (ii) the Days’ Sales Outstanding shall exceed 65 days; </w:t>
      </w:r>
    </w:p>
    <w:p>
      <w:pPr>
        <w:pStyle w:val="TextBody"/>
        <w:bidi w:val="0"/>
        <w:spacing w:before="240" w:after="0"/>
        <w:jc w:val="left"/>
        <w:rPr>
          <w:rFonts w:ascii="Times New Roman" w:hAnsi="Times New Roman"/>
          <w:sz w:val="20"/>
        </w:rPr>
      </w:pPr>
      <w:r>
        <w:rPr>
          <w:rFonts w:ascii="Times New Roman" w:hAnsi="Times New Roman"/>
          <w:sz w:val="20"/>
        </w:rPr>
        <w:t xml:space="preserve">(g) a Change in Control shall occur; </w:t>
      </w:r>
    </w:p>
    <w:p>
      <w:pPr>
        <w:pStyle w:val="TextBody"/>
        <w:bidi w:val="0"/>
        <w:spacing w:before="240" w:after="0"/>
        <w:jc w:val="left"/>
        <w:rPr>
          <w:rFonts w:ascii="Times New Roman" w:hAnsi="Times New Roman"/>
          <w:sz w:val="20"/>
        </w:rPr>
      </w:pPr>
      <w:r>
        <w:rPr>
          <w:rFonts w:ascii="Times New Roman" w:hAnsi="Times New Roman"/>
          <w:sz w:val="20"/>
        </w:rPr>
        <w:t xml:space="preserve">(h) a Borrowing Base Deficit shall occur, and shall not have been cured within two (2) Business Days; </w:t>
      </w:r>
    </w:p>
    <w:p>
      <w:pPr>
        <w:pStyle w:val="TextBody"/>
        <w:bidi w:val="0"/>
        <w:spacing w:before="240" w:after="0"/>
        <w:jc w:val="left"/>
        <w:rPr>
          <w:rFonts w:ascii="Times New Roman" w:hAnsi="Times New Roman"/>
          <w:sz w:val="20"/>
        </w:rPr>
      </w:pPr>
      <w:r>
        <w:rPr>
          <w:rFonts w:ascii="Times New Roman" w:hAnsi="Times New Roman"/>
          <w:sz w:val="20"/>
        </w:rPr>
        <w:t xml:space="preserve">(i) (i) any Borrower shall fail to pay any principal of or premium or interest on any of its Debt when the same becomes due and payable (whether by scheduled maturity, required prepayment, acceleration, demand or otherwise), and such failure shall continue after the applicable grace period, if any, specified in the agreement, mortgage, indenture or instrument relating to such Debt (whether or not such failure shall have been waived under the related agreement, unless each of the Lenders or an Affiliate thereof are then a party to such related agreement and have consented to such waiver under such related agreement); (ii) any Lamar Party or Holdings, or any of their respective Subsidiaries, individually or in the aggregate, shall fail to pay any principal of or premium or interest on (x) any Debt under the Credit Agreement or (y) any Material Indebtedness when the same becomes due and payable (whether by scheduled maturity, required prepayment, acceleration, demand or otherwise), and such failure shall continue after the applicable grace period, if any, specified in the Credit Agreement or such agreement, mortgage, indenture or instrument relating to such Debt (whether or not such failure shall have been waived under the related agreement, unless each of the Lenders or an Affiliate thereof are then a party to such related agreement and have consented to such waiver under such related agreement); (iii) any other event shall occur or condition shall exist under the Credit Agreement or any other agreement, mortgage, indenture or instrument relating to Material Indebtedness and shall continue after the applicable grace period (not to exceed 30 days), if any, specified in the Credit Agreement or such other agreement, mortgage, indenture or instrument (whether or not such failure shall have been waived under the related agreement if it relates to any of (x) any financial covenant, (y) any Insolvency Proceeding or (z) the inability to pay debts as they become due, unless each of the Lenders or an Affiliate thereof are then a party to such related agreement and have consented to such waiver under such related agreement), if the effect of such event or condition is to give the applicable debtholders the right (whether acted upon or not) to accelerate the maturity of such Debt (as referred to in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of this paragraph) or to terminate the commitment of any lender thereunder, or (iv) any such Debt (as referred to in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of this paragraph) shall be declared to be due and payable, or required to be prepaid (other than by a regularly scheduled required prepayment or a mandatory partial prepayment in accordance with the definitive documents governing such Debt), redeemed, purchased or defeased, or an offer to repay, redeem, purchase or defease such Debt shall be required to be made or the commitment of any lender thereunder terminated, in each case before the stated maturity thereof; </w:t>
      </w:r>
    </w:p>
    <w:p>
      <w:pPr>
        <w:pStyle w:val="TextBody"/>
        <w:bidi w:val="0"/>
        <w:spacing w:before="240" w:after="0"/>
        <w:jc w:val="left"/>
        <w:rPr>
          <w:rFonts w:ascii="Times New Roman" w:hAnsi="Times New Roman"/>
          <w:sz w:val="20"/>
        </w:rPr>
      </w:pPr>
      <w:r>
        <w:rPr>
          <w:rFonts w:ascii="Times New Roman" w:hAnsi="Times New Roman"/>
          <w:sz w:val="20"/>
        </w:rPr>
        <w:t xml:space="preserve">(j) any “Event of Default” (as defined in the Credit Agreement) shall occur under the Credit Agreement (for the avoidance of doubt, this </w:t>
      </w:r>
      <w:r>
        <w:rPr>
          <w:rFonts w:ascii="Times New Roman" w:hAnsi="Times New Roman"/>
          <w:sz w:val="20"/>
          <w:u w:val="single"/>
        </w:rPr>
        <w:t>clause (j)</w:t>
      </w:r>
      <w:r>
        <w:rPr>
          <w:rFonts w:ascii="Times New Roman" w:hAnsi="Times New Roman"/>
          <w:sz w:val="20"/>
        </w:rPr>
        <w:t xml:space="preserve"> shall not be construed to limit the preceding </w:t>
      </w:r>
      <w:r>
        <w:rPr>
          <w:rFonts w:ascii="Times New Roman" w:hAnsi="Times New Roman"/>
          <w:sz w:val="20"/>
          <w:u w:val="single"/>
        </w:rPr>
        <w:t>clause (i)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the Performance Guarantor shall fail to perform any of its obligations under the Performance Guaranty; </w:t>
      </w:r>
    </w:p>
    <w:p>
      <w:pPr>
        <w:pStyle w:val="TextBody"/>
        <w:bidi w:val="0"/>
        <w:spacing w:before="240" w:after="0"/>
        <w:jc w:val="left"/>
        <w:rPr>
          <w:rFonts w:ascii="Times New Roman" w:hAnsi="Times New Roman"/>
          <w:sz w:val="20"/>
        </w:rPr>
      </w:pPr>
      <w:r>
        <w:rPr>
          <w:rFonts w:ascii="Times New Roman" w:hAnsi="Times New Roman"/>
          <w:sz w:val="20"/>
        </w:rPr>
        <w:t xml:space="preserve">(l) any Borrower shall fail (x) at any time (other than for ten (10) Business Days following notice of the death or resignation of any Independent Manager) to have an Independent Manager who satisfies each requirement and qualification specified in </w:t>
      </w:r>
      <w:r>
        <w:rPr>
          <w:rFonts w:ascii="Times New Roman" w:hAnsi="Times New Roman"/>
          <w:sz w:val="20"/>
          <w:u w:val="single"/>
        </w:rPr>
        <w:t>Section 8.03(c)</w:t>
      </w:r>
      <w:r>
        <w:rPr>
          <w:rFonts w:ascii="Times New Roman" w:hAnsi="Times New Roman"/>
          <w:sz w:val="20"/>
        </w:rPr>
        <w:t xml:space="preserve"> of this Agreement for Independent Managers, on such Borrower’s board of managers or (y) to timely notify the Administrative Agent of any replacement or appointment of any director that is to serve as an Independent Manager on such Borrower’s board of directors as required pursuant to </w:t>
      </w:r>
      <w:r>
        <w:rPr>
          <w:rFonts w:ascii="Times New Roman" w:hAnsi="Times New Roman"/>
          <w:sz w:val="20"/>
          <w:u w:val="single"/>
        </w:rPr>
        <w:t>Section 8.03(c)</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(m) any Borrower or the Servicer shall breach </w:t>
      </w:r>
      <w:r>
        <w:rPr>
          <w:rFonts w:ascii="Times New Roman" w:hAnsi="Times New Roman"/>
          <w:sz w:val="20"/>
          <w:u w:val="single"/>
        </w:rPr>
        <w:t>Sections 7.01(n), 7.01(z), 7.02(r), 7.02(x), 8.01(v) or 8.02(n)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 either (i) the Internal Revenue Service shall file notice of a lien pursuant to Section 6323 of the Code (A) with regard to any assets of any Lamar Party, if either (x) such lien attaches to any portion of the Collateral or (y) such lien or the related failure to pay any Tax could reasonably be expected to result in a Material Adverse Effect or (B) with regard to any assets of any Borrower, and with respect to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above, such lien shall not have been released within ten (10) Business Days following notice or knowledge thereof or (ii) the PBGC shall, or shall indicate its intention to, file notice of a lien pursuant to Section 303(k) or 4068 of ERISA with regard to any of the assets of any Lamar Party; </w:t>
      </w:r>
    </w:p>
    <w:p>
      <w:pPr>
        <w:pStyle w:val="TextBody"/>
        <w:bidi w:val="0"/>
        <w:spacing w:before="240" w:after="0"/>
        <w:jc w:val="left"/>
        <w:rPr>
          <w:rFonts w:ascii="Times New Roman" w:hAnsi="Times New Roman"/>
          <w:sz w:val="20"/>
        </w:rPr>
      </w:pPr>
      <w:r>
        <w:rPr>
          <w:rFonts w:ascii="Times New Roman" w:hAnsi="Times New Roman"/>
          <w:sz w:val="20"/>
        </w:rPr>
        <w:t xml:space="preserve">(o) (i) the occurrence of a Reportable Event; (ii) the adoption of an amendment to a Pension Plan that would require the provision of security pursuant to Section 401(a)(29) of the Code; (iii) the existence with respect to any Multiemployer Plan of an “accumulated funding deficiency” (as defined in Section 431 of the Code or Section 304 of ERISA), whether or not waived; (iv) the failure to satisfy the minimum funding standard under Section 412 of the Code with respect to any Pension Plan; (v) the incurrence of any liability under Title IV of ERISA with respect to the termination of any Pension Plan or the withdrawal or partial withdrawal of any Lamar Party or any of their respective ERISA Affiliates from any Multiemployer Plan; (vi) the receipt by any Lamar Party or any of their respective ERISA Affiliates from the PBGC or any plan administrator of any notice relating to the intention to terminate any Pension Plan or Multiemployer Plan or to appoint a trustee to administer any Pension Plan or Multiemployer Plan; (vii) the receipt by any Lamar Party or any of their respective ERISA Affiliates of any notice concerning the imposition of Withdrawal Liability or a determination that a Multiemployer Plan is, or is expected to be, insolvent within the meaning of Title IV of ERISA; (viii) the occurrence of a prohibited transaction with respect to any Lamar Party or any of their respective ERISA Affiliates (pursuant to Section 4975 of the Code); or (ix) the occurrence or existence of any other similar event or condition with respect to a Pension Plan or a Multiemployer Plan, and with respect to each of </w:t>
      </w:r>
      <w:r>
        <w:rPr>
          <w:rFonts w:ascii="Times New Roman" w:hAnsi="Times New Roman"/>
          <w:sz w:val="20"/>
          <w:u w:val="single"/>
        </w:rPr>
        <w:t>clause (i)</w:t>
      </w:r>
      <w:r>
        <w:rPr>
          <w:rFonts w:ascii="Times New Roman" w:hAnsi="Times New Roman"/>
          <w:sz w:val="20"/>
        </w:rPr>
        <w:t xml:space="preserve"> through </w:t>
      </w:r>
      <w:r>
        <w:rPr>
          <w:rFonts w:ascii="Times New Roman" w:hAnsi="Times New Roman"/>
          <w:sz w:val="20"/>
          <w:u w:val="single"/>
        </w:rPr>
        <w:t>(ix)</w:t>
      </w:r>
      <w:r>
        <w:rPr>
          <w:rFonts w:ascii="Times New Roman" w:hAnsi="Times New Roman"/>
          <w:sz w:val="20"/>
        </w:rPr>
        <w:t xml:space="preserve">, any such events or conditions either individually or in the aggregate, could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(p) [Reserved]; </w:t>
      </w:r>
    </w:p>
    <w:p>
      <w:pPr>
        <w:pStyle w:val="TextBody"/>
        <w:bidi w:val="0"/>
        <w:spacing w:before="240" w:after="0"/>
        <w:jc w:val="left"/>
        <w:rPr>
          <w:rFonts w:ascii="Times New Roman" w:hAnsi="Times New Roman"/>
          <w:sz w:val="20"/>
        </w:rPr>
      </w:pPr>
      <w:r>
        <w:rPr>
          <w:rFonts w:ascii="Times New Roman" w:hAnsi="Times New Roman"/>
          <w:sz w:val="20"/>
        </w:rPr>
        <w:t xml:space="preserve">(q) a Purchase and Sale Termination Event shall occur under any Purchase and Sale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any Borrower shall (i) be required to register as an “investment company” within the meaning of the Investment Company Act or (ii) become a “covered fund” within the meaning of the Volcker Rule; </w:t>
      </w:r>
    </w:p>
    <w:p>
      <w:pPr>
        <w:pStyle w:val="TextBody"/>
        <w:bidi w:val="0"/>
        <w:spacing w:before="240" w:after="0"/>
        <w:jc w:val="left"/>
        <w:rPr>
          <w:rFonts w:ascii="Times New Roman" w:hAnsi="Times New Roman"/>
          <w:sz w:val="20"/>
        </w:rPr>
      </w:pPr>
      <w:r>
        <w:rPr>
          <w:rFonts w:ascii="Times New Roman" w:hAnsi="Times New Roman"/>
          <w:sz w:val="20"/>
        </w:rPr>
        <w:t xml:space="preserve">(s) any material provision of this Agreement or any other Transaction Document shall cease to be in full force and effect or any Lamar Party (or any of their respective Affiliates) shall so state in writing; </w:t>
      </w:r>
    </w:p>
    <w:p>
      <w:pPr>
        <w:pStyle w:val="TextBody"/>
        <w:bidi w:val="0"/>
        <w:spacing w:before="240" w:after="0"/>
        <w:jc w:val="left"/>
        <w:rPr>
          <w:rFonts w:ascii="Times New Roman" w:hAnsi="Times New Roman"/>
          <w:sz w:val="20"/>
        </w:rPr>
      </w:pPr>
      <w:r>
        <w:rPr>
          <w:rFonts w:ascii="Times New Roman" w:hAnsi="Times New Roman"/>
          <w:sz w:val="20"/>
        </w:rPr>
        <w:t xml:space="preserve">(t) Holdings has (i) any direct Subsidiary other than the Performance Guarantor, (ii) any direct ownership of any operating assets or (iii) any direct ownership of any material assets other than its direct ownership of the Performance Guarantor; </w:t>
      </w:r>
    </w:p>
    <w:p>
      <w:pPr>
        <w:pStyle w:val="TextBody"/>
        <w:bidi w:val="0"/>
        <w:spacing w:before="240" w:after="0"/>
        <w:jc w:val="left"/>
        <w:rPr>
          <w:rFonts w:ascii="Times New Roman" w:hAnsi="Times New Roman"/>
          <w:sz w:val="20"/>
        </w:rPr>
      </w:pPr>
      <w:r>
        <w:rPr>
          <w:rFonts w:ascii="Times New Roman" w:hAnsi="Times New Roman"/>
          <w:sz w:val="20"/>
        </w:rPr>
        <w:t xml:space="preserve">(u) a Financial Covenant Event shall occur; or </w:t>
      </w:r>
    </w:p>
    <w:p>
      <w:pPr>
        <w:pStyle w:val="TextBody"/>
        <w:bidi w:val="0"/>
        <w:spacing w:before="240" w:after="0"/>
        <w:jc w:val="left"/>
        <w:rPr>
          <w:rFonts w:ascii="Times New Roman" w:hAnsi="Times New Roman"/>
          <w:sz w:val="20"/>
        </w:rPr>
      </w:pPr>
      <w:r>
        <w:rPr>
          <w:rFonts w:ascii="Times New Roman" w:hAnsi="Times New Roman"/>
          <w:sz w:val="20"/>
        </w:rPr>
        <w:t xml:space="preserve">(v) one or more judgments or decrees shall be entered against any Lamar Party, or any Affiliate of any of the foregoing involving in the aggregate a liability (not paid or to the extent not covered by a reputable and solvent insurance company) and such judgments and decrees either shall be final and non-appealable or shall not be vacated, discharged or stayed or bonded pending appeal for any period of 60 consecutive days, and the aggregate amount of all such judgments equals or exceeds $100,000,000 (or solely with respect to any Borrower, $15,775), or any action shall be legally taken by a judgment creditor to levy upon assets or properties of any Lamar Party or any Affiliate thereof to enforce any such judgment; </w:t>
      </w:r>
    </w:p>
    <w:p>
      <w:pPr>
        <w:pStyle w:val="TextBody"/>
        <w:bidi w:val="0"/>
        <w:spacing w:before="240" w:after="0"/>
        <w:jc w:val="left"/>
        <w:rPr>
          <w:rFonts w:ascii="Times New Roman" w:hAnsi="Times New Roman"/>
          <w:sz w:val="20"/>
        </w:rPr>
      </w:pPr>
      <w:r>
        <w:rPr>
          <w:rFonts w:ascii="Times New Roman" w:hAnsi="Times New Roman"/>
          <w:sz w:val="20"/>
        </w:rPr>
        <w:t xml:space="preserve">then, and in any such event, the Administrative Agent may (or, at the direction of the Majority Lenders shall) by notice to the Borrowers (x) declare the Termination Date to have occurred (in which case the Termination Date shall be deemed to have occurred), (y) declare the Final Maturity Date to have occurred (in which case the Final Maturity Date shall be deemed to have occurred) and (z) declare the Aggregate Capital and all other Borrower Obligations to be immediately due and payable (in which case the Aggregate Capital and all other Borrower Obligations shall be immediately due and payable); </w:t>
      </w:r>
      <w:r>
        <w:rPr>
          <w:rFonts w:ascii="Times New Roman" w:hAnsi="Times New Roman"/>
          <w:sz w:val="20"/>
          <w:u w:val="single"/>
        </w:rPr>
        <w:t>provided</w:t>
      </w:r>
      <w:r>
        <w:rPr>
          <w:rFonts w:ascii="Times New Roman" w:hAnsi="Times New Roman"/>
          <w:sz w:val="20"/>
        </w:rPr>
        <w:t xml:space="preserve"> that, automatically upon the occurrence of any event (without any requirement for the giving of notice) described in </w:t>
      </w:r>
      <w:r>
        <w:rPr>
          <w:rFonts w:ascii="Times New Roman" w:hAnsi="Times New Roman"/>
          <w:sz w:val="20"/>
          <w:u w:val="single"/>
        </w:rPr>
        <w:t>clause (e)</w:t>
      </w:r>
      <w:r>
        <w:rPr>
          <w:rFonts w:ascii="Times New Roman" w:hAnsi="Times New Roman"/>
          <w:sz w:val="20"/>
        </w:rPr>
        <w:t xml:space="preserve"> of this </w:t>
      </w:r>
      <w:r>
        <w:rPr>
          <w:rFonts w:ascii="Times New Roman" w:hAnsi="Times New Roman"/>
          <w:sz w:val="20"/>
          <w:u w:val="single"/>
        </w:rPr>
        <w:t>Section 10.01</w:t>
      </w:r>
      <w:r>
        <w:rPr>
          <w:rFonts w:ascii="Times New Roman" w:hAnsi="Times New Roman"/>
          <w:sz w:val="20"/>
        </w:rPr>
        <w:t xml:space="preserve"> with respect to any Borrower, the Termination Date shall occur and the Aggregate Capital and all other Borrower Obligations shall be immediately due and payable. Upon any such declaration or designation or upon such automatic termination, the Administrative Agent and the other Secured Parties shall have, in addition to the rights and remedies which they may have under this Agreement and the other Transaction Documents, all other rights and remedies provided after default under the UCC and under other Applicable Law, which rights and remedies shall be cumulative. Any proceeds from liquidation of the Collateral shall be applied in the order of priority set forth in </w:t>
      </w:r>
      <w:r>
        <w:rPr>
          <w:rFonts w:ascii="Times New Roman" w:hAnsi="Times New Roman"/>
          <w:sz w:val="20"/>
          <w:u w:val="single"/>
        </w:rPr>
        <w:t>Section 4.01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120" w:after="0"/>
        <w:jc w:val="center"/>
        <w:rPr>
          <w:rFonts w:ascii="Times New Roman" w:hAnsi="Times New Roman"/>
          <w:b/>
          <w:sz w:val="20"/>
        </w:rPr>
      </w:pPr>
      <w:r>
        <w:rPr>
          <w:rFonts w:ascii="Times New Roman" w:hAnsi="Times New Roman"/>
          <w:b/>
          <w:sz w:val="20"/>
        </w:rPr>
        <w:t xml:space="preserve">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sz w:val="20"/>
          <w:u w:val="single"/>
        </w:rPr>
        <w:t>Authorization and Action</w:t>
      </w:r>
      <w:r>
        <w:rPr>
          <w:rFonts w:ascii="Times New Roman" w:hAnsi="Times New Roman"/>
          <w:sz w:val="20"/>
        </w:rPr>
        <w:t xml:space="preserve">. Each Credit Party hereby appoints and authorizes the Administrative Agent to take such action as agent on its behalf and to exercise such powers under this Agreement as are delegated to the Administrative Agent by the terms hereof, together with such powers as are reasonably incidental thereto. The Administrative Agent shall not have any duties other than those expressly set forth in the Transaction Documents, and no implied obligations or liabilities shall be read into any Transaction Document, or otherwise exist, against the Administrative Agent. The Administrative Agent does not assume, nor shall it be deemed to have assumed, any obligation to, or relationship of trust or agency with, any Borrower or any Affiliate thereof or any Credit Party except for any obligations expressly set forth herein. Notwithstanding any provision of this Agreement or any other Transaction Document, in no event shall the Administrative Agent ever be required to take any action which exposes the Administrative Agent to personal liability or which is contrary to any provision of any Transaction Document or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sz w:val="20"/>
          <w:u w:val="single"/>
        </w:rPr>
        <w:t>Administrative Agent’s Reliance, Etc</w:t>
      </w:r>
      <w:r>
        <w:rPr>
          <w:rFonts w:ascii="Times New Roman" w:hAnsi="Times New Roman"/>
          <w:sz w:val="20"/>
        </w:rPr>
        <w:t xml:space="preserve">. Neither the Administrative Agent nor any of its directors, officers, agents or employees shall be liable for any action taken or omitted to be taken by it or them as Administrative Agent under or in connection with this Agreement (including, without limitation, the Administrative Agent’s servicing, administering or collecting Pool Receivables in the event it replaces the Servicer in such capacity pursuant to </w:t>
      </w:r>
      <w:r>
        <w:rPr>
          <w:rFonts w:ascii="Times New Roman" w:hAnsi="Times New Roman"/>
          <w:sz w:val="20"/>
          <w:u w:val="single"/>
        </w:rPr>
        <w:t>Section 9.01</w:t>
      </w:r>
      <w:r>
        <w:rPr>
          <w:rFonts w:ascii="Times New Roman" w:hAnsi="Times New Roman"/>
          <w:sz w:val="20"/>
        </w:rPr>
        <w:t xml:space="preserve">), in the absence of its or their own gross negligence or willful misconduct. Without limiting the generality of the foregoing, the Administrative Agent: (a) may consult with legal counsel (including counsel for any Credit Party or the Servicer), independent certified public accountants and other experts selected by it and shall not be liable for any action taken or omitted to be taken in good faith by it in accordance with the advice of such counsel, accountants or experts; (b) makes no warranty or representation to any Credit Party (whether written or oral) and shall not be responsible to any Credit Party for any statements, warranties or representations (whether written or oral) made by any other party in or in connection with this Agreement; (c) shall not have any duty to ascertain or to inquire as to the performance or observance of any of the terms, covenants or conditions of this Agreement on the part of any Credit Party or to inspect the property (including the books and records) of any Credit Party; (d) shall not be responsible to any Credit Party for the due execution, legality, validity, enforceability, genuineness, sufficiency or value of this Agreement or any other instrument or document furnished pursuant hereto; and (e) shall be entitled to rely, and shall be fully protected in so relying, upon any notice (including notice by telephone), consent, certificate or other instrument or writing (which may be by facsimile) believed by it to be genuine and signed or sent by the proper party or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11.03. </w:t>
      </w:r>
      <w:r>
        <w:rPr>
          <w:rFonts w:ascii="Times New Roman" w:hAnsi="Times New Roman"/>
          <w:sz w:val="20"/>
          <w:u w:val="single"/>
        </w:rPr>
        <w:t>Administrative Agent and Affiliates</w:t>
      </w:r>
      <w:r>
        <w:rPr>
          <w:rFonts w:ascii="Times New Roman" w:hAnsi="Times New Roman"/>
          <w:sz w:val="20"/>
        </w:rPr>
        <w:t xml:space="preserve">. With respect to any Credit Extension or interests therein owned by any Credit Party that is also the Administrative Agent, such Credit Party shall have the same rights and powers under this Agreement as any other Credit Party and may exercise the same as though it were not the Administrative Agent. The Administrative Agent and any of its Affiliates may generally engage in any kind of business with any Borrower or any Affiliate thereof and any Person who may do business with or own securities of any Borrower or any Affiliate thereof, all as if the Administrative Agent were not the Administrative Agent hereunder and without any duty to account therefor to any other Secured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11.04. </w:t>
      </w:r>
      <w:r>
        <w:rPr>
          <w:rFonts w:ascii="Times New Roman" w:hAnsi="Times New Roman"/>
          <w:sz w:val="20"/>
          <w:u w:val="single"/>
        </w:rPr>
        <w:t>Indemnification of Administrative Agent</w:t>
      </w:r>
      <w:r>
        <w:rPr>
          <w:rFonts w:ascii="Times New Roman" w:hAnsi="Times New Roman"/>
          <w:sz w:val="20"/>
        </w:rPr>
        <w:t xml:space="preserve">. Each Lender agrees to indemnify the Administrative Agent (to the extent not reimbursed by the Borrowers or any Affiliate thereof), ratably according to the respective Percentage of such Lender, from and against any and all liabilities, obligations, losses, damages, penalties, actions, judgments, suits, costs, expenses or disbursements of any kind or nature whatsoever which may be imposed on, incurred by, or asserted against the Administrative Agent in any way relating to or arising out of this Agreement or any other Transaction Document or any action taken or omitted by the Administrative Agent under this Agreement or any other Transaction Document; </w:t>
      </w:r>
      <w:r>
        <w:rPr>
          <w:rFonts w:ascii="Times New Roman" w:hAnsi="Times New Roman"/>
          <w:sz w:val="20"/>
          <w:u w:val="single"/>
        </w:rPr>
        <w:t>provided</w:t>
      </w:r>
      <w:r>
        <w:rPr>
          <w:rFonts w:ascii="Times New Roman" w:hAnsi="Times New Roman"/>
          <w:sz w:val="20"/>
        </w:rPr>
        <w:t xml:space="preserve">, that no Lender shall be liable for any portion of such liabilities, obligations, losses, damages, penalties, actions, judgments, suits, costs, expenses or disbursements resulting from the Administrative Agent’s gross negligence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SECTION 11.05. </w:t>
      </w:r>
      <w:r>
        <w:rPr>
          <w:rFonts w:ascii="Times New Roman" w:hAnsi="Times New Roman"/>
          <w:sz w:val="20"/>
          <w:u w:val="single"/>
        </w:rPr>
        <w:t>Delegation of Duties</w:t>
      </w:r>
      <w:r>
        <w:rPr>
          <w:rFonts w:ascii="Times New Roman" w:hAnsi="Times New Roman"/>
          <w:sz w:val="20"/>
        </w:rPr>
        <w:t xml:space="preserve">. The Administrative Agent may execute any of its duties through agents or attorneys-in-fact and shall be entitled to advice of counsel concerning all matters pertaining to such duties. The Administrative Agent shall not be responsible for the negligence or misconduct of any agents or attorneys-in-fact selected by it with reasonable care. </w:t>
      </w:r>
    </w:p>
    <w:p>
      <w:pPr>
        <w:pStyle w:val="TextBody"/>
        <w:bidi w:val="0"/>
        <w:spacing w:before="240" w:after="0"/>
        <w:jc w:val="left"/>
        <w:rPr>
          <w:rFonts w:ascii="Times New Roman" w:hAnsi="Times New Roman"/>
          <w:sz w:val="20"/>
        </w:rPr>
      </w:pPr>
      <w:r>
        <w:rPr>
          <w:rFonts w:ascii="Times New Roman" w:hAnsi="Times New Roman"/>
          <w:sz w:val="20"/>
        </w:rPr>
        <w:t xml:space="preserve">SECTION 11.06. </w:t>
      </w:r>
      <w:r>
        <w:rPr>
          <w:rFonts w:ascii="Times New Roman" w:hAnsi="Times New Roman"/>
          <w:sz w:val="20"/>
          <w:u w:val="single"/>
        </w:rPr>
        <w:t>Action or Inaction by Administrative Agent</w:t>
      </w:r>
      <w:r>
        <w:rPr>
          <w:rFonts w:ascii="Times New Roman" w:hAnsi="Times New Roman"/>
          <w:sz w:val="20"/>
        </w:rPr>
        <w:t xml:space="preserve">. The Administrative Agent shall in all cases be fully justified in failing or refusing to take action under any Transaction Document unless it shall first receive such advice or concurrence of the Majority Lenders and assurance of its indemnification by the Lenders, as it deems appropriate. The Administrative Agent shall in all cases be fully protected in acting, or in refraining from acting, under this Agreement or any other Transaction Document in accordance with a request or at the direction of the Majority Lenders, and such request or direction and any action taken or failure to act pursuant thereto shall be binding upon all Credit Parties. The Credit Parties and the Administrative Agent agree that unless any action to be taken by the Administrative Agent under a Transaction Document (i) specifically requires the advice or concurrence of all Lenders or (ii) may be taken by the Administrative Agent alone or without any advice or concurrence of any Lender, then the Administrative Agent may take action based upon the advice or concurrence of the Majority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11.07. </w:t>
      </w:r>
      <w:r>
        <w:rPr>
          <w:rFonts w:ascii="Times New Roman" w:hAnsi="Times New Roman"/>
          <w:sz w:val="20"/>
          <w:u w:val="single"/>
        </w:rPr>
        <w:t>Notice of Events of Default; Action by Administrative Agent</w:t>
      </w:r>
      <w:r>
        <w:rPr>
          <w:rFonts w:ascii="Times New Roman" w:hAnsi="Times New Roman"/>
          <w:sz w:val="20"/>
        </w:rPr>
        <w:t xml:space="preserve">. The Administrative Agent shall not be deemed to have knowledge or notice of the occurrence of any Unmatured Event of Default or Event of Default unless the Administrative Agent has received notice from any Credit Party or any Borrower stating that an Unmatured Event of Default or Event of Default has occurred hereunder and describing such Unmatured Event of Default or Event of Default. If the Administrative Agent receives such a notice, it shall promptly give notice thereof to each Lender. The Administrative Agent may (but shall not be obligated to) take such action, or refrain from taking such action, concerning an Unmatured Event of Default or Event of Default or any other matter hereunder as the Administrative Agent deems advisable and in the best interests of the Secured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11.08. </w:t>
      </w:r>
      <w:r>
        <w:rPr>
          <w:rFonts w:ascii="Times New Roman" w:hAnsi="Times New Roman"/>
          <w:sz w:val="20"/>
          <w:u w:val="single"/>
        </w:rPr>
        <w:t>Non-Reliance on Administrative Agent and Other Parties</w:t>
      </w:r>
      <w:r>
        <w:rPr>
          <w:rFonts w:ascii="Times New Roman" w:hAnsi="Times New Roman"/>
          <w:sz w:val="20"/>
        </w:rPr>
        <w:t xml:space="preserve">. Each Credit Party expressly acknowledges that neither the Administrative Agent nor any of its directors, officers, agents or employees has made any representations or warranties to it and that no act by the Administrative Agent hereafter taken, including any review of the affairs of the Borrowers or any Affiliate thereof, shall be deemed to constitute any representation or warranty by the Administrative Agent. Each Credit Party represents and warrants to the Administrative Agent that, independently and without reliance upon the Administrative Agent or any other Credit Party and based on such documents and information as it has deemed appropriate, it has made and will continue to make its own appraisal of, and investigation into, the business, operations,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prospects, financial and other conditions and creditworthiness of each Lamar Party and the Pool Receivables and its own decision to enter into this Agreement and to take, or omit, action under any Transaction Document. Except for items expressly required to be delivered under any Transaction Document by the Administrative Agent to any Credit Party, the Administrative Agent shall not have any duty or responsibility to provide any Credit Party with any information concerning any Lamar Party that comes into the possession of the Administrative Agent or any of its directors, officers, agents, employees, attorneys-in-fact or Affiliates. </w:t>
      </w:r>
    </w:p>
    <w:p>
      <w:pPr>
        <w:pStyle w:val="TextBody"/>
        <w:bidi w:val="0"/>
        <w:spacing w:before="240" w:after="0"/>
        <w:jc w:val="left"/>
        <w:rPr>
          <w:rFonts w:ascii="Times New Roman" w:hAnsi="Times New Roman"/>
          <w:sz w:val="20"/>
        </w:rPr>
      </w:pPr>
      <w:r>
        <w:rPr>
          <w:rFonts w:ascii="Times New Roman" w:hAnsi="Times New Roman"/>
          <w:sz w:val="20"/>
        </w:rPr>
        <w:t xml:space="preserve">SECTION 11.09. </w:t>
      </w:r>
      <w:r>
        <w:rPr>
          <w:rFonts w:ascii="Times New Roman" w:hAnsi="Times New Roman"/>
          <w:sz w:val="20"/>
          <w:u w:val="single"/>
        </w:rPr>
        <w:t>Successor 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Administrative Agent may, upon at least thirty (30) days’ notice to the Borrowers, the Servicer and each Lender, resign as Administrative Agent. Except as provided below, such resignation shall not become effective until a successor Administrative Agent is appointed by the Majority Lenders as a successor Administrative Agent and has accepted such appointment. If no successor Administrative Agent shall have been so appointed by the Majority Lenders, within thirty (30) days after the departing Administrative Agent’s giving of notice of resignation, the departing Administrative Agent may, on behalf of the Secured Parties, appoint a successor Administrative Agent as successor Administrative Agent. If no successor Administrative Agent shall have been so appointed by the Majority Lenders within sixty (60) days after the departing Administrative Agent’s giving of notice of resignation, the departing Administrative Agent may, on behalf of the Secured Parties, petition a court of competent jurisdiction to appoint a successor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Upon such acceptance of its appointment as Administrative Agent hereunder by a successor Administrative Agent, such successor Administrative Agent shall succeed to and become vested with all the rights and duties of the resigning Administrative Agent, and the resigning Administrative Agent shall be discharged from its duties and obligations under the Transaction Documents. After any resigning Administrative Agent’s resignation hereunder, the provisions of this </w:t>
      </w:r>
      <w:r>
        <w:rPr>
          <w:rFonts w:ascii="Times New Roman" w:hAnsi="Times New Roman"/>
          <w:sz w:val="20"/>
          <w:u w:val="single"/>
        </w:rPr>
        <w:t>Article XI</w:t>
      </w:r>
      <w:r>
        <w:rPr>
          <w:rFonts w:ascii="Times New Roman" w:hAnsi="Times New Roman"/>
          <w:sz w:val="20"/>
        </w:rPr>
        <w:t xml:space="preserve"> and </w:t>
      </w:r>
      <w:r>
        <w:rPr>
          <w:rFonts w:ascii="Times New Roman" w:hAnsi="Times New Roman"/>
          <w:sz w:val="20"/>
          <w:u w:val="single"/>
        </w:rPr>
        <w:t>Article XIII</w:t>
      </w:r>
      <w:r>
        <w:rPr>
          <w:rFonts w:ascii="Times New Roman" w:hAnsi="Times New Roman"/>
          <w:sz w:val="20"/>
        </w:rPr>
        <w:t xml:space="preserve"> shall inure to its benefit as to any actions taken or omitted to be taken by it while it was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11.10. </w:t>
      </w:r>
      <w:r>
        <w:rPr>
          <w:rFonts w:ascii="Times New Roman" w:hAnsi="Times New Roman"/>
          <w:sz w:val="20"/>
          <w:u w:val="single"/>
        </w:rPr>
        <w:t>Structuring Agent; Sustainability Agent</w:t>
      </w:r>
      <w:r>
        <w:rPr>
          <w:rFonts w:ascii="Times New Roman" w:hAnsi="Times New Roman"/>
          <w:sz w:val="20"/>
        </w:rPr>
        <w:t xml:space="preserve">. Each of the parties hereto hereby acknowledges and agrees that the Structuring Agent and the Sustainability Agent shall not have any right, power, obligation, liability, responsibility or duty under this Agreement, other than the Structuring Agent’s or the Sustainability Agent’s (as applicable) right to receive fees pursuant to </w:t>
      </w:r>
      <w:r>
        <w:rPr>
          <w:rFonts w:ascii="Times New Roman" w:hAnsi="Times New Roman"/>
          <w:sz w:val="20"/>
          <w:u w:val="single"/>
        </w:rPr>
        <w:t>Section 2.03</w:t>
      </w:r>
      <w:r>
        <w:rPr>
          <w:rFonts w:ascii="Times New Roman" w:hAnsi="Times New Roman"/>
          <w:sz w:val="20"/>
        </w:rPr>
        <w:t xml:space="preserve">. Each Credit Party acknowledges that it has not relied, and will not rely, on the Structuring Agent or the Sustainability Agent in deciding to enter into this Agreement and to take, or omit to take, any action under any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11.11. </w:t>
      </w:r>
      <w:r>
        <w:rPr>
          <w:rFonts w:ascii="Times New Roman" w:hAnsi="Times New Roman"/>
          <w:sz w:val="20"/>
          <w:u w:val="single"/>
        </w:rPr>
        <w:t>Erroneous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the Administrative Agent notifies a Lender or Secured Party, or any Person who has received funds on behalf of a Lender or Secured Party (any such Lender, Secured Party or other recipient, a “</w:t>
      </w:r>
      <w:r>
        <w:rPr>
          <w:rFonts w:ascii="Times New Roman" w:hAnsi="Times New Roman"/>
          <w:sz w:val="20"/>
          <w:u w:val="single"/>
        </w:rPr>
        <w:t>Payment Recipient</w:t>
      </w:r>
      <w:r>
        <w:rPr>
          <w:rFonts w:ascii="Times New Roman" w:hAnsi="Times New Roman"/>
          <w:sz w:val="20"/>
        </w:rPr>
        <w:t xml:space="preserve">”) that the Administrative Agent has determined in its sole discretion (whether or not after receipt of any notice under immediately succeeding </w:t>
      </w:r>
      <w:r>
        <w:rPr>
          <w:rFonts w:ascii="Times New Roman" w:hAnsi="Times New Roman"/>
          <w:sz w:val="20"/>
          <w:u w:val="single"/>
        </w:rPr>
        <w:t>clause (b)</w:t>
      </w:r>
      <w:r>
        <w:rPr>
          <w:rFonts w:ascii="Times New Roman" w:hAnsi="Times New Roman"/>
          <w:sz w:val="20"/>
        </w:rPr>
        <w:t xml:space="preserve">) that any funds received by such Payment Recipient from the Administrative Agent or any of its Affiliates were erroneously transmitted to, or otherwise erroneously or mistakenly received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such Payment Recipient (whether or not known to such Lender, Secured Party or other Payment Recipient on its behalf) (any such funds, whether received as a payment, prepayment or repayment of principal, interest, fees, distribution or otherwise, individually and collectively, an “</w:t>
      </w:r>
      <w:r>
        <w:rPr>
          <w:rFonts w:ascii="Times New Roman" w:hAnsi="Times New Roman"/>
          <w:sz w:val="20"/>
          <w:u w:val="single"/>
        </w:rPr>
        <w:t>Erroneous Payment</w:t>
      </w:r>
      <w:r>
        <w:rPr>
          <w:rFonts w:ascii="Times New Roman" w:hAnsi="Times New Roman"/>
          <w:sz w:val="20"/>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Overnight Bank Funding Rate and a rate determined by the Administrative Agent in accordance with banking industry rules on interbank compensation from time to time in effect. A notice of the Administrative Agent to any Payment Recipient under this </w:t>
      </w:r>
      <w:r>
        <w:rPr>
          <w:rFonts w:ascii="Times New Roman" w:hAnsi="Times New Roman"/>
          <w:sz w:val="20"/>
          <w:u w:val="single"/>
        </w:rPr>
        <w:t>clause (a)</w:t>
      </w:r>
      <w:r>
        <w:rPr>
          <w:rFonts w:ascii="Times New Roman" w:hAnsi="Times New Roman"/>
          <w:sz w:val="20"/>
        </w:rPr>
        <w:t xml:space="preserve">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immediately preceding </w:t>
      </w:r>
      <w:r>
        <w:rPr>
          <w:rFonts w:ascii="Times New Roman" w:hAnsi="Times New Roman"/>
          <w:sz w:val="20"/>
          <w:u w:val="single"/>
        </w:rPr>
        <w:t>clause (a)</w:t>
      </w:r>
      <w:r>
        <w:rPr>
          <w:rFonts w:ascii="Times New Roman" w:hAnsi="Times New Roman"/>
          <w:sz w:val="20"/>
        </w:rPr>
        <w:t xml:space="preserve">, each Lender or Secured Party, or any Person who has received funds on behalf of a Lender or Secured Party,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Secured Party, or other such recipient, otherwise becomes aware was transmitted, or received, in error or by mistake (in whole or in part) in each case: </w:t>
      </w:r>
    </w:p>
    <w:p>
      <w:pPr>
        <w:pStyle w:val="TextBody"/>
        <w:bidi w:val="0"/>
        <w:spacing w:before="120" w:after="0"/>
        <w:jc w:val="left"/>
        <w:rPr>
          <w:rFonts w:ascii="Times New Roman" w:hAnsi="Times New Roman"/>
          <w:sz w:val="20"/>
        </w:rPr>
      </w:pPr>
      <w:r>
        <w:rPr>
          <w:rFonts w:ascii="Times New Roman" w:hAnsi="Times New Roman"/>
          <w:sz w:val="20"/>
        </w:rPr>
        <w:t xml:space="preserve">(i) (A) in the case of immediately preceding </w:t>
      </w:r>
      <w:r>
        <w:rPr>
          <w:rFonts w:ascii="Times New Roman" w:hAnsi="Times New Roman"/>
          <w:sz w:val="20"/>
          <w:u w:val="single"/>
        </w:rPr>
        <w:t>clauses (x)</w:t>
      </w:r>
      <w:r>
        <w:rPr>
          <w:rFonts w:ascii="Times New Roman" w:hAnsi="Times New Roman"/>
          <w:sz w:val="20"/>
        </w:rPr>
        <w:t xml:space="preserve"> or </w:t>
      </w:r>
      <w:r>
        <w:rPr>
          <w:rFonts w:ascii="Times New Roman" w:hAnsi="Times New Roman"/>
          <w:sz w:val="20"/>
          <w:u w:val="single"/>
        </w:rPr>
        <w:t>(y)</w:t>
      </w:r>
      <w:r>
        <w:rPr>
          <w:rFonts w:ascii="Times New Roman" w:hAnsi="Times New Roman"/>
          <w:sz w:val="20"/>
        </w:rPr>
        <w:t xml:space="preserve">, an error shall be presumed to have been made (absent written confirmation from the Administrative Agent to the contrary) or (B) an error has been made (in the case of immediately preceding </w:t>
      </w:r>
      <w:r>
        <w:rPr>
          <w:rFonts w:ascii="Times New Roman" w:hAnsi="Times New Roman"/>
          <w:sz w:val="20"/>
          <w:u w:val="single"/>
        </w:rPr>
        <w:t>clause (z)</w:t>
      </w:r>
      <w:r>
        <w:rPr>
          <w:rFonts w:ascii="Times New Roman" w:hAnsi="Times New Roman"/>
          <w:sz w:val="20"/>
        </w:rPr>
        <w:t xml:space="preserve">), in each case, with respect to such payment, prepayment or repayment; and </w:t>
      </w:r>
    </w:p>
    <w:p>
      <w:pPr>
        <w:pStyle w:val="TextBody"/>
        <w:bidi w:val="0"/>
        <w:spacing w:before="120" w:after="0"/>
        <w:jc w:val="left"/>
        <w:rPr>
          <w:rFonts w:ascii="Times New Roman" w:hAnsi="Times New Roman"/>
          <w:sz w:val="20"/>
        </w:rPr>
      </w:pPr>
      <w:r>
        <w:rPr>
          <w:rFonts w:ascii="Times New Roman" w:hAnsi="Times New Roman"/>
          <w:sz w:val="20"/>
        </w:rPr>
        <w:t xml:space="preserve">(ii) such Lender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hAnsi="Times New Roman"/>
          <w:sz w:val="20"/>
          <w:u w:val="single"/>
        </w:rPr>
        <w:t>Section 11.11(b)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Each Lender or Secured Party hereby authorizes the Administrative Agent to set off, net and apply any and all amounts at any time owing to such Lender or Secured Party under any Transaction Document, or otherwise payable or distributable by the Administrative Agent to such Lender or Secured Party from any source, against any amount due to the Administrative Agent under immediately preceding </w:t>
      </w:r>
      <w:r>
        <w:rPr>
          <w:rFonts w:ascii="Times New Roman" w:hAnsi="Times New Roman"/>
          <w:sz w:val="20"/>
          <w:u w:val="single"/>
        </w:rPr>
        <w:t>clause (a)</w:t>
      </w:r>
      <w:r>
        <w:rPr>
          <w:rFonts w:ascii="Times New Roman" w:hAnsi="Times New Roman"/>
          <w:sz w:val="20"/>
        </w:rPr>
        <w:t xml:space="preserve"> or under the indemnification provisions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 the event that an Erroneous Payment (or portion thereof) is not recovered by the Administrative Agent for any reason, after demand therefor by the Administrative Agent in accordance with immediately preceding </w:t>
      </w:r>
      <w:r>
        <w:rPr>
          <w:rFonts w:ascii="Times New Roman" w:hAnsi="Times New Roman"/>
          <w:sz w:val="20"/>
          <w:u w:val="single"/>
        </w:rPr>
        <w:t>clause (a)</w:t>
      </w:r>
      <w:r>
        <w:rPr>
          <w:rFonts w:ascii="Times New Roman" w:hAnsi="Times New Roman"/>
          <w:sz w:val="20"/>
        </w:rPr>
        <w:t>, from any Lender that has received such Erroneous Payment (or portion thereof) (and/or from any Payment Recipient who received such Erroneous Payment (or portion thereof) on its respective behalf) (such unrecovered amount, an “</w:t>
      </w:r>
      <w:r>
        <w:rPr>
          <w:rFonts w:ascii="Times New Roman" w:hAnsi="Times New Roman"/>
          <w:sz w:val="20"/>
          <w:u w:val="single"/>
        </w:rPr>
        <w:t>Erroneous Payment Return Deficiency</w:t>
      </w:r>
      <w:r>
        <w:rPr>
          <w:rFonts w:ascii="Times New Roman" w:hAnsi="Times New Roman"/>
          <w:sz w:val="20"/>
        </w:rPr>
        <w:t>”), upon the Administrative Agent’s notice to such Lender at any time, (i) such Lender shall be deemed to have assigned its Loans (but not its Commitments) with respect to which such Erroneous Payment was made in an amount equal to the Erroneous Payment Return Deficiency (or such lesser amount as the Administrative Agent may specify) (such assignment of the Loans (but not Commitments) of such Loans, the “</w:t>
      </w:r>
      <w:r>
        <w:rPr>
          <w:rFonts w:ascii="Times New Roman" w:hAnsi="Times New Roman"/>
          <w:sz w:val="20"/>
          <w:u w:val="single"/>
        </w:rPr>
        <w:t>Erroneous Payment Deficiency Assignment</w:t>
      </w:r>
      <w:r>
        <w:rPr>
          <w:rFonts w:ascii="Times New Roman" w:hAnsi="Times New Roman"/>
          <w:sz w:val="20"/>
        </w:rPr>
        <w:t>”) at par plus any accrued and unpaid interest (with the assignment fee to be waived by the Administrative Agent in such instance), and is hereby (together with the Borrowers) deemed to execute and deliver an Assignment and Acceptance Agreement with respect to such Erroneous Payment Deficiency Assignment, (ii) the Administrative Agent as the assignee Lender shall be deemed to acquire the Erroneous Payment Deficiency Assignment, (iii) upon such deemed acquisition, the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For the avoidance of doubt, no Erroneous Payment Deficiency Assignment will reduce the Commitments of any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or Secured Party under the Transaction Documents with respect to each Erroneous Payment Return Deficiency (the “</w:t>
      </w:r>
      <w:r>
        <w:rPr>
          <w:rFonts w:ascii="Times New Roman" w:hAnsi="Times New Roman"/>
          <w:sz w:val="20"/>
          <w:u w:val="single"/>
        </w:rPr>
        <w:t>Erroneous Payment Subrogation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The parties hereto agree that an Erroneous Payment shall not pay, prepay, repay, discharge or otherwise satisfy any Borrower Obligations or obligations of any other Lamar Party, except, in each case, to the extent such Erroneous Payment is, and solely with respect to the amount of such Erroneous Payment that is, comprised of funds received by the Administrative Agent from the Borrowers or any other Lamar Party for the purpose of making such Erroneous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 </w:t>
      </w:r>
    </w:p>
    <w:p>
      <w:pPr>
        <w:pStyle w:val="TextBody"/>
        <w:bidi w:val="0"/>
        <w:spacing w:before="240" w:after="0"/>
        <w:jc w:val="left"/>
        <w:rPr>
          <w:rFonts w:ascii="Times New Roman" w:hAnsi="Times New Roman"/>
          <w:sz w:val="20"/>
        </w:rPr>
      </w:pPr>
      <w:r>
        <w:rPr>
          <w:rFonts w:ascii="Times New Roman" w:hAnsi="Times New Roman"/>
          <w:sz w:val="20"/>
        </w:rPr>
        <w:t xml:space="preserve">(g) Each party’s obligations, agreements and waivers under this </w:t>
      </w:r>
      <w:r>
        <w:rPr>
          <w:rFonts w:ascii="Times New Roman" w:hAnsi="Times New Roman"/>
          <w:sz w:val="20"/>
          <w:u w:val="single"/>
        </w:rPr>
        <w:t>Section 11.11</w:t>
      </w:r>
      <w:r>
        <w:rPr>
          <w:rFonts w:ascii="Times New Roman" w:hAnsi="Times New Roman"/>
          <w:sz w:val="20"/>
        </w:rPr>
        <w:t xml:space="preserve"> shall survive the resignation or replacement of the Administrative Agent, the termination of the Commitments or the repayment, satisfaction or discharge of all Borrower Obligations (or any portion thereof) under any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11.12. </w:t>
      </w:r>
      <w:r>
        <w:rPr>
          <w:rFonts w:ascii="Times New Roman" w:hAnsi="Times New Roman"/>
          <w:sz w:val="20"/>
          <w:u w:val="single"/>
        </w:rPr>
        <w:t>Benchmark Replacement Notification</w:t>
      </w:r>
      <w:r>
        <w:rPr>
          <w:rFonts w:ascii="Times New Roman" w:hAnsi="Times New Roman"/>
          <w:sz w:val="20"/>
        </w:rPr>
        <w:t xml:space="preserve">. </w:t>
      </w:r>
      <w:r>
        <w:rPr>
          <w:rFonts w:ascii="Times New Roman" w:hAnsi="Times New Roman"/>
          <w:sz w:val="20"/>
          <w:u w:val="single"/>
        </w:rPr>
        <w:t>Section 5.06</w:t>
      </w:r>
      <w:r>
        <w:rPr>
          <w:rFonts w:ascii="Times New Roman" w:hAnsi="Times New Roman"/>
          <w:sz w:val="20"/>
        </w:rPr>
        <w:t xml:space="preserve"> of this Agreement provides a mechanism for determining an alternative rate of interest in the event that Daily 1M SOFR or the Term SOFR Rate is no longer available or in certain other circumstances. The Administrative Agent does not warrant or accept any responsibility for and shall not have any liability with respect to, the administration, submission or any other matter related to Daily 1M SOFR or the Term SOFR Rate, or with respect to any alternative or successor rate thereto, or replacement rate therefor.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120" w:after="0"/>
        <w:jc w:val="center"/>
        <w:rPr>
          <w:rFonts w:ascii="Times New Roman" w:hAnsi="Times New Roman"/>
          <w:b/>
          <w:sz w:val="20"/>
        </w:rPr>
      </w:pPr>
      <w:r>
        <w:rPr>
          <w:rFonts w:ascii="Times New Roman" w:hAnsi="Times New Roman"/>
          <w:b/>
          <w:sz w:val="20"/>
        </w:rPr>
        <w:t xml:space="preserve">[RESERVED]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XIII </w:t>
      </w:r>
    </w:p>
    <w:p>
      <w:pPr>
        <w:pStyle w:val="TextBody"/>
        <w:bidi w:val="0"/>
        <w:spacing w:before="120" w:after="0"/>
        <w:jc w:val="center"/>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13.01. </w:t>
      </w:r>
      <w:r>
        <w:rPr>
          <w:rFonts w:ascii="Times New Roman" w:hAnsi="Times New Roman"/>
          <w:sz w:val="20"/>
          <w:u w:val="single"/>
        </w:rPr>
        <w:t>Indemnities by the Borrowers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Without limiting any other rights that the Administrative Agent, the Credit Parties, the Affected Persons and their respective assigns, officers, directors, agents and employees (each, a “</w:t>
      </w:r>
      <w:r>
        <w:rPr>
          <w:rFonts w:ascii="Times New Roman" w:hAnsi="Times New Roman"/>
          <w:sz w:val="20"/>
          <w:u w:val="single"/>
        </w:rPr>
        <w:t>Borrower Indemnified Party</w:t>
      </w:r>
      <w:r>
        <w:rPr>
          <w:rFonts w:ascii="Times New Roman" w:hAnsi="Times New Roman"/>
          <w:sz w:val="20"/>
        </w:rPr>
        <w:t>”) may have hereunder or under Applicable Law, each Borrower, jointly and severally, hereby agrees to indemnify each Borrower Indemnified Party from and against any and all claims, losses and liabilities (including reasonable and documented Attorney Costs) (all of the foregoing being collectively referred to as “</w:t>
      </w:r>
      <w:r>
        <w:rPr>
          <w:rFonts w:ascii="Times New Roman" w:hAnsi="Times New Roman"/>
          <w:sz w:val="20"/>
          <w:u w:val="single"/>
        </w:rPr>
        <w:t>Borrower Indemnified Amounts</w:t>
      </w:r>
      <w:r>
        <w:rPr>
          <w:rFonts w:ascii="Times New Roman" w:hAnsi="Times New Roman"/>
          <w:sz w:val="20"/>
        </w:rPr>
        <w:t xml:space="preserve">”) arising out of or resulting from this Agreement or any other Transaction Document or the use of proceeds of the Credit Extensions or the security interest in respect of any Pool Receivable or any other Collateral; </w:t>
      </w:r>
      <w:r>
        <w:rPr>
          <w:rFonts w:ascii="Times New Roman" w:hAnsi="Times New Roman"/>
          <w:sz w:val="20"/>
          <w:u w:val="single"/>
        </w:rPr>
        <w:t>excluding</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(a) Borrower Indemnified Amounts to the extent a final non-appealable judgment of a court of competent jurisdiction holds that such Borrower Indemnified Amounts resulted solely from the fraud, gross negligence or willful misconduct by the Borrower Indemnified Party seeking indemnification or material breach by such Borrower Indemnified Party of this Agreement or any other Transaction Document, (b) Taxes that are covered by </w:t>
      </w:r>
      <w:r>
        <w:rPr>
          <w:rFonts w:ascii="Times New Roman" w:hAnsi="Times New Roman"/>
          <w:sz w:val="20"/>
          <w:u w:val="single"/>
        </w:rPr>
        <w:t>Section 5.03</w:t>
      </w:r>
      <w:r>
        <w:rPr>
          <w:rFonts w:ascii="Times New Roman" w:hAnsi="Times New Roman"/>
          <w:sz w:val="20"/>
        </w:rPr>
        <w:t xml:space="preserve"> (other than any Taxes that represent losses, claims, damages, etc. arising from any non-Tax claim) and (c) Borrower Indemnified Amounts to the extent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includes losses in respect of Pool Receivables that are uncollectible solely on account of the insolvency, bankruptcy, lack of creditworthiness or other financial inability to pay of the related Obligor. Without limiting or being limited by the foregoing, each Borrower shall, jointly and severally, pay on demand (it being understood that if any portion of such payment obligation is made from Collections, such payment will be made at the time and in the order of priority set forth in </w:t>
      </w:r>
      <w:r>
        <w:rPr>
          <w:rFonts w:ascii="Times New Roman" w:hAnsi="Times New Roman"/>
          <w:sz w:val="20"/>
          <w:u w:val="single"/>
        </w:rPr>
        <w:t>Section 4.01</w:t>
      </w:r>
      <w:r>
        <w:rPr>
          <w:rFonts w:ascii="Times New Roman" w:hAnsi="Times New Roman"/>
          <w:sz w:val="20"/>
        </w:rPr>
        <w:t xml:space="preserve">), to each Borrower Indemnified Party any and all amounts necessary to indemnify such Borrower Indemnified Party from and against any and all Borrower Indemnified Amounts relating to or resulting from any of the following (but excluding Borrower Indemnified Amounts and Taxes described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above): </w:t>
      </w:r>
    </w:p>
    <w:p>
      <w:pPr>
        <w:pStyle w:val="TextBody"/>
        <w:bidi w:val="0"/>
        <w:spacing w:before="120" w:after="0"/>
        <w:jc w:val="left"/>
        <w:rPr>
          <w:rFonts w:ascii="Times New Roman" w:hAnsi="Times New Roman"/>
          <w:sz w:val="20"/>
        </w:rPr>
      </w:pPr>
      <w:r>
        <w:rPr>
          <w:rFonts w:ascii="Times New Roman" w:hAnsi="Times New Roman"/>
          <w:sz w:val="20"/>
        </w:rPr>
        <w:t xml:space="preserve">(i) any Pool Receivable which any Borrower or the Servicer includes as an Eligible Receivable as part of the Net Receivables Pool Balance but which is not an Eligible Receivable at such time; </w:t>
      </w:r>
    </w:p>
    <w:p>
      <w:pPr>
        <w:pStyle w:val="TextBody"/>
        <w:bidi w:val="0"/>
        <w:spacing w:before="120" w:after="0"/>
        <w:jc w:val="left"/>
        <w:rPr>
          <w:rFonts w:ascii="Times New Roman" w:hAnsi="Times New Roman"/>
          <w:sz w:val="20"/>
        </w:rPr>
      </w:pPr>
      <w:r>
        <w:rPr>
          <w:rFonts w:ascii="Times New Roman" w:hAnsi="Times New Roman"/>
          <w:sz w:val="20"/>
        </w:rPr>
        <w:t xml:space="preserve">(ii) any representation, warranty or statement made or deemed made by any Borrower (or any of its respective officers) under or in connection with this Agreement, any of the other Transaction Documents, any Information Package, any Interim Report or any other information or report delivered by or on behalf of any Borrower pursuant hereto which shall have been untrue or incorrect when made or deemed made; </w:t>
      </w:r>
    </w:p>
    <w:p>
      <w:pPr>
        <w:pStyle w:val="TextBody"/>
        <w:bidi w:val="0"/>
        <w:spacing w:before="120" w:after="0"/>
        <w:jc w:val="left"/>
        <w:rPr>
          <w:rFonts w:ascii="Times New Roman" w:hAnsi="Times New Roman"/>
          <w:sz w:val="20"/>
        </w:rPr>
      </w:pPr>
      <w:r>
        <w:rPr>
          <w:rFonts w:ascii="Times New Roman" w:hAnsi="Times New Roman"/>
          <w:sz w:val="20"/>
        </w:rPr>
        <w:t xml:space="preserve">(iii) the failure by any Borrower to comply with the Federal Assignment of Claims Act (or any other similar Applicable Law) or any Applicable Law with respect to any Pool Receivable or the related Contract; or the failure of any Pool Receivable or the related Contract to conform to any such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(iv) the failure to vest in the Administrative Agent a first priority perfected security interest in all or any portion of the Collateral, in each case free and clear of any Adverse Claim; </w:t>
      </w:r>
    </w:p>
    <w:p>
      <w:pPr>
        <w:pStyle w:val="TextBody"/>
        <w:bidi w:val="0"/>
        <w:spacing w:before="120" w:after="0"/>
        <w:jc w:val="left"/>
        <w:rPr>
          <w:rFonts w:ascii="Times New Roman" w:hAnsi="Times New Roman"/>
          <w:sz w:val="20"/>
        </w:rPr>
      </w:pPr>
      <w:r>
        <w:rPr>
          <w:rFonts w:ascii="Times New Roman" w:hAnsi="Times New Roman"/>
          <w:sz w:val="20"/>
        </w:rPr>
        <w:t xml:space="preserve">(v) the failure to have filed, or any delay in filing, financing statements, financing statement amendments, continuation statements or other similar instruments or documents under the UCC of any applicable jurisdiction or other Applicable Laws with respect to any Pool Receivable and the other Collateral and Collections in respect thereof, whether at the time of any Credit Extension or at any subsequent time; </w:t>
      </w:r>
    </w:p>
    <w:p>
      <w:pPr>
        <w:pStyle w:val="TextBody"/>
        <w:bidi w:val="0"/>
        <w:spacing w:before="120" w:after="0"/>
        <w:jc w:val="left"/>
        <w:rPr>
          <w:rFonts w:ascii="Times New Roman" w:hAnsi="Times New Roman"/>
          <w:sz w:val="20"/>
        </w:rPr>
      </w:pPr>
      <w:r>
        <w:rPr>
          <w:rFonts w:ascii="Times New Roman" w:hAnsi="Times New Roman"/>
          <w:sz w:val="20"/>
        </w:rPr>
        <w:t xml:space="preserve">(vi) any dispute, claim or defense (other than discharge in bankruptcy) of an Obligor to the payment of any Pool Receivable (including, without limitation, (x) a defense based on such Pool Receivable or the related Contract not being a legal, valid and binding obligation of such Obligor enforceable against it in accordance with its terms or (y) any dispute between an Advertiser Obligor and the related Agency Obligor as to which Person or Persons are obligated to make payment on a Receivable (whether before or after an Advertiser Obligor remits payment to an Agency Obligor)), or any other claim resulting from or relating to collection activities with respect to such Pool Receivable;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any failure of any Borrower to perform any of its duties or obligations in accordance with the provisions hereof and of each other Transaction Document related to Pool Receivables or to timely and fully comply with the Credit and Collection Policy in regard to each Pool Receivable; </w:t>
      </w:r>
    </w:p>
    <w:p>
      <w:pPr>
        <w:pStyle w:val="TextBody"/>
        <w:bidi w:val="0"/>
        <w:spacing w:before="120" w:after="0"/>
        <w:jc w:val="left"/>
        <w:rPr>
          <w:rFonts w:ascii="Times New Roman" w:hAnsi="Times New Roman"/>
          <w:sz w:val="20"/>
        </w:rPr>
      </w:pPr>
      <w:r>
        <w:rPr>
          <w:rFonts w:ascii="Times New Roman" w:hAnsi="Times New Roman"/>
          <w:sz w:val="20"/>
        </w:rPr>
        <w:t xml:space="preserve">(viii) any products liability, environmental or other claim arising out of or in connection with any Pool Receivable or other merchandise, goods or services which are the subject of or related to any Pool Receivable; </w:t>
      </w:r>
    </w:p>
    <w:p>
      <w:pPr>
        <w:pStyle w:val="TextBody"/>
        <w:bidi w:val="0"/>
        <w:spacing w:before="120" w:after="0"/>
        <w:jc w:val="left"/>
        <w:rPr>
          <w:rFonts w:ascii="Times New Roman" w:hAnsi="Times New Roman"/>
          <w:sz w:val="20"/>
        </w:rPr>
      </w:pPr>
      <w:r>
        <w:rPr>
          <w:rFonts w:ascii="Times New Roman" w:hAnsi="Times New Roman"/>
          <w:sz w:val="20"/>
        </w:rPr>
        <w:t xml:space="preserve">(ix) the commingling of Collections of Pool Receivables at any time with other funds (including the commingling of Collections of Pool Receivables with Affiliate Collections); </w:t>
      </w:r>
    </w:p>
    <w:p>
      <w:pPr>
        <w:pStyle w:val="TextBody"/>
        <w:bidi w:val="0"/>
        <w:spacing w:before="120" w:after="0"/>
        <w:jc w:val="left"/>
        <w:rPr>
          <w:rFonts w:ascii="Times New Roman" w:hAnsi="Times New Roman"/>
          <w:sz w:val="20"/>
        </w:rPr>
      </w:pPr>
      <w:r>
        <w:rPr>
          <w:rFonts w:ascii="Times New Roman" w:hAnsi="Times New Roman"/>
          <w:sz w:val="20"/>
        </w:rPr>
        <w:t xml:space="preserve">(x) any investigation, litigation or proceeding (actual or threatened) related to this Agreement or any other Transaction Document or the use of proceeds of any Credit Extensions or in respect of any Pool Receivable or other Collateral or any related Contract; </w:t>
      </w:r>
    </w:p>
    <w:p>
      <w:pPr>
        <w:pStyle w:val="TextBody"/>
        <w:bidi w:val="0"/>
        <w:spacing w:before="120" w:after="0"/>
        <w:jc w:val="left"/>
        <w:rPr>
          <w:rFonts w:ascii="Times New Roman" w:hAnsi="Times New Roman"/>
          <w:sz w:val="20"/>
        </w:rPr>
      </w:pPr>
      <w:r>
        <w:rPr>
          <w:rFonts w:ascii="Times New Roman" w:hAnsi="Times New Roman"/>
          <w:sz w:val="20"/>
        </w:rPr>
        <w:t xml:space="preserve">(xi) any failure of any Borrower to comply with its covenants, obligations and agreements contained in this Agreement or any other Transaction Document; </w:t>
      </w:r>
    </w:p>
    <w:p>
      <w:pPr>
        <w:pStyle w:val="TextBody"/>
        <w:bidi w:val="0"/>
        <w:spacing w:before="120" w:after="0"/>
        <w:jc w:val="left"/>
        <w:rPr>
          <w:rFonts w:ascii="Times New Roman" w:hAnsi="Times New Roman"/>
          <w:sz w:val="20"/>
        </w:rPr>
      </w:pPr>
      <w:r>
        <w:rPr>
          <w:rFonts w:ascii="Times New Roman" w:hAnsi="Times New Roman"/>
          <w:sz w:val="20"/>
        </w:rPr>
        <w:t xml:space="preserve">(xii) any setoff with respect to any Pool Receivable; </w:t>
      </w:r>
    </w:p>
    <w:p>
      <w:pPr>
        <w:pStyle w:val="TextBody"/>
        <w:bidi w:val="0"/>
        <w:spacing w:before="120" w:after="0"/>
        <w:jc w:val="left"/>
        <w:rPr>
          <w:rFonts w:ascii="Times New Roman" w:hAnsi="Times New Roman"/>
          <w:sz w:val="20"/>
        </w:rPr>
      </w:pPr>
      <w:r>
        <w:rPr>
          <w:rFonts w:ascii="Times New Roman" w:hAnsi="Times New Roman"/>
          <w:sz w:val="20"/>
        </w:rPr>
        <w:t xml:space="preserve">(xiii) any funds that are remitted by or on behalf of any Advertiser Obligor to an Agency Obligor with respect to any Sequential Receivable that are not subsequently remitted by or on behalf of such Agency Obligor to any Originator, any Borrower, the Servicer or any other Person on their behalf within one hundred twenty (120) days of such receipt; </w:t>
      </w:r>
    </w:p>
    <w:p>
      <w:pPr>
        <w:pStyle w:val="TextBody"/>
        <w:bidi w:val="0"/>
        <w:spacing w:before="120" w:after="0"/>
        <w:jc w:val="left"/>
        <w:rPr>
          <w:rFonts w:ascii="Times New Roman" w:hAnsi="Times New Roman"/>
          <w:sz w:val="20"/>
        </w:rPr>
      </w:pPr>
      <w:r>
        <w:rPr>
          <w:rFonts w:ascii="Times New Roman" w:hAnsi="Times New Roman"/>
          <w:sz w:val="20"/>
        </w:rPr>
        <w:t xml:space="preserve">(xiv) any claim brought by any Person other than a Borrower Indemnified Party arising from any activity by any Borrower or any Affiliate of any Borrower in servicing, administering or collecting any Pool Receivable; </w:t>
      </w:r>
    </w:p>
    <w:p>
      <w:pPr>
        <w:pStyle w:val="TextBody"/>
        <w:bidi w:val="0"/>
        <w:spacing w:before="120" w:after="0"/>
        <w:jc w:val="left"/>
        <w:rPr>
          <w:rFonts w:ascii="Times New Roman" w:hAnsi="Times New Roman"/>
          <w:sz w:val="20"/>
        </w:rPr>
      </w:pPr>
      <w:r>
        <w:rPr>
          <w:rFonts w:ascii="Times New Roman" w:hAnsi="Times New Roman"/>
          <w:sz w:val="20"/>
        </w:rPr>
        <w:t xml:space="preserve">(xv) any failure of any Borrower or any Originator to perform any of their respective duties or obligations under any Contract related to any Unperformed Receivable; </w:t>
      </w:r>
    </w:p>
    <w:p>
      <w:pPr>
        <w:pStyle w:val="TextBody"/>
        <w:bidi w:val="0"/>
        <w:spacing w:before="120" w:after="0"/>
        <w:jc w:val="left"/>
        <w:rPr>
          <w:rFonts w:ascii="Times New Roman" w:hAnsi="Times New Roman"/>
          <w:sz w:val="20"/>
        </w:rPr>
      </w:pPr>
      <w:r>
        <w:rPr>
          <w:rFonts w:ascii="Times New Roman" w:hAnsi="Times New Roman"/>
          <w:sz w:val="20"/>
        </w:rPr>
        <w:t xml:space="preserve">(xvi) the failure by any Borrower to pay when due any Taxes, including, without limitation, sales, excise or personal property taxes; </w:t>
      </w:r>
    </w:p>
    <w:p>
      <w:pPr>
        <w:pStyle w:val="TextBody"/>
        <w:bidi w:val="0"/>
        <w:spacing w:before="120" w:after="0"/>
        <w:jc w:val="left"/>
        <w:rPr>
          <w:rFonts w:ascii="Times New Roman" w:hAnsi="Times New Roman"/>
          <w:sz w:val="20"/>
        </w:rPr>
      </w:pPr>
      <w:r>
        <w:rPr>
          <w:rFonts w:ascii="Times New Roman" w:hAnsi="Times New Roman"/>
          <w:sz w:val="20"/>
        </w:rPr>
        <w:t xml:space="preserve">(xvii) any failure of a Collection Account Bank to comply with the terms of the applicable Account Control Agreement, the termination by a Collection Account Bank of any Account Control Agreement or any amounts (including in respect of an indemnity) payable by the Administrative Agent to a Collection Account Bank under any Account Control Agreement; </w:t>
      </w:r>
    </w:p>
    <w:p>
      <w:pPr>
        <w:pStyle w:val="TextBody"/>
        <w:bidi w:val="0"/>
        <w:spacing w:before="120" w:after="0"/>
        <w:jc w:val="left"/>
        <w:rPr>
          <w:rFonts w:ascii="Times New Roman" w:hAnsi="Times New Roman"/>
          <w:sz w:val="20"/>
        </w:rPr>
      </w:pPr>
      <w:r>
        <w:rPr>
          <w:rFonts w:ascii="Times New Roman" w:hAnsi="Times New Roman"/>
          <w:sz w:val="20"/>
        </w:rPr>
        <w:t xml:space="preserve">(xviii) any dispute, claim, offset or defense (other than discharge in bankruptcy of the Obligor) of the Obligor to the payment of any Pool Receivable (including, without limitation, a defense based on such Pool Receivable or the related Contract not being a legal, valid and binding obligation of such Obligor enforceable against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 in accordance with its terms), or any other claim resulting from the sale of goods or the rendering of services related to such Pool Receivable or the furnishing or failure to furnish any such goods or services or other similar claim or defense not arising from the financial inability of any Obligor to pay undisputed indebtedness; </w:t>
      </w:r>
    </w:p>
    <w:p>
      <w:pPr>
        <w:pStyle w:val="TextBody"/>
        <w:bidi w:val="0"/>
        <w:spacing w:before="120" w:after="0"/>
        <w:jc w:val="left"/>
        <w:rPr>
          <w:rFonts w:ascii="Times New Roman" w:hAnsi="Times New Roman"/>
          <w:sz w:val="20"/>
        </w:rPr>
      </w:pPr>
      <w:r>
        <w:rPr>
          <w:rFonts w:ascii="Times New Roman" w:hAnsi="Times New Roman"/>
          <w:sz w:val="20"/>
        </w:rPr>
        <w:t xml:space="preserve">(xix) any action taken by the Administrative Agent as attorney-in-fact for any Borrower, any Originator or the Servicer pursuant to this Agreement or any other Transaction Document; </w:t>
      </w:r>
    </w:p>
    <w:p>
      <w:pPr>
        <w:pStyle w:val="TextBody"/>
        <w:bidi w:val="0"/>
        <w:spacing w:before="120" w:after="0"/>
        <w:jc w:val="left"/>
        <w:rPr>
          <w:rFonts w:ascii="Times New Roman" w:hAnsi="Times New Roman"/>
          <w:sz w:val="20"/>
        </w:rPr>
      </w:pPr>
      <w:r>
        <w:rPr>
          <w:rFonts w:ascii="Times New Roman" w:hAnsi="Times New Roman"/>
          <w:sz w:val="20"/>
        </w:rPr>
        <w:t xml:space="preserve">(xx) the failure or delay of Collections of Pool Receivables mailed to a Mail-Box to be deposited directly into a Collection Account; </w:t>
      </w:r>
    </w:p>
    <w:p>
      <w:pPr>
        <w:pStyle w:val="TextBody"/>
        <w:bidi w:val="0"/>
        <w:spacing w:before="120" w:after="0"/>
        <w:jc w:val="left"/>
        <w:rPr>
          <w:rFonts w:ascii="Times New Roman" w:hAnsi="Times New Roman"/>
          <w:sz w:val="20"/>
        </w:rPr>
      </w:pPr>
      <w:r>
        <w:rPr>
          <w:rFonts w:ascii="Times New Roman" w:hAnsi="Times New Roman"/>
          <w:sz w:val="20"/>
        </w:rPr>
        <w:t xml:space="preserve">(xxi) the failure or delay to provide any Obligor with an invoice or other evidence of indebtedness; </w:t>
      </w:r>
    </w:p>
    <w:p>
      <w:pPr>
        <w:pStyle w:val="TextBody"/>
        <w:bidi w:val="0"/>
        <w:spacing w:before="120" w:after="0"/>
        <w:jc w:val="left"/>
        <w:rPr>
          <w:rFonts w:ascii="Times New Roman" w:hAnsi="Times New Roman"/>
          <w:sz w:val="20"/>
        </w:rPr>
      </w:pPr>
      <w:r>
        <w:rPr>
          <w:rFonts w:ascii="Times New Roman" w:hAnsi="Times New Roman"/>
          <w:sz w:val="20"/>
        </w:rPr>
        <w:t xml:space="preserve">(xxii) the use of proceeds of any Credit Extension; or </w:t>
      </w:r>
    </w:p>
    <w:p>
      <w:pPr>
        <w:pStyle w:val="TextBody"/>
        <w:bidi w:val="0"/>
        <w:spacing w:before="120" w:after="0"/>
        <w:jc w:val="left"/>
        <w:rPr>
          <w:rFonts w:ascii="Times New Roman" w:hAnsi="Times New Roman"/>
          <w:sz w:val="20"/>
        </w:rPr>
      </w:pPr>
      <w:r>
        <w:rPr>
          <w:rFonts w:ascii="Times New Roman" w:hAnsi="Times New Roman"/>
          <w:sz w:val="20"/>
        </w:rPr>
        <w:t xml:space="preserve">(xxiii) any reduction in Capital as a result of the distribution of Collections if all or a portion of such distributions shall thereafter be rescinded or otherwise must be returned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(b) If for any reason the foregoing indemnification is unavailable to any Borrower Indemnified Party or insufficient to hold it harmless, then the Borrowers shall contribute to such Borrower Indemnified Party the amount paid or payable by such Borrower Indemnified Party as a result of such loss, claim, damage or liability in such proportion as is appropriate to reflect the relative economic interests of the Borrowers and their Affiliates on the one hand and such Borrower Indemnified Party on the other hand in the matters contemplated by this Agreement as well as the relative fault of the Borrowers and their Affiliates and such Borrower Indemnified Party with respect to such loss, claim, damage or liability and any other relevant equitable considerations. The reimbursement, indemnity and contribution obligations of the Borrowers under this Section shall be in addition to any liability which the Borrowers may otherwise have, shall extend upon the same terms and conditions to each Borrower Indemnified Party, and shall be binding upon and inure to the benefit of any successors, assigns, heirs and personal representatives of the Borrowers and the Borrower Indemnified Parties. </w:t>
      </w:r>
    </w:p>
    <w:p>
      <w:pPr>
        <w:pStyle w:val="TextBody"/>
        <w:bidi w:val="0"/>
        <w:spacing w:before="240" w:after="0"/>
        <w:jc w:val="left"/>
        <w:rPr>
          <w:rFonts w:ascii="Times New Roman" w:hAnsi="Times New Roman"/>
          <w:sz w:val="20"/>
        </w:rPr>
      </w:pPr>
      <w:r>
        <w:rPr>
          <w:rFonts w:ascii="Times New Roman" w:hAnsi="Times New Roman"/>
          <w:sz w:val="20"/>
        </w:rPr>
        <w:t xml:space="preserve">(c) Any indemnification or contribution under this Section shall survive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13.02. </w:t>
      </w:r>
      <w:r>
        <w:rPr>
          <w:rFonts w:ascii="Times New Roman" w:hAnsi="Times New Roman"/>
          <w:sz w:val="20"/>
          <w:u w:val="single"/>
        </w:rPr>
        <w:t>Indemnification by the Servicer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Servicer hereby agrees to indemnify and hold harmless the Borrowers, the Administrative Agent, the Credit Parties, the Affected Persons and their respective assigns, officers, directors, agents and employees (each, a “</w:t>
      </w:r>
      <w:r>
        <w:rPr>
          <w:rFonts w:ascii="Times New Roman" w:hAnsi="Times New Roman"/>
          <w:sz w:val="20"/>
          <w:u w:val="single"/>
        </w:rPr>
        <w:t>Servicer Indemnified Party</w:t>
      </w:r>
      <w:r>
        <w:rPr>
          <w:rFonts w:ascii="Times New Roman" w:hAnsi="Times New Roman"/>
          <w:sz w:val="20"/>
        </w:rPr>
        <w:t xml:space="preserve">”), from and against any loss, liability, expense, damage or injury suffered or sustained by reason of any acts, omissions or alleged acts or omissions arising out of activities of the Servicer pursuant to this Agreement or any other Transaction Document, including any judgment, award, settlement, reasonable and documented Attorney Costs and other costs or expenses incurred in connection with the defense of any actual or threatened action, proceeding or claim (all of the foregoing being collectively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referred to as, “</w:t>
      </w:r>
      <w:r>
        <w:rPr>
          <w:rFonts w:ascii="Times New Roman" w:hAnsi="Times New Roman"/>
          <w:sz w:val="20"/>
          <w:u w:val="single"/>
        </w:rPr>
        <w:t>Servicer Indemnified Amounts</w:t>
      </w:r>
      <w:r>
        <w:rPr>
          <w:rFonts w:ascii="Times New Roman" w:hAnsi="Times New Roman"/>
          <w:sz w:val="20"/>
        </w:rPr>
        <w:t xml:space="preserve">”); excluding (i) Servicer Indemnified Amounts to the extent a final non-appealable judgment of a court of competent jurisdiction holds that such Servicer Indemnified Amounts resulted solely from the fraud, gross negligence or willful misconduct by the Servicer Indemnified Party seeking indemnification or a material breach by such Servicer Indemnified Party of this Agreement or any other Transaction Document, (ii) Taxes that are covered by </w:t>
      </w:r>
      <w:r>
        <w:rPr>
          <w:rFonts w:ascii="Times New Roman" w:hAnsi="Times New Roman"/>
          <w:sz w:val="20"/>
          <w:u w:val="single"/>
        </w:rPr>
        <w:t>Section 5.03</w:t>
      </w:r>
      <w:r>
        <w:rPr>
          <w:rFonts w:ascii="Times New Roman" w:hAnsi="Times New Roman"/>
          <w:sz w:val="20"/>
        </w:rPr>
        <w:t xml:space="preserve"> (other than any Taxes that represent losses, claims, damages, etc. arising from any non-Tax claim) and (iii) Servicer Indemnified Amounts to the extent the same includes losses in respect of Pool Receivables that are uncollectible solely on account of the insolvency, bankruptcy, lack of creditworthiness or other financial inability to pay of the related Obligor. Without limiting or being limited by the foregoing, the Servicer shall pay on demand, to each Servicer Indemnified Party any and all amounts necessary to indemnify such Servicer Indemnified Party from and against any and all Servicer Indemnified Amounts relating to or resulting from any of the following (but excluding Servicer Indemnified Amounts described in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above): </w:t>
      </w:r>
    </w:p>
    <w:p>
      <w:pPr>
        <w:pStyle w:val="TextBody"/>
        <w:bidi w:val="0"/>
        <w:spacing w:before="120" w:after="0"/>
        <w:jc w:val="left"/>
        <w:rPr>
          <w:rFonts w:ascii="Times New Roman" w:hAnsi="Times New Roman"/>
          <w:sz w:val="20"/>
        </w:rPr>
      </w:pPr>
      <w:r>
        <w:rPr>
          <w:rFonts w:ascii="Times New Roman" w:hAnsi="Times New Roman"/>
          <w:sz w:val="20"/>
        </w:rPr>
        <w:t xml:space="preserve">(i) any Pool Receivable which the Servicer includes as an Eligible Receivable as part of the Net Receivables Pool Balance but which is not an Eligible Receivable at such time; </w:t>
      </w:r>
    </w:p>
    <w:p>
      <w:pPr>
        <w:pStyle w:val="TextBody"/>
        <w:bidi w:val="0"/>
        <w:spacing w:before="120" w:after="0"/>
        <w:jc w:val="left"/>
        <w:rPr>
          <w:rFonts w:ascii="Times New Roman" w:hAnsi="Times New Roman"/>
          <w:sz w:val="20"/>
        </w:rPr>
      </w:pPr>
      <w:r>
        <w:rPr>
          <w:rFonts w:ascii="Times New Roman" w:hAnsi="Times New Roman"/>
          <w:sz w:val="20"/>
        </w:rPr>
        <w:t xml:space="preserve">(ii) any representation, warranty or statement made or deemed made by the Servicer (or any of its respective officers) under or in connection with this Agreement, any of the other Transaction Documents, any Information Package, any Interim Report or any other information or report delivered by or on behalf of the Servicer pursuant hereto which shall have been untrue or incorrect when made or deemed made; </w:t>
      </w:r>
    </w:p>
    <w:p>
      <w:pPr>
        <w:pStyle w:val="TextBody"/>
        <w:bidi w:val="0"/>
        <w:spacing w:before="120" w:after="0"/>
        <w:jc w:val="left"/>
        <w:rPr>
          <w:rFonts w:ascii="Times New Roman" w:hAnsi="Times New Roman"/>
          <w:sz w:val="20"/>
        </w:rPr>
      </w:pPr>
      <w:r>
        <w:rPr>
          <w:rFonts w:ascii="Times New Roman" w:hAnsi="Times New Roman"/>
          <w:sz w:val="20"/>
        </w:rPr>
        <w:t xml:space="preserve">(iii) the failure by the Servicer to comply with any Applicable Law with respect to any Pool Receivable or the related Contract; or the failure of any Pool Receivable or the related Contract to conform to any such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(iv) any funds that are remitted by or on behalf of any Advertiser Obligor to an Agency Obligor with respect to any Sequential Receivable that are not subsequently remitted by or on behalf of such Agency Obligor to any Originator, any Borrower, the Servicer or any other Person on their behalf within one hundred twenty (120) days of such receipt; </w:t>
      </w:r>
    </w:p>
    <w:p>
      <w:pPr>
        <w:pStyle w:val="TextBody"/>
        <w:bidi w:val="0"/>
        <w:spacing w:before="120" w:after="0"/>
        <w:jc w:val="left"/>
        <w:rPr>
          <w:rFonts w:ascii="Times New Roman" w:hAnsi="Times New Roman"/>
          <w:sz w:val="20"/>
        </w:rPr>
      </w:pPr>
      <w:r>
        <w:rPr>
          <w:rFonts w:ascii="Times New Roman" w:hAnsi="Times New Roman"/>
          <w:sz w:val="20"/>
        </w:rPr>
        <w:t xml:space="preserve">(v) any failure of the Servicer to perform any of its duties or obligations under any Contract related to any Unperformed Receivable; </w:t>
      </w:r>
    </w:p>
    <w:p>
      <w:pPr>
        <w:pStyle w:val="TextBody"/>
        <w:bidi w:val="0"/>
        <w:spacing w:before="120" w:after="0"/>
        <w:jc w:val="left"/>
        <w:rPr>
          <w:rFonts w:ascii="Times New Roman" w:hAnsi="Times New Roman"/>
          <w:sz w:val="20"/>
        </w:rPr>
      </w:pPr>
      <w:r>
        <w:rPr>
          <w:rFonts w:ascii="Times New Roman" w:hAnsi="Times New Roman"/>
          <w:sz w:val="20"/>
        </w:rPr>
        <w:t xml:space="preserve">(vi) the commingling of Collections of Pool Receivables at any time with other funds (including the commingling of Collections of Pool Receivables with Affiliate Collections); </w:t>
      </w:r>
    </w:p>
    <w:p>
      <w:pPr>
        <w:pStyle w:val="TextBody"/>
        <w:bidi w:val="0"/>
        <w:spacing w:before="120" w:after="0"/>
        <w:jc w:val="left"/>
        <w:rPr>
          <w:rFonts w:ascii="Times New Roman" w:hAnsi="Times New Roman"/>
          <w:sz w:val="20"/>
        </w:rPr>
      </w:pPr>
      <w:r>
        <w:rPr>
          <w:rFonts w:ascii="Times New Roman" w:hAnsi="Times New Roman"/>
          <w:sz w:val="20"/>
        </w:rPr>
        <w:t xml:space="preserve">(vii) any failure of a Collection Account Bank to comply with the terms of the applicable Account Control Agreement, the termination by a Collection Account Bank of any Account Control Agreement or any amounts (including in respect of an indemnity) payable by the Administrative Agent to a Collection Account Bank under any Account Control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the failure or delay of Collections of Pool Receivables mailed to a Mail-Box to be deposited directly into a Collection Account; </w:t>
      </w:r>
    </w:p>
    <w:p>
      <w:pPr>
        <w:pStyle w:val="TextBody"/>
        <w:bidi w:val="0"/>
        <w:spacing w:before="120" w:after="0"/>
        <w:jc w:val="left"/>
        <w:rPr>
          <w:rFonts w:ascii="Times New Roman" w:hAnsi="Times New Roman"/>
          <w:sz w:val="20"/>
        </w:rPr>
      </w:pPr>
      <w:r>
        <w:rPr>
          <w:rFonts w:ascii="Times New Roman" w:hAnsi="Times New Roman"/>
          <w:sz w:val="20"/>
        </w:rPr>
        <w:t xml:space="preserve">(ix) the failure or delay to provide any Obligor with an invoice or other evidence of indebtedness; </w:t>
      </w:r>
    </w:p>
    <w:p>
      <w:pPr>
        <w:pStyle w:val="TextBody"/>
        <w:bidi w:val="0"/>
        <w:spacing w:before="120" w:after="0"/>
        <w:jc w:val="left"/>
        <w:rPr>
          <w:rFonts w:ascii="Times New Roman" w:hAnsi="Times New Roman"/>
          <w:sz w:val="20"/>
        </w:rPr>
      </w:pPr>
      <w:r>
        <w:rPr>
          <w:rFonts w:ascii="Times New Roman" w:hAnsi="Times New Roman"/>
          <w:sz w:val="20"/>
        </w:rPr>
        <w:t xml:space="preserve">(x) the payment of any Permitted Disbursement; or </w:t>
      </w:r>
    </w:p>
    <w:p>
      <w:pPr>
        <w:pStyle w:val="TextBody"/>
        <w:bidi w:val="0"/>
        <w:spacing w:before="120" w:after="0"/>
        <w:jc w:val="left"/>
        <w:rPr>
          <w:rFonts w:ascii="Times New Roman" w:hAnsi="Times New Roman"/>
          <w:sz w:val="20"/>
        </w:rPr>
      </w:pPr>
      <w:r>
        <w:rPr>
          <w:rFonts w:ascii="Times New Roman" w:hAnsi="Times New Roman"/>
          <w:sz w:val="20"/>
        </w:rPr>
        <w:t xml:space="preserve">(xi) any failure of the Servicer to comply with its covenants, obligations and agreements contained in this Agreement or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(b) If for any reason the foregoing indemnification is unavailable to any Servicer Indemnified Party or insufficient to hold it harmless, then the Servicer shall contribute to the amount paid or payable by such Servicer Indemnified Party as a result of such loss, claim, damage or liability in such proportion as is appropriate to reflect the relative economic interests of the Servicer and its Affiliates on the one hand and such Servicer Indemnified Party on the other hand in the matters contemplated by this Agreement as well as the relative fault of the Servicer and its Affiliates and such Servicer Indemnified Party with respect to such loss, claim, damage or liability and any other relevant equitable considerations. The reimbursement, indemnity and contribution obligations of the Servicer under this Section shall be in addition to any liability which the Servicer may otherwise have, shall extend upon the same terms and conditions to each Servicer Indemnified Party, and shall be binding upon and inure to the benefit of any successors, assigns, heirs and personal representatives of the Servicer and the Servicer Indemnified Parties. </w:t>
      </w:r>
    </w:p>
    <w:p>
      <w:pPr>
        <w:pStyle w:val="TextBody"/>
        <w:bidi w:val="0"/>
        <w:spacing w:before="240" w:after="0"/>
        <w:jc w:val="left"/>
        <w:rPr>
          <w:rFonts w:ascii="Times New Roman" w:hAnsi="Times New Roman"/>
          <w:sz w:val="20"/>
        </w:rPr>
      </w:pPr>
      <w:r>
        <w:rPr>
          <w:rFonts w:ascii="Times New Roman" w:hAnsi="Times New Roman"/>
          <w:sz w:val="20"/>
        </w:rPr>
        <w:t xml:space="preserve">(c) Any indemnification or contribution under this Section shall survive the termination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XIV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14.01. </w:t>
      </w:r>
      <w:r>
        <w:rPr>
          <w:rFonts w:ascii="Times New Roman" w:hAnsi="Times New Roman"/>
          <w:sz w:val="20"/>
          <w:u w:val="single"/>
        </w:rPr>
        <w:t>Amendments,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failure on the part of any Credit Party to exercise, and no delay in exercising, any right hereunder shall operate as a waiver thereof; nor shall any single or partial exercise of any right hereunder preclude any other or further exercise thereof or the exercise of any other right. No amendment or waiver of any provision of this Agreement or consent to any departure by any of the Borrowers or any Affiliate thereof shall be effective unless in a writing signed by the Administrative Agent and the Majority Lenders (and, in the case of any amendment, also signed by the Borrowers), and then such amendment, waiver or consent shall be effective only in the specific instance and for the specific purpose for which given;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no amendment, waiver or consent shall, unless in writing and signed by the Servicer, affect the rights or duties of the Servicer under this Agreement; (B) no amendment, waiver or consent shall, unless in writing and signed by the Administrative Agent and each Lender: </w:t>
      </w:r>
    </w:p>
    <w:p>
      <w:pPr>
        <w:pStyle w:val="TextBody"/>
        <w:bidi w:val="0"/>
        <w:spacing w:before="120" w:after="0"/>
        <w:jc w:val="left"/>
        <w:rPr>
          <w:rFonts w:ascii="Times New Roman" w:hAnsi="Times New Roman"/>
          <w:sz w:val="20"/>
        </w:rPr>
      </w:pPr>
      <w:r>
        <w:rPr>
          <w:rFonts w:ascii="Times New Roman" w:hAnsi="Times New Roman"/>
          <w:sz w:val="20"/>
        </w:rPr>
        <w:t xml:space="preserve">(i) change (directly or indirectly) the definitions of, Borrowing Base Deficit, Defaulted Receivable, Delinquent Receivable, Eligible Receivable, Facility Limit, Final Maturity Date, Net Receivables Pool Balance or Total Reserves contained in this Agreement, or increase the then existing Concentration Percentage for any Obligor or change the calculation of the Borrowing Base;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reduce the amount of Capital or Interest that is payable on account of any Loan or with respect to any other Credit Extension or delay any scheduled date for payment thereof; </w:t>
      </w:r>
    </w:p>
    <w:p>
      <w:pPr>
        <w:pStyle w:val="TextBody"/>
        <w:bidi w:val="0"/>
        <w:spacing w:before="120" w:after="0"/>
        <w:jc w:val="left"/>
        <w:rPr>
          <w:rFonts w:ascii="Times New Roman" w:hAnsi="Times New Roman"/>
          <w:sz w:val="20"/>
        </w:rPr>
      </w:pPr>
      <w:r>
        <w:rPr>
          <w:rFonts w:ascii="Times New Roman" w:hAnsi="Times New Roman"/>
          <w:sz w:val="20"/>
        </w:rPr>
        <w:t xml:space="preserve">(iii) except in connection with a transaction permitted by this Agreement, release all or a material portion of the Collateral from the Administrative Agent’s security interest created hereunder; </w:t>
      </w:r>
    </w:p>
    <w:p>
      <w:pPr>
        <w:pStyle w:val="TextBody"/>
        <w:bidi w:val="0"/>
        <w:spacing w:before="120" w:after="0"/>
        <w:jc w:val="left"/>
        <w:rPr>
          <w:rFonts w:ascii="Times New Roman" w:hAnsi="Times New Roman"/>
          <w:sz w:val="20"/>
        </w:rPr>
      </w:pPr>
      <w:r>
        <w:rPr>
          <w:rFonts w:ascii="Times New Roman" w:hAnsi="Times New Roman"/>
          <w:sz w:val="20"/>
        </w:rPr>
        <w:t xml:space="preserve">(iv) except in connection with a transaction permitted by this Agreement, release the Performance Guarantor from any of its obligations under the Performance Guaranty or terminate the Performance Guaranty; </w:t>
      </w:r>
    </w:p>
    <w:p>
      <w:pPr>
        <w:pStyle w:val="TextBody"/>
        <w:bidi w:val="0"/>
        <w:spacing w:before="120" w:after="0"/>
        <w:jc w:val="left"/>
        <w:rPr>
          <w:rFonts w:ascii="Times New Roman" w:hAnsi="Times New Roman"/>
          <w:sz w:val="20"/>
        </w:rPr>
      </w:pPr>
      <w:r>
        <w:rPr>
          <w:rFonts w:ascii="Times New Roman" w:hAnsi="Times New Roman"/>
          <w:sz w:val="20"/>
        </w:rPr>
        <w:t xml:space="preserve">(v) change any of the provisions of this </w:t>
      </w:r>
      <w:r>
        <w:rPr>
          <w:rFonts w:ascii="Times New Roman" w:hAnsi="Times New Roman"/>
          <w:sz w:val="20"/>
          <w:u w:val="single"/>
        </w:rPr>
        <w:t>Section 14.01</w:t>
      </w:r>
      <w:r>
        <w:rPr>
          <w:rFonts w:ascii="Times New Roman" w:hAnsi="Times New Roman"/>
          <w:sz w:val="20"/>
        </w:rPr>
        <w:t xml:space="preserve"> or the definition of “Majority Lenders”; or </w:t>
      </w:r>
    </w:p>
    <w:p>
      <w:pPr>
        <w:pStyle w:val="TextBody"/>
        <w:bidi w:val="0"/>
        <w:spacing w:before="120" w:after="0"/>
        <w:jc w:val="left"/>
        <w:rPr>
          <w:rFonts w:ascii="Times New Roman" w:hAnsi="Times New Roman"/>
          <w:sz w:val="20"/>
        </w:rPr>
      </w:pPr>
      <w:r>
        <w:rPr>
          <w:rFonts w:ascii="Times New Roman" w:hAnsi="Times New Roman"/>
          <w:sz w:val="20"/>
        </w:rPr>
        <w:t xml:space="preserve">(vi) change the order of priority in which Collections are applied pursuant to </w:t>
      </w:r>
      <w:r>
        <w:rPr>
          <w:rFonts w:ascii="Times New Roman" w:hAnsi="Times New Roman"/>
          <w:sz w:val="20"/>
          <w:u w:val="single"/>
        </w:rPr>
        <w:t>Section 4.01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no amendment, waiver or consent shall increase any Lender’s Commitment hereunder without the consent of such Lender, (B) no amendment, waiver or consent shall reduce any Fees payable by any Borrower to any Lender or delay the dates on which any such Fees are payable, in either case, without the consent of such Lender and (C) no consent with respect to any amendment, waiver or other modification of this Agreement shall be required of any Defaulting Lender, except with respect to any amendment, waiver or other modification referred to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(vi)</w:t>
      </w:r>
      <w:r>
        <w:rPr>
          <w:rFonts w:ascii="Times New Roman" w:hAnsi="Times New Roman"/>
          <w:sz w:val="20"/>
        </w:rPr>
        <w:t xml:space="preserve"> above and then only in the event such Defaulting Lender shall be directly affected by such amendment, waiver or other modification.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14.02. </w:t>
      </w:r>
      <w:r>
        <w:rPr>
          <w:rFonts w:ascii="Times New Roman" w:hAnsi="Times New Roman"/>
          <w:sz w:val="20"/>
          <w:u w:val="single"/>
        </w:rPr>
        <w:t>Notices, Etc</w:t>
      </w:r>
      <w:r>
        <w:rPr>
          <w:rFonts w:ascii="Times New Roman" w:hAnsi="Times New Roman"/>
          <w:sz w:val="20"/>
        </w:rPr>
        <w:t xml:space="preserve">. All notices and other communications hereunder shall, unless otherwise stated herein, be in writing (which shall include facsimile and email communication) and faxed, emailed or delivered, to each party hereto, at its address set forth under its name on </w:t>
      </w:r>
      <w:r>
        <w:rPr>
          <w:rFonts w:ascii="Times New Roman" w:hAnsi="Times New Roman"/>
          <w:sz w:val="20"/>
          <w:u w:val="single"/>
        </w:rPr>
        <w:t>Schedule III</w:t>
      </w:r>
      <w:r>
        <w:rPr>
          <w:rFonts w:ascii="Times New Roman" w:hAnsi="Times New Roman"/>
          <w:sz w:val="20"/>
        </w:rPr>
        <w:t xml:space="preserve"> hereto or at such other address, facsimile number or email address as shall be designated by such party in a written notice to the other parties hereto. Notices and communications by facsimile or email shall be effective when sent receipt confirmed by electronic or other means (such as by the “return receipt requested” function, as available, return electronic mail or other acknowledgement), and notices and communications sent by other means shall be effective when received. </w:t>
      </w:r>
    </w:p>
    <w:p>
      <w:pPr>
        <w:pStyle w:val="TextBody"/>
        <w:bidi w:val="0"/>
        <w:spacing w:before="240" w:after="0"/>
        <w:jc w:val="left"/>
        <w:rPr>
          <w:rFonts w:ascii="Times New Roman" w:hAnsi="Times New Roman"/>
          <w:sz w:val="20"/>
        </w:rPr>
      </w:pPr>
      <w:r>
        <w:rPr>
          <w:rFonts w:ascii="Times New Roman" w:hAnsi="Times New Roman"/>
          <w:sz w:val="20"/>
        </w:rPr>
        <w:t xml:space="preserve">SECTION 14.03. </w:t>
      </w:r>
      <w:r>
        <w:rPr>
          <w:rFonts w:ascii="Times New Roman" w:hAnsi="Times New Roman"/>
          <w:sz w:val="20"/>
          <w:u w:val="single"/>
        </w:rPr>
        <w:t>Assignability; Addition of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Assignment by Lenders</w:t>
      </w:r>
      <w:r>
        <w:rPr>
          <w:rFonts w:ascii="Times New Roman" w:hAnsi="Times New Roman"/>
          <w:sz w:val="20"/>
        </w:rPr>
        <w:t xml:space="preserve">. Each Lender may assign to any Eligible Assignee or to any other Lender all or a portion of its rights and obligations under this Agreement (including all or a portion of its Commitment and any Loan or interests therein owned by it);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except for an assignment by a Lender to either an Affiliate of such Lender or any other Lender, each such assignment shall require the prior written consent of the Borrowers (such consent not to be unreasonably withheld, conditioned or delayed;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consent shall not be required if an Event of Default has occurred and is continuing); </w:t>
      </w:r>
    </w:p>
    <w:p>
      <w:pPr>
        <w:pStyle w:val="TextBody"/>
        <w:bidi w:val="0"/>
        <w:spacing w:before="120" w:after="0"/>
        <w:jc w:val="left"/>
        <w:rPr>
          <w:rFonts w:ascii="Times New Roman" w:hAnsi="Times New Roman"/>
          <w:sz w:val="20"/>
        </w:rPr>
      </w:pPr>
      <w:r>
        <w:rPr>
          <w:rFonts w:ascii="Times New Roman" w:hAnsi="Times New Roman"/>
          <w:sz w:val="20"/>
        </w:rPr>
        <w:t xml:space="preserve">(ii) each such assignment shall be of a constant, and not a varying, percentage of all rights and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the amount being assigned pursuant to each such assignment (determined as of the date of the Assignment and Acceptance Agreement with respect to such assignment) shall in no event be less than the lesser of (x) $5,000,000 and (y) all of the assigning Lender’s Commitment; and </w:t>
      </w:r>
    </w:p>
    <w:p>
      <w:pPr>
        <w:pStyle w:val="TextBody"/>
        <w:bidi w:val="0"/>
        <w:spacing w:before="120" w:after="0"/>
        <w:jc w:val="left"/>
        <w:rPr>
          <w:rFonts w:ascii="Times New Roman" w:hAnsi="Times New Roman"/>
          <w:sz w:val="20"/>
        </w:rPr>
      </w:pPr>
      <w:r>
        <w:rPr>
          <w:rFonts w:ascii="Times New Roman" w:hAnsi="Times New Roman"/>
          <w:sz w:val="20"/>
        </w:rPr>
        <w:t xml:space="preserve">(iv) the parties to each such assignment shall execute and deliver to the Administrative Agent, for its acceptance and recording in the Register, an Assignment and Acceptance Agreement. </w:t>
      </w:r>
    </w:p>
    <w:p>
      <w:pPr>
        <w:pStyle w:val="TextBody"/>
        <w:bidi w:val="0"/>
        <w:spacing w:before="240" w:after="0"/>
        <w:jc w:val="left"/>
        <w:rPr>
          <w:rFonts w:ascii="Times New Roman" w:hAnsi="Times New Roman"/>
          <w:sz w:val="20"/>
        </w:rPr>
      </w:pPr>
      <w:r>
        <w:rPr>
          <w:rFonts w:ascii="Times New Roman" w:hAnsi="Times New Roman"/>
          <w:sz w:val="20"/>
        </w:rPr>
        <w:t xml:space="preserve">Upon such execution, delivery, acceptance and recording from and after the effective date specified in such Assignment and Acceptance Agreement, (x) the assignee thereunder shall be a party to this Agreement, and to the extent that rights and obligations under this Agreement have been assigned to it pursuant to such Assignment and Acceptance Agreement, have the rights and obligations of a Lender hereunder and (y) the assigning Lender shall, to the extent that rights and obligations have been assigned by it pursuant to such Assignment and Acceptance Agreement, relinquish such rights and be released from such obligations under this Agreement (and, in the case of an Assignment and Acceptance Agreement covering all or the remaining portion of an assigning Lender’s rights and obligations under this Agreement, such Lender shall cease to be a party hereto).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Register</w:t>
      </w:r>
      <w:r>
        <w:rPr>
          <w:rFonts w:ascii="Times New Roman" w:hAnsi="Times New Roman"/>
          <w:sz w:val="20"/>
        </w:rPr>
        <w:t xml:space="preserve">. The Administrative Agent shall, acting solely for this purpose as an agent of the Borrowers, maintain at its address referred to on </w:t>
      </w:r>
      <w:r>
        <w:rPr>
          <w:rFonts w:ascii="Times New Roman" w:hAnsi="Times New Roman"/>
          <w:sz w:val="20"/>
          <w:u w:val="single"/>
        </w:rPr>
        <w:t>Schedule III</w:t>
      </w:r>
      <w:r>
        <w:rPr>
          <w:rFonts w:ascii="Times New Roman" w:hAnsi="Times New Roman"/>
          <w:sz w:val="20"/>
        </w:rPr>
        <w:t xml:space="preserve"> of this Agreement (or such other address of the Administrative Agent notified by the Administrative Agent to the other parties hereto) a copy of each Assignment and Acceptance Agreement delivered to and accepted by it and a register for the recordation of the names and addresses of the Lenders, the Commitment of each Lender and the aggregate outstanding Capital (and stated interest) of the Loans of each Lender from time to time (the “</w:t>
      </w:r>
      <w:r>
        <w:rPr>
          <w:rFonts w:ascii="Times New Roman" w:hAnsi="Times New Roman"/>
          <w:sz w:val="20"/>
          <w:u w:val="single"/>
        </w:rPr>
        <w:t>Register</w:t>
      </w:r>
      <w:r>
        <w:rPr>
          <w:rFonts w:ascii="Times New Roman" w:hAnsi="Times New Roman"/>
          <w:sz w:val="20"/>
        </w:rPr>
        <w:t xml:space="preserve">”). The entries in the Register shall be conclusive and binding for all purposes, absent manifest error, and the Borrowers, the Servicer, the Administrative Agent, the Lenders, and the other Credit Parties shall treat each Person whose name is recorded in the Register pursuant to the terms of this Agreement as a Lender under this Agreement for all purposes of this Agreement. The Register shall be available for inspection by any Borrower, the Servicer or any Lender at any reasonable time and from time to time upon reasonable prior notice.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Procedure</w:t>
      </w:r>
      <w:r>
        <w:rPr>
          <w:rFonts w:ascii="Times New Roman" w:hAnsi="Times New Roman"/>
          <w:sz w:val="20"/>
        </w:rPr>
        <w:t xml:space="preserve">. Upon its receipt of an Assignment and Acceptance Agreement executed and delivered by an assigning Lender and an Eligible Assignee or assignee Lender, the Administrative Agent shall, if such Assignment and Acceptance Agreement has been duly completed, (i) accept such Assignment and Acceptance Agreement, (ii) record the information contained therein in the Register and (iii) give prompt notice thereof to the Borrowers and the Servicer.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Participations</w:t>
      </w:r>
      <w:r>
        <w:rPr>
          <w:rFonts w:ascii="Times New Roman" w:hAnsi="Times New Roman"/>
          <w:sz w:val="20"/>
        </w:rPr>
        <w:t>. Each Lender may sell participations to one or more Eligible Assignees (each, a “</w:t>
      </w:r>
      <w:r>
        <w:rPr>
          <w:rFonts w:ascii="Times New Roman" w:hAnsi="Times New Roman"/>
          <w:sz w:val="20"/>
          <w:u w:val="single"/>
        </w:rPr>
        <w:t>Participant</w:t>
      </w:r>
      <w:r>
        <w:rPr>
          <w:rFonts w:ascii="Times New Roman" w:hAnsi="Times New Roman"/>
          <w:sz w:val="20"/>
        </w:rPr>
        <w:t xml:space="preserve">”) in or to all or a portion of its rights and/or obligations under this Agreement (including, without limitation, all or a portion of its Commitment and the interests in the Loans owned by it);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such Lender’s obligations under this Agreement (including, without limitation, its Commitment to the Borrowers hereunder) shall remain unchanged, and </w:t>
      </w:r>
    </w:p>
    <w:p>
      <w:pPr>
        <w:pStyle w:val="TextBody"/>
        <w:bidi w:val="0"/>
        <w:spacing w:before="120" w:after="0"/>
        <w:jc w:val="left"/>
        <w:rPr>
          <w:rFonts w:ascii="Times New Roman" w:hAnsi="Times New Roman"/>
          <w:sz w:val="20"/>
        </w:rPr>
      </w:pPr>
      <w:r>
        <w:rPr>
          <w:rFonts w:ascii="Times New Roman" w:hAnsi="Times New Roman"/>
          <w:sz w:val="20"/>
        </w:rPr>
        <w:t xml:space="preserve">(ii) such Lender shall remain solely responsible to the other parties to this Agreement for the performance of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the Lenders, the Borrowers and the Servicer shall have the right to continue to deal solely and directly with such Lender in connection with such Lender’s rights and obligations under this Agreement. The Borrowers agree that each Participant shall be entitled to the benefits of </w:t>
      </w:r>
      <w:r>
        <w:rPr>
          <w:rFonts w:ascii="Times New Roman" w:hAnsi="Times New Roman"/>
          <w:sz w:val="20"/>
          <w:u w:val="single"/>
        </w:rPr>
        <w:t>Sections 5.01</w:t>
      </w:r>
      <w:r>
        <w:rPr>
          <w:rFonts w:ascii="Times New Roman" w:hAnsi="Times New Roman"/>
          <w:sz w:val="20"/>
        </w:rPr>
        <w:t xml:space="preserve"> and </w:t>
      </w:r>
      <w:r>
        <w:rPr>
          <w:rFonts w:ascii="Times New Roman" w:hAnsi="Times New Roman"/>
          <w:sz w:val="20"/>
          <w:u w:val="single"/>
        </w:rPr>
        <w:t>5.03</w:t>
      </w:r>
      <w:r>
        <w:rPr>
          <w:rFonts w:ascii="Times New Roman" w:hAnsi="Times New Roman"/>
          <w:sz w:val="20"/>
        </w:rPr>
        <w:t xml:space="preserve"> (subject to the requirements and limitations therein, including the requirements under </w:t>
      </w:r>
      <w:r>
        <w:rPr>
          <w:rFonts w:ascii="Times New Roman" w:hAnsi="Times New Roman"/>
          <w:sz w:val="20"/>
          <w:u w:val="single"/>
        </w:rPr>
        <w:t>Section 5.03(f)</w:t>
      </w:r>
      <w:r>
        <w:rPr>
          <w:rFonts w:ascii="Times New Roman" w:hAnsi="Times New Roman"/>
          <w:sz w:val="20"/>
        </w:rPr>
        <w:t xml:space="preserve"> (it being understood that the documentation required under </w:t>
      </w:r>
      <w:r>
        <w:rPr>
          <w:rFonts w:ascii="Times New Roman" w:hAnsi="Times New Roman"/>
          <w:sz w:val="20"/>
          <w:u w:val="single"/>
        </w:rPr>
        <w:t>Section 5.03(f)</w:t>
      </w:r>
      <w:r>
        <w:rPr>
          <w:rFonts w:ascii="Times New Roman" w:hAnsi="Times New Roman"/>
          <w:sz w:val="20"/>
        </w:rPr>
        <w:t xml:space="preserve"> shall be delivered to the participating Lender)) to the same extent as if it were a Lender and had acquired its interest by assignment pursuant to </w:t>
      </w:r>
      <w:r>
        <w:rPr>
          <w:rFonts w:ascii="Times New Roman" w:hAnsi="Times New Roman"/>
          <w:sz w:val="20"/>
          <w:u w:val="single"/>
        </w:rPr>
        <w:t>clause(b)</w:t>
      </w:r>
      <w:r>
        <w:rPr>
          <w:rFonts w:ascii="Times New Roman" w:hAnsi="Times New Roman"/>
          <w:sz w:val="20"/>
        </w:rPr>
        <w:t xml:space="preserve"> of this Section; provided that such Participant shall not be entitled to receive any greater payment under </w:t>
      </w:r>
      <w:r>
        <w:rPr>
          <w:rFonts w:ascii="Times New Roman" w:hAnsi="Times New Roman"/>
          <w:sz w:val="20"/>
          <w:u w:val="single"/>
        </w:rPr>
        <w:t>Section 5.01</w:t>
      </w:r>
      <w:r>
        <w:rPr>
          <w:rFonts w:ascii="Times New Roman" w:hAnsi="Times New Roman"/>
          <w:sz w:val="20"/>
        </w:rPr>
        <w:t xml:space="preserve"> or </w:t>
      </w:r>
      <w:r>
        <w:rPr>
          <w:rFonts w:ascii="Times New Roman" w:hAnsi="Times New Roman"/>
          <w:sz w:val="20"/>
          <w:u w:val="single"/>
        </w:rPr>
        <w:t>5.03</w:t>
      </w:r>
      <w:r>
        <w:rPr>
          <w:rFonts w:ascii="Times New Roman" w:hAnsi="Times New Roman"/>
          <w:sz w:val="20"/>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Participant Register</w:t>
      </w:r>
      <w:r>
        <w:rPr>
          <w:rFonts w:ascii="Times New Roman" w:hAnsi="Times New Roman"/>
          <w:sz w:val="20"/>
        </w:rPr>
        <w:t>.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this Agreement (the “</w:t>
      </w:r>
      <w:r>
        <w:rPr>
          <w:rFonts w:ascii="Times New Roman" w:hAnsi="Times New Roman"/>
          <w:sz w:val="20"/>
          <w:u w:val="single"/>
        </w:rPr>
        <w:t>Participant Register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this Agreement)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Assignments by Administrative Agent</w:t>
      </w:r>
      <w:r>
        <w:rPr>
          <w:rFonts w:ascii="Times New Roman" w:hAnsi="Times New Roman"/>
          <w:sz w:val="20"/>
        </w:rPr>
        <w:t xml:space="preserve">. This Agreement and the rights and obligations of the Administrative Agent herein shall be assignable by the Administrative Agent and its successors and assigns; </w:t>
      </w:r>
      <w:r>
        <w:rPr>
          <w:rFonts w:ascii="Times New Roman" w:hAnsi="Times New Roman"/>
          <w:sz w:val="20"/>
          <w:u w:val="single"/>
        </w:rPr>
        <w:t>provided</w:t>
      </w:r>
      <w:r>
        <w:rPr>
          <w:rFonts w:ascii="Times New Roman" w:hAnsi="Times New Roman"/>
          <w:sz w:val="20"/>
        </w:rPr>
        <w:t xml:space="preserve">, that in the case of an assignment to a Person that is not an Affiliate of the Administrative Agent or a Lender, so long as no Event of Default has occurred and is continuing, such assignment shall require the Borrowers’ consent (not to be unreasonably withheld, conditioned or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Assignments by a Borrower or the Servicer</w:t>
      </w:r>
      <w:r>
        <w:rPr>
          <w:rFonts w:ascii="Times New Roman" w:hAnsi="Times New Roman"/>
          <w:sz w:val="20"/>
        </w:rPr>
        <w:t xml:space="preserve">. Neither any Borrower nor, except as provided in </w:t>
      </w:r>
      <w:r>
        <w:rPr>
          <w:rFonts w:ascii="Times New Roman" w:hAnsi="Times New Roman"/>
          <w:sz w:val="20"/>
          <w:u w:val="single"/>
        </w:rPr>
        <w:t>Section 9.01</w:t>
      </w:r>
      <w:r>
        <w:rPr>
          <w:rFonts w:ascii="Times New Roman" w:hAnsi="Times New Roman"/>
          <w:sz w:val="20"/>
        </w:rPr>
        <w:t xml:space="preserve">, the Servicer may assign any of its respective rights or obligations hereunder or any interest herein without the prior written consent of the Administrative Agent and each Lender (such consent to be provided or withheld in the sole discretion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Pledge to a Federal Reserve Bank</w:t>
      </w:r>
      <w:r>
        <w:rPr>
          <w:rFonts w:ascii="Times New Roman" w:hAnsi="Times New Roman"/>
          <w:sz w:val="20"/>
        </w:rPr>
        <w:t xml:space="preserve">. Notwithstanding anything to the contrary set forth herein, any Lender or any of their respective Affiliates may at any time pledge or grant a security interest in all or any portion of its interest in, to and under this Agreement (including, without limitation, rights to payment of Capital and Interest) and any other Transaction Document to secure its obligations to a Federal Reserve Bank, without notice to or the consent of any Borrower, the Servicer, any Affiliate thereof or any Credit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that no such pledge shall relieve such assignor of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14.04. </w:t>
      </w:r>
      <w:r>
        <w:rPr>
          <w:rFonts w:ascii="Times New Roman" w:hAnsi="Times New Roman"/>
          <w:sz w:val="20"/>
          <w:u w:val="single"/>
        </w:rPr>
        <w:t>Costs and Expenses</w:t>
      </w:r>
      <w:r>
        <w:rPr>
          <w:rFonts w:ascii="Times New Roman" w:hAnsi="Times New Roman"/>
          <w:sz w:val="20"/>
        </w:rPr>
        <w:t xml:space="preserve">. In addition to the rights of indemnification granted under </w:t>
      </w:r>
      <w:r>
        <w:rPr>
          <w:rFonts w:ascii="Times New Roman" w:hAnsi="Times New Roman"/>
          <w:sz w:val="20"/>
          <w:u w:val="single"/>
        </w:rPr>
        <w:t>Section 13.01</w:t>
      </w:r>
      <w:r>
        <w:rPr>
          <w:rFonts w:ascii="Times New Roman" w:hAnsi="Times New Roman"/>
          <w:sz w:val="20"/>
        </w:rPr>
        <w:t xml:space="preserve"> hereof, the Borrowers agree, jointly and severally, to pay on demand all reasonable out-of-pocket costs and expenses in connection with the preparation, negotiation, execution, delivery and administration of this Agreement and the other Transaction Documents (together with all amendments, restatements, supplements, consents and waivers, if any, from time to time hereto and thereto), including, without limitation, (i) the reasonable and documented Attorney Costs for the Administrative Agent and the other Credit Parties and any of their respective Affiliates with respect thereto and with respect to advising the Administrative Agent and the other Credit Parties and their respective Affiliates as to their rights and remedies under this Agreement and the other Transaction Documents and (ii) reasonable accountants’, auditors’ and consultants’ fees and expenses for the Administrative Agent and the other Credit Parties and any of their respective Affiliates and the fees and charges of any nationally recognized statistical rating agency incurred in connection with the administration and maintenance of this Agreement or advising the Administrative Agent or any other Credit Party as to their rights and remedies under this Agreement or as to any actual or reasonably claimed breach of this Agreement or any other Transaction Document. In addition, the Borrowers agree, jointly and severally, to pay on demand all reasonable out-of-pocket costs and expenses (including reasonable and documented Attorney Costs), of the Administrative Agent and the other Credit Parties and their respective Affiliates, incurred in connection with the enforcement of any of their respective rights or remedies under the provisions of this Agreement and the other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14.05. </w:t>
      </w:r>
      <w:r>
        <w:rPr>
          <w:rFonts w:ascii="Times New Roman" w:hAnsi="Times New Roman"/>
          <w:sz w:val="20"/>
          <w:u w:val="single"/>
        </w:rPr>
        <w:t>No Proceedings; Limitation on Payments</w:t>
      </w:r>
      <w:r>
        <w:rPr>
          <w:rFonts w:ascii="Times New Roman" w:hAnsi="Times New Roman"/>
          <w:sz w:val="20"/>
        </w:rPr>
        <w:t xml:space="preserve">. Each of the Borrowers, the Servicer, each Lender and each assignee of a Loan or any interest therein, hereby covenants and agrees that it will not institute against, or join any other Person in instituting against, any Borrower any Insolvency Proceeding until one year and one day after the Final Payout Date; </w:t>
      </w:r>
      <w:r>
        <w:rPr>
          <w:rFonts w:ascii="Times New Roman" w:hAnsi="Times New Roman"/>
          <w:sz w:val="20"/>
          <w:u w:val="single"/>
        </w:rPr>
        <w:t>provided</w:t>
      </w:r>
      <w:r>
        <w:rPr>
          <w:rFonts w:ascii="Times New Roman" w:hAnsi="Times New Roman"/>
          <w:sz w:val="20"/>
        </w:rPr>
        <w:t xml:space="preserve">, that the Administrative Agent may take any such action in its sole discretion following the occurrence of an Event of Default. The provisions of this </w:t>
      </w:r>
      <w:r>
        <w:rPr>
          <w:rFonts w:ascii="Times New Roman" w:hAnsi="Times New Roman"/>
          <w:sz w:val="20"/>
          <w:u w:val="single"/>
        </w:rPr>
        <w:t>Section 14.05</w:t>
      </w:r>
      <w:r>
        <w:rPr>
          <w:rFonts w:ascii="Times New Roman" w:hAnsi="Times New Roman"/>
          <w:sz w:val="20"/>
        </w:rPr>
        <w:t xml:space="preserve"> shall survive any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14.06. </w:t>
      </w:r>
      <w:r>
        <w:rPr>
          <w:rFonts w:ascii="Times New Roman" w:hAnsi="Times New Roman"/>
          <w:sz w:val="20"/>
          <w:u w:val="single"/>
        </w:rPr>
        <w:t>Confidentiality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Borrowers and the Servicer covenants and agrees to hold in confidence, and not disclose to any Person, the terms of this Agreement or the Fee Letter (including any fees payable in connection with this Agreement, the Fee Letter or any other Transaction Document or the identity of the Administrative Agent or any other Credit Party), except as the Administrative Agent and each Lender may have consented to in writing prior to any proposed disclosure;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it may disclose such information (i) to its Advisors and Representatives, (ii) to the extent such information has become available to the public other than as a result of a disclosure by or through any Borrower, the Servicer or their Advisors and Representatives or (iii) to the extent it should be (A) required by Applicable Law (including applicable SEC requirements), or in connection with any legal or regulatory proceeding or (B) requested by any Governmental Authority to disclose such information; </w:t>
      </w:r>
      <w:r>
        <w:rPr>
          <w:rFonts w:ascii="Times New Roman" w:hAnsi="Times New Roman"/>
          <w:sz w:val="20"/>
          <w:u w:val="single"/>
        </w:rPr>
        <w:t>provided</w:t>
      </w:r>
      <w:r>
        <w:rPr>
          <w:rFonts w:ascii="Times New Roman" w:hAnsi="Times New Roman"/>
          <w:sz w:val="20"/>
        </w:rPr>
        <w:t xml:space="preserve">, that, in the case of </w:t>
      </w:r>
      <w:r>
        <w:rPr>
          <w:rFonts w:ascii="Times New Roman" w:hAnsi="Times New Roman"/>
          <w:sz w:val="20"/>
          <w:u w:val="single"/>
        </w:rPr>
        <w:t>clause (iii)</w:t>
      </w:r>
      <w:r>
        <w:rPr>
          <w:rFonts w:ascii="Times New Roman" w:hAnsi="Times New Roman"/>
          <w:sz w:val="20"/>
        </w:rPr>
        <w:t xml:space="preserve"> above, each Borrower and the Servicer will use reasonable efforts to maintain confidentiality and will (unless otherwise prohibited by Applicable Law) notify the Administrative Agent and the affected Credit Party of its intention to make any such disclosure prior to making such disclosure. Each of the Borrowers and the Servicer agrees to be responsible for any breach of this Section by its Representatives and Advisors and agrees that its Representatives and Advisors will be advised by it of the confidential nature of such information and shall agree to comply with this Section. Notwithstanding the foregoing, it is expressly agreed that each of the Borrowers, the Servicer and their respective Affiliates may publish a press release or otherwise publicly announce the existence and principal amount of the Commitments under this Agreement and the transactions contemplated hereby; </w:t>
      </w:r>
      <w:r>
        <w:rPr>
          <w:rFonts w:ascii="Times New Roman" w:hAnsi="Times New Roman"/>
          <w:sz w:val="20"/>
          <w:u w:val="single"/>
        </w:rPr>
        <w:t>provided</w:t>
      </w:r>
      <w:r>
        <w:rPr>
          <w:rFonts w:ascii="Times New Roman" w:hAnsi="Times New Roman"/>
          <w:sz w:val="20"/>
        </w:rPr>
        <w:t xml:space="preserve">, that the Administrative Agent shall be provided a reasonable opportunity to review such press release or other public announcement prior to its release and provide comment thereon;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such press release shall name or otherwise identify the Administrative Agent, any other Credit Party or any of their respective Affiliates without such Person’s prior written consent (such consent not to be unreasonably withheld, conditioned or delayed). Notwithstanding the foregoing, following the public disclosure by Holdings of this Agreement and the transactions contemplated hereby pursuant to applicable securities laws, the Borrowers consent to the publication by the Administrative Agent or any other Credit Party of a tombstone or similar advertising material relating to the financing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Each of the Administrative Agent and each other Credit Party, severally and with respect to itself only, agrees to hold in confidence, and not disclose to any Person, any confidential and proprietary information concerning each Borrower, the Servicer and their respective Affiliates and their businesses or the terms of this Agreement (including any fees payable in connection with this Agreement or the other Transaction Documents), except as any Borrower or the Servicer may have consented to in writing prior to any proposed disclosure;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it may disclose such information (i) to its Advisors and Representatives, (ii) to its assignees and Participants and potential assignees and Participants and their respective counsel if they agree in writing to hold it confidential, (iii) to the extent such information has become available to the public other than as a result of a disclosure by or through it or its Representatives or Advisors, (iv) at the request of a bank examiner or other regulatory authority or in connection with an examination of any of the Administrative Agent or any Lender or their respective Affiliates or (v) to the extent it should be (A) required by Applicable Law, or in connection with any legal or regulatory proceeding or (B) requested by any Governmental Authority to disclose such information; </w:t>
      </w:r>
      <w:r>
        <w:rPr>
          <w:rFonts w:ascii="Times New Roman" w:hAnsi="Times New Roman"/>
          <w:sz w:val="20"/>
          <w:u w:val="single"/>
        </w:rPr>
        <w:t>provided</w:t>
      </w:r>
      <w:r>
        <w:rPr>
          <w:rFonts w:ascii="Times New Roman" w:hAnsi="Times New Roman"/>
          <w:sz w:val="20"/>
        </w:rPr>
        <w:t xml:space="preserve">, that, in the case of </w:t>
      </w:r>
      <w:r>
        <w:rPr>
          <w:rFonts w:ascii="Times New Roman" w:hAnsi="Times New Roman"/>
          <w:sz w:val="20"/>
          <w:u w:val="single"/>
        </w:rPr>
        <w:t>clauses (iv)</w:t>
      </w:r>
      <w:r>
        <w:rPr>
          <w:rFonts w:ascii="Times New Roman" w:hAnsi="Times New Roman"/>
          <w:sz w:val="20"/>
        </w:rPr>
        <w:t xml:space="preserve"> and </w:t>
      </w:r>
      <w:r>
        <w:rPr>
          <w:rFonts w:ascii="Times New Roman" w:hAnsi="Times New Roman"/>
          <w:sz w:val="20"/>
          <w:u w:val="single"/>
        </w:rPr>
        <w:t>(v)</w:t>
      </w:r>
      <w:r>
        <w:rPr>
          <w:rFonts w:ascii="Times New Roman" w:hAnsi="Times New Roman"/>
          <w:sz w:val="20"/>
        </w:rPr>
        <w:t xml:space="preserve"> above, the Administrative Agent and each Lender will use reasonable efforts to maintain confidentiality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by using reasonable efforts to limit the scope of such disclosure) and will (unless otherwise prohibited by Applicable Law) notify the Borrowers and the Servicer of its making any such disclosure as promptly as reasonably practicable thereafter. Each of the Administrative Agent and each Lender, severally and with respect to itself only, agrees to be responsible for any breach of this Section by its Representatives and Advisors and agrees that its Representatives and Advisors will be advised by it of the confidential nature of such information and shall agree to comply with this Section. </w:t>
      </w:r>
    </w:p>
    <w:p>
      <w:pPr>
        <w:pStyle w:val="TextBody"/>
        <w:bidi w:val="0"/>
        <w:spacing w:before="240" w:after="0"/>
        <w:jc w:val="left"/>
        <w:rPr>
          <w:rFonts w:ascii="Times New Roman" w:hAnsi="Times New Roman"/>
          <w:sz w:val="20"/>
        </w:rPr>
      </w:pPr>
      <w:r>
        <w:rPr>
          <w:rFonts w:ascii="Times New Roman" w:hAnsi="Times New Roman"/>
          <w:sz w:val="20"/>
        </w:rPr>
        <w:t>(c) As used in this Section, (i) “</w:t>
      </w:r>
      <w:r>
        <w:rPr>
          <w:rFonts w:ascii="Times New Roman" w:hAnsi="Times New Roman"/>
          <w:sz w:val="20"/>
          <w:u w:val="single"/>
        </w:rPr>
        <w:t>Advisors</w:t>
      </w:r>
      <w:r>
        <w:rPr>
          <w:rFonts w:ascii="Times New Roman" w:hAnsi="Times New Roman"/>
          <w:sz w:val="20"/>
        </w:rPr>
        <w:t>” means, with respect to any Person, such Person’s accountants, attorneys and other confidential advisors and (ii) “</w:t>
      </w:r>
      <w:r>
        <w:rPr>
          <w:rFonts w:ascii="Times New Roman" w:hAnsi="Times New Roman"/>
          <w:sz w:val="20"/>
          <w:u w:val="single"/>
        </w:rPr>
        <w:t>Representatives</w:t>
      </w:r>
      <w:r>
        <w:rPr>
          <w:rFonts w:ascii="Times New Roman" w:hAnsi="Times New Roman"/>
          <w:sz w:val="20"/>
        </w:rPr>
        <w:t xml:space="preserve">” means, with respect to any Person, such Person’s Affiliates, Subsidiaries, directors, managers, officers, employees, members, investors, financing sources, insurers, professional advisors, representatives and agents; </w:t>
      </w:r>
      <w:r>
        <w:rPr>
          <w:rFonts w:ascii="Times New Roman" w:hAnsi="Times New Roman"/>
          <w:sz w:val="20"/>
          <w:u w:val="single"/>
        </w:rPr>
        <w:t>provided</w:t>
      </w:r>
      <w:r>
        <w:rPr>
          <w:rFonts w:ascii="Times New Roman" w:hAnsi="Times New Roman"/>
          <w:sz w:val="20"/>
        </w:rPr>
        <w:t xml:space="preserve">, that such Persons shall not be deemed to be Representatives of a Person unless (and solely to the extent that) confidential information is furnished to such Person.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the foregoing, to the extent not inconsistent with applicable securities laws, each party hereto (and each of its employees, representatives or other agents) may disclose to any and all persons, without limitation of any kind, the tax treatment and tax structure (as defined in Section 1.6011-4 of the Treasury Regulations) of the transactions contemplated by the Transaction Documents and all materials of any kind (including opinions or other tax analyses) that are provided to such Person relating to such tax treatment and tax structure. </w:t>
      </w:r>
    </w:p>
    <w:p>
      <w:pPr>
        <w:pStyle w:val="TextBody"/>
        <w:bidi w:val="0"/>
        <w:spacing w:before="240" w:after="0"/>
        <w:jc w:val="left"/>
        <w:rPr>
          <w:rFonts w:ascii="Times New Roman" w:hAnsi="Times New Roman"/>
          <w:sz w:val="20"/>
        </w:rPr>
      </w:pPr>
      <w:r>
        <w:rPr>
          <w:rFonts w:ascii="Times New Roman" w:hAnsi="Times New Roman"/>
          <w:sz w:val="20"/>
        </w:rPr>
        <w:t xml:space="preserve">SECTION 14.07. </w:t>
      </w:r>
      <w:r>
        <w:rPr>
          <w:rFonts w:ascii="Times New Roman" w:hAnsi="Times New Roman"/>
          <w:sz w:val="20"/>
          <w:u w:val="single"/>
        </w:rPr>
        <w:t>GOVERNING LAW</w:t>
      </w:r>
      <w:r>
        <w:rPr>
          <w:rFonts w:ascii="Times New Roman" w:hAnsi="Times New Roman"/>
          <w:sz w:val="20"/>
        </w:rPr>
        <w:t xml:space="preserve">. THIS AGREEMENT, INCLUDING THE RIGHTS AND DUTIES OF THE PARTIES HERETO, SHALL BE GOVERNED BY, AND CONSTRUED IN ACCORDANCE WITH, THE LAWS OF THE STATE OF NEW YORK (INCLUDING SECTIONS 5-1401 AND 5-1402 OF THE GENERAL OBLIGATIONS LAW OF THE STATE OF NEW YORK, BUT WITHOUT REGARD TO ANY OTHER CONFLICTS OF LAW PROVISIONS THEREOF, EXCEPT TO THE EXTENT THAT THE PERFECTION, THE EFFECT OF PERFECTION OR PRIORITY OF THE INTERESTS OF ADMINISTRATIVE AGENT OR ANY LENDER IN THE COLLATERAL IS GOVERNED BY THE LAWS OF A JURISDICTION OTHER THAN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SECTION 14.08. </w:t>
      </w:r>
      <w:r>
        <w:rPr>
          <w:rFonts w:ascii="Times New Roman" w:hAnsi="Times New Roman"/>
          <w:sz w:val="20"/>
          <w:u w:val="single"/>
        </w:rPr>
        <w:t>Execution in Counterparts</w:t>
      </w:r>
      <w:r>
        <w:rPr>
          <w:rFonts w:ascii="Times New Roman" w:hAnsi="Times New Roman"/>
          <w:sz w:val="20"/>
        </w:rPr>
        <w:t xml:space="preserve">. This Agreement may be executed in any number of counterparts, each of which when so executed shall be deemed to be an original and all of which when taken together shall constitute one and the same agreement. Delivery of an executed counterpart hereof by facsimile or other electronic means shall be equally effective as delivery of an originally executed counterpart. </w:t>
      </w:r>
    </w:p>
    <w:p>
      <w:pPr>
        <w:pStyle w:val="TextBody"/>
        <w:bidi w:val="0"/>
        <w:spacing w:before="240" w:after="0"/>
        <w:jc w:val="left"/>
        <w:rPr>
          <w:rFonts w:ascii="Times New Roman" w:hAnsi="Times New Roman"/>
          <w:sz w:val="20"/>
        </w:rPr>
      </w:pPr>
      <w:r>
        <w:rPr>
          <w:rFonts w:ascii="Times New Roman" w:hAnsi="Times New Roman"/>
          <w:sz w:val="20"/>
        </w:rPr>
        <w:t xml:space="preserve">SECTION 14.09. </w:t>
      </w:r>
      <w:r>
        <w:rPr>
          <w:rFonts w:ascii="Times New Roman" w:hAnsi="Times New Roman"/>
          <w:sz w:val="20"/>
          <w:u w:val="single"/>
        </w:rPr>
        <w:t>Integration; Binding Effect; Survival of Termination</w:t>
      </w:r>
      <w:r>
        <w:rPr>
          <w:rFonts w:ascii="Times New Roman" w:hAnsi="Times New Roman"/>
          <w:sz w:val="20"/>
        </w:rPr>
        <w:t xml:space="preserve">. This Agreement and the other Transaction Documents contain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 This Agreement shall be binding upon and inure to the benefit of the parties hereto and their respective successors and permitted assigns. This Agreement shall create and constitute the continuing obligations of the parties hereto in accordance with its terms and shall remain in full force and effect until the Final Payout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provisions of </w:t>
      </w:r>
      <w:r>
        <w:rPr>
          <w:rFonts w:ascii="Times New Roman" w:hAnsi="Times New Roman"/>
          <w:sz w:val="20"/>
          <w:u w:val="single"/>
        </w:rPr>
        <w:t>Sections 5.01</w:t>
      </w:r>
      <w:r>
        <w:rPr>
          <w:rFonts w:ascii="Times New Roman" w:hAnsi="Times New Roman"/>
          <w:sz w:val="20"/>
        </w:rPr>
        <w:t xml:space="preserve">, </w:t>
      </w:r>
      <w:r>
        <w:rPr>
          <w:rFonts w:ascii="Times New Roman" w:hAnsi="Times New Roman"/>
          <w:sz w:val="20"/>
          <w:u w:val="single"/>
        </w:rPr>
        <w:t>5.02</w:t>
      </w:r>
      <w:r>
        <w:rPr>
          <w:rFonts w:ascii="Times New Roman" w:hAnsi="Times New Roman"/>
          <w:sz w:val="20"/>
        </w:rPr>
        <w:t xml:space="preserve">, </w:t>
      </w:r>
      <w:r>
        <w:rPr>
          <w:rFonts w:ascii="Times New Roman" w:hAnsi="Times New Roman"/>
          <w:sz w:val="20"/>
          <w:u w:val="single"/>
        </w:rPr>
        <w:t>5.03</w:t>
      </w:r>
      <w:r>
        <w:rPr>
          <w:rFonts w:ascii="Times New Roman" w:hAnsi="Times New Roman"/>
          <w:sz w:val="20"/>
        </w:rPr>
        <w:t xml:space="preserve">, </w:t>
      </w:r>
      <w:r>
        <w:rPr>
          <w:rFonts w:ascii="Times New Roman" w:hAnsi="Times New Roman"/>
          <w:sz w:val="20"/>
          <w:u w:val="single"/>
        </w:rPr>
        <w:t>11.04</w:t>
      </w:r>
      <w:r>
        <w:rPr>
          <w:rFonts w:ascii="Times New Roman" w:hAnsi="Times New Roman"/>
          <w:sz w:val="20"/>
        </w:rPr>
        <w:t xml:space="preserve">, </w:t>
      </w:r>
      <w:r>
        <w:rPr>
          <w:rFonts w:ascii="Times New Roman" w:hAnsi="Times New Roman"/>
          <w:sz w:val="20"/>
          <w:u w:val="single"/>
        </w:rPr>
        <w:t>11.06</w:t>
      </w:r>
      <w:r>
        <w:rPr>
          <w:rFonts w:ascii="Times New Roman" w:hAnsi="Times New Roman"/>
          <w:sz w:val="20"/>
        </w:rPr>
        <w:t xml:space="preserve">, </w:t>
      </w:r>
      <w:r>
        <w:rPr>
          <w:rFonts w:ascii="Times New Roman" w:hAnsi="Times New Roman"/>
          <w:sz w:val="20"/>
          <w:u w:val="single"/>
        </w:rPr>
        <w:t>13.01</w:t>
      </w:r>
      <w:r>
        <w:rPr>
          <w:rFonts w:ascii="Times New Roman" w:hAnsi="Times New Roman"/>
          <w:sz w:val="20"/>
        </w:rPr>
        <w:t xml:space="preserve">, </w:t>
      </w:r>
      <w:r>
        <w:rPr>
          <w:rFonts w:ascii="Times New Roman" w:hAnsi="Times New Roman"/>
          <w:sz w:val="20"/>
          <w:u w:val="single"/>
        </w:rPr>
        <w:t>13.02</w:t>
      </w:r>
      <w:r>
        <w:rPr>
          <w:rFonts w:ascii="Times New Roman" w:hAnsi="Times New Roman"/>
          <w:sz w:val="20"/>
        </w:rPr>
        <w:t xml:space="preserve">, </w:t>
      </w:r>
      <w:r>
        <w:rPr>
          <w:rFonts w:ascii="Times New Roman" w:hAnsi="Times New Roman"/>
          <w:sz w:val="20"/>
          <w:u w:val="single"/>
        </w:rPr>
        <w:t>14.04</w:t>
      </w:r>
      <w:r>
        <w:rPr>
          <w:rFonts w:ascii="Times New Roman" w:hAnsi="Times New Roman"/>
          <w:sz w:val="20"/>
        </w:rPr>
        <w:t xml:space="preserve">, </w:t>
      </w:r>
      <w:r>
        <w:rPr>
          <w:rFonts w:ascii="Times New Roman" w:hAnsi="Times New Roman"/>
          <w:sz w:val="20"/>
          <w:u w:val="single"/>
        </w:rPr>
        <w:t>14.05</w:t>
      </w:r>
      <w:r>
        <w:rPr>
          <w:rFonts w:ascii="Times New Roman" w:hAnsi="Times New Roman"/>
          <w:sz w:val="20"/>
        </w:rPr>
        <w:t xml:space="preserve">, </w:t>
      </w:r>
      <w:r>
        <w:rPr>
          <w:rFonts w:ascii="Times New Roman" w:hAnsi="Times New Roman"/>
          <w:sz w:val="20"/>
          <w:u w:val="single"/>
        </w:rPr>
        <w:t>14.06</w:t>
      </w:r>
      <w:r>
        <w:rPr>
          <w:rFonts w:ascii="Times New Roman" w:hAnsi="Times New Roman"/>
          <w:sz w:val="20"/>
        </w:rPr>
        <w:t xml:space="preserve">, </w:t>
      </w:r>
      <w:r>
        <w:rPr>
          <w:rFonts w:ascii="Times New Roman" w:hAnsi="Times New Roman"/>
          <w:sz w:val="20"/>
          <w:u w:val="single"/>
        </w:rPr>
        <w:t>14.09</w:t>
      </w:r>
      <w:r>
        <w:rPr>
          <w:rFonts w:ascii="Times New Roman" w:hAnsi="Times New Roman"/>
          <w:sz w:val="20"/>
        </w:rPr>
        <w:t xml:space="preserve">, </w:t>
      </w:r>
      <w:r>
        <w:rPr>
          <w:rFonts w:ascii="Times New Roman" w:hAnsi="Times New Roman"/>
          <w:sz w:val="20"/>
          <w:u w:val="single"/>
        </w:rPr>
        <w:t>14.11</w:t>
      </w:r>
      <w:r>
        <w:rPr>
          <w:rFonts w:ascii="Times New Roman" w:hAnsi="Times New Roman"/>
          <w:sz w:val="20"/>
        </w:rPr>
        <w:t xml:space="preserve"> and </w:t>
      </w:r>
      <w:r>
        <w:rPr>
          <w:rFonts w:ascii="Times New Roman" w:hAnsi="Times New Roman"/>
          <w:sz w:val="20"/>
          <w:u w:val="single"/>
        </w:rPr>
        <w:t>14.13</w:t>
      </w:r>
      <w:r>
        <w:rPr>
          <w:rFonts w:ascii="Times New Roman" w:hAnsi="Times New Roman"/>
          <w:sz w:val="20"/>
        </w:rPr>
        <w:t xml:space="preserve"> shall survive any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14.10. </w:t>
      </w:r>
      <w:r>
        <w:rPr>
          <w:rFonts w:ascii="Times New Roman" w:hAnsi="Times New Roman"/>
          <w:sz w:val="20"/>
          <w:u w:val="single"/>
        </w:rPr>
        <w:t>CONSENT TO JURISDICTION</w:t>
      </w:r>
      <w:r>
        <w:rPr>
          <w:rFonts w:ascii="Times New Roman" w:hAnsi="Times New Roman"/>
          <w:sz w:val="20"/>
        </w:rPr>
        <w:t xml:space="preserve">. (a) EACH PARTY HERETO HEREBY IRREVOCABLY SUBMITS TO (I) WITH RESPECT TO EACH BORROWER AND THE SERVICER, THE EXCLUSIVE JURISDICTION, AND (II) WITH RESPECT TO EACH OF THE OTHER PARTIES HERETO, THE NON-EXCLUSIVE JURISDICTION, IN EACH CASE, OF ANY NEW YORK STATE OR FEDERAL COURT SITTING IN NEW YORK CITY, NEW YORK IN ANY ACTION OR PROCEEDING ARISING OUT OF OR RELATING TO THIS AGREEMENT OR ANY OTHER TRANSACTION DOCUMENT, AND EACH PARTY HERETO HEREBY IRREVOCABLY AGREES THAT ALL CLAIMS IN RESPECT OF SUCH ACTION OR PROCEEDING (I) IF BROUGHT BY ANY BORROWER, THE SERVICER OR ANY AFFILIATE THEREOF, SHALL BE HEARD AND DETERMINED, AND (II) IF BROUGHT BY ANY OTHER PARTY TO THIS AGREEMENT OR ANY OTHER TRANSACTION DOCUMENT, MAY BE HEARD AND DETERMINED, IN EACH CASE, IN SUCH NEW YORK STATE COURT OR, TO THE EXTENT PERMITTED BY LAW, IN SUCH FEDERAL COURT. NOTHING IN THIS </w:t>
      </w:r>
      <w:r>
        <w:rPr>
          <w:rFonts w:ascii="Times New Roman" w:hAnsi="Times New Roman"/>
          <w:sz w:val="20"/>
          <w:u w:val="single"/>
        </w:rPr>
        <w:t>SECTION 14.10</w:t>
      </w:r>
      <w:r>
        <w:rPr>
          <w:rFonts w:ascii="Times New Roman" w:hAnsi="Times New Roman"/>
          <w:sz w:val="20"/>
        </w:rPr>
        <w:t xml:space="preserve"> SHALL AFFECT THE RIGHT OF THE ADMINISTRATIVE AGENT OR ANY OTHER CREDIT PARTY TO BRING ANY ACTION OR PROCEEDING AGAINST ANY BORROWER OR THE SERVICER OR ANY OF THEIR RESPECTIVE PROPERTY IN THE COURTS OF OTHER JURISDICTIONS. EACH BORROWER AND THE SERVICER HEREBY IRREVOCABLY WAIVES, TO THE FULLEST EXTENT IT MAY EFFECTIVELY DO SO, THE DEFENSE OF AN INCONVENIENT FORUM TO THE MAINTENANCE OF SUCH ACTION OR PROCEEDING. THE PARTIES HERETO AGREE THAT A FINAL JUDGMENT IN ANY SUCH ACTION OR PROCEEDING SHALL BE CONCLUSIVE AND MAY BE ENFORCED IN OTHER JURISDICTIONS BY SUIT ON THE JUDGMENT OR IN ANY OTHER MANNER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(b) EACH BORROWER AND THE SERVICER CONSENTS TO THE SERVICE OF ANY AND ALL PROCESS IN ANY SUCH ACTION OR PROCEEDING BY THE MAILING OF COPIES OF SUCH PROCESS TO IT AT ITS ADDRESS SPECIFIED IN </w:t>
      </w:r>
      <w:r>
        <w:rPr>
          <w:rFonts w:ascii="Times New Roman" w:hAnsi="Times New Roman"/>
          <w:sz w:val="20"/>
          <w:u w:val="single"/>
        </w:rPr>
        <w:t>SECTION 14.02</w:t>
      </w:r>
      <w:r>
        <w:rPr>
          <w:rFonts w:ascii="Times New Roman" w:hAnsi="Times New Roman"/>
          <w:sz w:val="20"/>
        </w:rPr>
        <w:t xml:space="preserve">. NOTHING IN THIS </w:t>
      </w:r>
      <w:r>
        <w:rPr>
          <w:rFonts w:ascii="Times New Roman" w:hAnsi="Times New Roman"/>
          <w:sz w:val="20"/>
          <w:u w:val="single"/>
        </w:rPr>
        <w:t>SECTION 14.10</w:t>
      </w:r>
      <w:r>
        <w:rPr>
          <w:rFonts w:ascii="Times New Roman" w:hAnsi="Times New Roman"/>
          <w:sz w:val="20"/>
        </w:rPr>
        <w:t xml:space="preserve"> SHALL AFFECT THE RIGHT OF THE ADMINISTRATIVE AGENT OR ANY OTHER CREDIT PARTY TO SERVE LEGAL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14.11. </w:t>
      </w:r>
      <w:r>
        <w:rPr>
          <w:rFonts w:ascii="Times New Roman" w:hAnsi="Times New Roman"/>
          <w:sz w:val="20"/>
          <w:u w:val="single"/>
        </w:rPr>
        <w:t>WAIVER OF JURY TRIAL</w:t>
      </w:r>
      <w:r>
        <w:rPr>
          <w:rFonts w:ascii="Times New Roman" w:hAnsi="Times New Roman"/>
          <w:sz w:val="20"/>
        </w:rPr>
        <w:t xml:space="preserve">. EACH PARTY HERETO HEREBY WAIVES, TO THE MAXIMUM EXTENT PERMITTED BY APPLICABLE LAW, TRIAL BY JURY IN ANY JUDICIAL PROCEEDING INVOLVING, DIRECTLY OR INDIRECTLY, ANY MATTER (WHETHER SOUNDING IN TORT, CONTRACT OR OTHERWISE) IN ANY WAY ARISING OUT OF, RELATED TO, OR CONNECTED WITH THIS AGREEMENT OR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14.12. </w:t>
      </w:r>
      <w:r>
        <w:rPr>
          <w:rFonts w:ascii="Times New Roman" w:hAnsi="Times New Roman"/>
          <w:sz w:val="20"/>
          <w:u w:val="single"/>
        </w:rPr>
        <w:t>Ratable Payments</w:t>
      </w:r>
      <w:r>
        <w:rPr>
          <w:rFonts w:ascii="Times New Roman" w:hAnsi="Times New Roman"/>
          <w:sz w:val="20"/>
        </w:rPr>
        <w:t xml:space="preserve">. If any Credit Party, whether by setoff or otherwise, has payment made to it with respect to any Borrower Obligations in a greater proportion than that received by any other Credit Party entitled to receive a ratable share of such Borrower Obligations, such Credit Party agrees, promptly upon demand, to purchase for cash without recourse or warranty a portion of such Borrower Obligations held by the other Credit Parties so that after such purchase each Credit Party will hold its ratable proportion of such Borrower Obligations; </w:t>
      </w:r>
      <w:r>
        <w:rPr>
          <w:rFonts w:ascii="Times New Roman" w:hAnsi="Times New Roman"/>
          <w:sz w:val="20"/>
          <w:u w:val="single"/>
        </w:rPr>
        <w:t>provided</w:t>
      </w:r>
      <w:r>
        <w:rPr>
          <w:rFonts w:ascii="Times New Roman" w:hAnsi="Times New Roman"/>
          <w:sz w:val="20"/>
        </w:rPr>
        <w:t xml:space="preserve">, that if all or any portion of such excess amount is thereafter recovered from such Credit Party, such purchase shall be rescinded and the purchase price restored to the extent of such recovery, but without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14.13. </w:t>
      </w:r>
      <w:r>
        <w:rPr>
          <w:rFonts w:ascii="Times New Roman" w:hAnsi="Times New Roman"/>
          <w:sz w:val="20"/>
          <w:u w:val="single"/>
        </w:rPr>
        <w:t>Limitation of Liability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claim may be made by any Borrower or any Affiliate thereof or any other Person against any Credit Party or their respective Affiliates, members, directors, officers, employees, incorporators, attorneys or agents for any special, indirect, consequential or punitive damages in respect of any claim for breach of contract or any other theory of liability arising out of or related to the transactions contemplated by this Agreement or any other Transaction Document, or any act, omission or event occurring in connection herewith or therewith; and each of the Borrowers and the Servicer hereby waives, releases, and agrees not to sue upon any claim for any such damages, whether or not accrued and whether or not known or suspected to exist in its favor. None of the Credit Parties and their respective Affiliates shall have any liability to any Borrower or any Affiliate thereof or any other Person asserting claims on behalf of or in right of any Borrower or any Affiliate thereof in connection with or as a result of this Agreement or any other Transaction Document or the transactions contemplated hereby or thereby, except to the extent that any losses, claims, damages, liabilities or expenses incurred by any Borrower or any Affiliate thereof result from the breach of contract, gross negligence or willful misconduct of such Credit Party in performing its duties and obligations hereunder and under the other Transaction Documents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(b) The obligations of the Administrative Agent and each of the other Credit Parties under this Agreement and each of the Transaction Documents are solely the corporate obligations of such Person. No recourse shall be had for any obligation or claim arising out of or based upon this Agreement or any other Transaction Document against any member, director, officer, employee or incorporator of any such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14.14. </w:t>
      </w:r>
      <w:r>
        <w:rPr>
          <w:rFonts w:ascii="Times New Roman" w:hAnsi="Times New Roman"/>
          <w:sz w:val="20"/>
          <w:u w:val="single"/>
        </w:rPr>
        <w:t>Intent of the Parties</w:t>
      </w:r>
      <w:r>
        <w:rPr>
          <w:rFonts w:ascii="Times New Roman" w:hAnsi="Times New Roman"/>
          <w:sz w:val="20"/>
        </w:rPr>
        <w:t>. The Borrowers have structured this Agreement with the intention that the Loans and the obligations of the Borrowers hereunder will be treated under United States federal, and applicable state, local and foreign tax law as debt (the “</w:t>
      </w:r>
      <w:r>
        <w:rPr>
          <w:rFonts w:ascii="Times New Roman" w:hAnsi="Times New Roman"/>
          <w:sz w:val="20"/>
          <w:u w:val="single"/>
        </w:rPr>
        <w:t>Intended Tax Treatment</w:t>
      </w:r>
      <w:r>
        <w:rPr>
          <w:rFonts w:ascii="Times New Roman" w:hAnsi="Times New Roman"/>
          <w:sz w:val="20"/>
        </w:rPr>
        <w:t xml:space="preserve">”). The Borrowers, the Servicer, the Administrative Agent and the other Credit Parties agree to file no tax return, or take any action, inconsistent with the Intended Tax Treatment unless required by law. Each assignee and each Participant acquiring an interest in a Credit Extension, by its acceptance of such assignment or participation, agrees to comply with the immediately preceding sentence. Nothing contained in this Agreement shall constitute or be construed to be or create a partnership, joint venture, or similar relationship between the TRS Borrower and the QRS Borrower or between owner of the TRS Borrower and owner of the QRS Borrower, and each of owner of the TRS Borrower and owner of the QRS Borrower may incur obligations between each other to economically allocate the Loans or Commitment received in respect of each of the Borrowers to the applicable owner of the Borrowers. The Borrowers, the Servicer, the Administrative Agent and the other Credit Parties acknowledge that Holdings must comply with certain requirements in order to qualify as a REIT and further agree to conduct their affairs, and to cause their affiliates to conduct their affairs, in a manner so as to allow Holdings (or its successor) to qualify as a REIT under all applicable laws, rules and regulations until such time as the Board of Directors of Holdings (or its successor) deems it in the best interests of Holdings (or its successor) and its stockholders for Holdings (or its successor) not to remain qualified as a REIT.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14.15. </w:t>
      </w:r>
      <w:r>
        <w:rPr>
          <w:rFonts w:ascii="Times New Roman" w:hAnsi="Times New Roman"/>
          <w:sz w:val="20"/>
          <w:u w:val="single"/>
        </w:rPr>
        <w:t>USA Patriot Act</w:t>
      </w:r>
      <w:r>
        <w:rPr>
          <w:rFonts w:ascii="Times New Roman" w:hAnsi="Times New Roman"/>
          <w:sz w:val="20"/>
        </w:rPr>
        <w:t xml:space="preserve">. Each Lender that is subject to the USA PATRIOT Act and the Administrative Agent (for itself and not on behalf of any Lender) hereby notifies the Borrower-Related Parties that pursuant to the requirements of the USA PATRIOT Act, it is required to obtain, verify and record information that identifies the Borrower-Related Parties, which information includes the name and address of the Borrower-Related Parties and other information that will allow such Lender or Administrative Agent, as applicable, to identify the Borrower-Related Parties in accordance with the USA PATRIOT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14.16. </w:t>
      </w:r>
      <w:r>
        <w:rPr>
          <w:rFonts w:ascii="Times New Roman" w:hAnsi="Times New Roman"/>
          <w:sz w:val="20"/>
          <w:u w:val="single"/>
        </w:rPr>
        <w:t>Right of Setoff</w:t>
      </w:r>
      <w:r>
        <w:rPr>
          <w:rFonts w:ascii="Times New Roman" w:hAnsi="Times New Roman"/>
          <w:sz w:val="20"/>
        </w:rPr>
        <w:t xml:space="preserve">. Each Credit Party is hereby authorized (in addition to any other rights it may have), at any time during the continuance of an Event of Default, to setoff, appropriate and apply (without presentment, demand, protest or other notice which are hereby expressly waived) any deposits and any other indebtedness held or owing by such Credit Party (including by any branches or agencies of such Credit Party) to, or for the account of, any Borrower or the Servicer against amounts owing by any Borrower or the Servicer hereunder (even if contingent or unmatured); </w:t>
      </w:r>
      <w:r>
        <w:rPr>
          <w:rFonts w:ascii="Times New Roman" w:hAnsi="Times New Roman"/>
          <w:sz w:val="20"/>
          <w:u w:val="single"/>
        </w:rPr>
        <w:t>provided</w:t>
      </w:r>
      <w:r>
        <w:rPr>
          <w:rFonts w:ascii="Times New Roman" w:hAnsi="Times New Roman"/>
          <w:sz w:val="20"/>
        </w:rPr>
        <w:t xml:space="preserve">, that such Credit Party shall notify such Borrower or the Servicer, as applicable, promptly following such setoff. </w:t>
      </w:r>
    </w:p>
    <w:p>
      <w:pPr>
        <w:pStyle w:val="TextBody"/>
        <w:bidi w:val="0"/>
        <w:spacing w:before="240" w:after="0"/>
        <w:jc w:val="left"/>
        <w:rPr>
          <w:rFonts w:ascii="Times New Roman" w:hAnsi="Times New Roman"/>
          <w:sz w:val="20"/>
        </w:rPr>
      </w:pPr>
      <w:r>
        <w:rPr>
          <w:rFonts w:ascii="Times New Roman" w:hAnsi="Times New Roman"/>
          <w:sz w:val="20"/>
        </w:rPr>
        <w:t xml:space="preserve">SECTION 14.17. </w:t>
      </w:r>
      <w:r>
        <w:rPr>
          <w:rFonts w:ascii="Times New Roman" w:hAnsi="Times New Roman"/>
          <w:sz w:val="20"/>
          <w:u w:val="single"/>
        </w:rPr>
        <w:t>Severability</w:t>
      </w:r>
      <w:r>
        <w:rPr>
          <w:rFonts w:ascii="Times New Roman" w:hAnsi="Times New Roman"/>
          <w:sz w:val="20"/>
        </w:rPr>
        <w:t xml:space="preserve">. Any provisions of this Agreement which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14.18. </w:t>
      </w:r>
      <w:r>
        <w:rPr>
          <w:rFonts w:ascii="Times New Roman" w:hAnsi="Times New Roman"/>
          <w:sz w:val="20"/>
          <w:u w:val="single"/>
        </w:rPr>
        <w:t>Mutual Negotiations</w:t>
      </w:r>
      <w:r>
        <w:rPr>
          <w:rFonts w:ascii="Times New Roman" w:hAnsi="Times New Roman"/>
          <w:sz w:val="20"/>
        </w:rPr>
        <w:t xml:space="preserve">. This Agreement and the other Transaction Documents are the product of mutual negotiations by the parties thereto and their counsel, and no party shall be deemed the draftsperson of this Agreement or any other Transaction Document or any provision hereof or thereof or to have provided the same. Accordingly, in the event of any inconsistency or ambiguity of any provision of this Agreement or any other Transaction Document, such inconsistency or ambiguity shall not be interpreted against any party because of such party’s involvement in the drafting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14.19. </w:t>
      </w:r>
      <w:r>
        <w:rPr>
          <w:rFonts w:ascii="Times New Roman" w:hAnsi="Times New Roman"/>
          <w:sz w:val="20"/>
          <w:u w:val="single"/>
        </w:rPr>
        <w:t>Captions and Cross References</w:t>
      </w:r>
      <w:r>
        <w:rPr>
          <w:rFonts w:ascii="Times New Roman" w:hAnsi="Times New Roman"/>
          <w:sz w:val="20"/>
        </w:rPr>
        <w:t xml:space="preserve">. The various captions (including the table of contents) in this Agreement are provided solely for convenience of reference and shall not affect the meaning or interpretation of any provision of this Agreement. Unless otherwise indicated, references in this Agreement to any Section, Schedule or Exhibit are to such Section Schedule or Exhibit to this Agreement, as the case may be, and references in any Section, subsection, or clause to any subsection, clause or subclause are to such subsection, clause or subclause of such Section, subsection or clause.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14.20. </w:t>
      </w:r>
      <w:r>
        <w:rPr>
          <w:rFonts w:ascii="Times New Roman" w:hAnsi="Times New Roman"/>
          <w:sz w:val="20"/>
          <w:u w:val="single"/>
        </w:rPr>
        <w:t>Post-Closing Covenants</w:t>
      </w:r>
      <w:r>
        <w:rPr>
          <w:rFonts w:ascii="Times New Roman" w:hAnsi="Times New Roman"/>
          <w:sz w:val="20"/>
        </w:rPr>
        <w:t xml:space="preserve">. On or prior to the Post-Closing Date, the Borrowers and the Servicer shall deliver to the Administrative Agent evidence, in form and substance reasonably satisfactory to the Administrative Agent, that the account of the QRS Borrower with Hancock Whitney Bank ending in 4262 has been novated to another Lamar Party (other than the TRS Borrower). </w:t>
      </w:r>
    </w:p>
    <w:p>
      <w:pPr>
        <w:pStyle w:val="TextBody"/>
        <w:bidi w:val="0"/>
        <w:spacing w:before="240" w:after="0"/>
        <w:jc w:val="left"/>
        <w:rPr>
          <w:rFonts w:ascii="Times New Roman" w:hAnsi="Times New Roman"/>
          <w:sz w:val="20"/>
        </w:rPr>
      </w:pPr>
      <w:r>
        <w:rPr>
          <w:rFonts w:ascii="Times New Roman" w:hAnsi="Times New Roman"/>
          <w:sz w:val="20"/>
        </w:rPr>
        <w:t xml:space="preserve">SECTION 14.21. </w:t>
      </w:r>
      <w:r>
        <w:rPr>
          <w:rFonts w:ascii="Times New Roman" w:hAnsi="Times New Roman"/>
          <w:sz w:val="20"/>
          <w:u w:val="single"/>
        </w:rPr>
        <w:t>Joinder of Originators</w:t>
      </w:r>
      <w:r>
        <w:rPr>
          <w:rFonts w:ascii="Times New Roman" w:hAnsi="Times New Roman"/>
          <w:sz w:val="20"/>
        </w:rPr>
        <w:t xml:space="preserve">. Each of the parties hereto hereby acknowledge and agree that solely in connection with the joinder of any additional Person as an “Originator” under any Purchase and Sale Agreement pursuant to either (a) Section 4.3 of the QRS Purchase and Sale Agreement or (b) Section 4.3 of the TRS Purchase and Sale Agreement, as applicable, that so long as each of the Joinder Conditions are satisfied as of the date of such joinder, then the prior written consent of the Administrative Agent shall not be require solely in connection with such joinder.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14.21</w:t>
      </w:r>
      <w:r>
        <w:rPr>
          <w:rFonts w:ascii="Times New Roman" w:hAnsi="Times New Roman"/>
          <w:sz w:val="20"/>
        </w:rPr>
        <w:t xml:space="preserve">, the terms set forth below shall have the following meanings: </w:t>
      </w:r>
    </w:p>
    <w:p>
      <w:pPr>
        <w:pStyle w:val="TextBody"/>
        <w:bidi w:val="0"/>
        <w:spacing w:before="120" w:after="0"/>
        <w:jc w:val="left"/>
        <w:rPr/>
      </w:pPr>
      <w:r>
        <w:rPr/>
        <w:t>“</w:t>
      </w:r>
      <w:r>
        <w:rPr>
          <w:rFonts w:ascii="Times New Roman" w:hAnsi="Times New Roman"/>
          <w:sz w:val="20"/>
          <w:u w:val="single"/>
        </w:rPr>
        <w:t>Joinder Conditions</w:t>
      </w:r>
      <w:r>
        <w:rPr>
          <w:rFonts w:ascii="Times New Roman" w:hAnsi="Times New Roman"/>
          <w:sz w:val="20"/>
        </w:rPr>
        <w:t xml:space="preserve">” means each of the following conditions: (i) no Event of Default, Unmatured Event of Default, Purchase and Sale Termination Event or Unmatured Purchase and Sale Termination Event has occurred and is continuing or would result from such joinder, (ii) a pro forma Information Package, prepared after giving effect to such joinder, shall have been delivered to the Administrative Agent, (iii) each of the conditions set forth in either (a) Section 4.3 of the QRS Purchase and Sale Agreement or (b) Section 4.3 of the TRS Purchase and Sale Agreement, as applicable, have been satisfied on or before the date of such joinder, (iv) the aggregate Outstanding Balance of all Receivables of such Subject Originator as of the related Cut-Off Date (as defined in the related Purchase and Sale Agreement) for such Subject Originator does not exceed 5.0% of the aggregate Outstanding Balance of all Receivables then in the Receivables Pool as of such related Cut-Off Date, (v) each Obligor with respect to the Receivables of such Subject Originator has been instructed to remit Collections in respect thereof directly to a Lock-Box or Collection Account in the United States of America, (vi) the Receivables of such Subject Originator represents all or part of the sales price or other right to payment in connection with the provision by such Subject Originator of advertising space on out-of-home advertising structures and sites in the United States, (vii) the Administrative Agent has received all documentation and other information requested by the Administrative Agent with respect to “know your customer” and anti-money laundering rules and regulations, including, without limitation, the PATRIOT Act, (viii) the Performance Guarantor has delivered an amendment to (or reaffirmation of) the Performance Guaranty, in form and substance reasonably satisfactory to the Administrative Agent, (ix) such additional Person is a Subject Originator and (x) no more than four (4) (or such additional number as may be consented to in writing by the Administrative Agent in its sole discretion) additional People (including such proposed additional Person) have been joined to the Purchase and Sale Agreements as “Originators” pursuant to Section 4.3 thereof. </w:t>
      </w:r>
    </w:p>
    <w:p>
      <w:pPr>
        <w:pStyle w:val="TextBody"/>
        <w:bidi w:val="0"/>
        <w:spacing w:before="120" w:after="0"/>
        <w:jc w:val="left"/>
        <w:rPr/>
      </w:pPr>
      <w:r>
        <w:rPr/>
        <w:t>“</w:t>
      </w:r>
      <w:r>
        <w:rPr>
          <w:rFonts w:ascii="Times New Roman" w:hAnsi="Times New Roman"/>
          <w:sz w:val="20"/>
          <w:u w:val="single"/>
        </w:rPr>
        <w:t>Subject Originator</w:t>
      </w:r>
      <w:r>
        <w:rPr>
          <w:rFonts w:ascii="Times New Roman" w:hAnsi="Times New Roman"/>
          <w:sz w:val="20"/>
        </w:rPr>
        <w:t xml:space="preserve">” means any Person that is joined to a Purchase and Sale Agreement as an “Originator” pursuant to Section 4.3 thereof. </w:t>
      </w:r>
    </w:p>
    <w:p>
      <w:pPr>
        <w:pStyle w:val="TextBody"/>
        <w:bidi w:val="0"/>
        <w:spacing w:before="240" w:after="0"/>
        <w:jc w:val="center"/>
        <w:rPr>
          <w:rFonts w:ascii="Times New Roman" w:hAnsi="Times New Roman"/>
          <w:b/>
          <w:sz w:val="20"/>
        </w:rPr>
      </w:pPr>
      <w:r>
        <w:rPr>
          <w:rFonts w:ascii="Times New Roman" w:hAnsi="Times New Roman"/>
          <w:b/>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139</Pages>
  <Words>67307</Words>
  <Characters>358538</Characters>
  <CharactersWithSpaces>426221</CharactersWithSpaces>
  <Paragraphs>2173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