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525145</wp:posOffset>
            </wp:positionH>
            <wp:positionV relativeFrom="page">
              <wp:posOffset>680720</wp:posOffset>
            </wp:positionV>
            <wp:extent cx="6506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706120</wp:posOffset>
            </wp:positionV>
            <wp:extent cx="6506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621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LAMAR ADVERTISING COMPANY</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registrants as specified in its charter)</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29" w:lineRule="exact"/>
        <w:rPr>
          <w:sz w:val="24"/>
          <w:szCs w:val="24"/>
          <w:color w:val="auto"/>
        </w:rPr>
      </w:pPr>
    </w:p>
    <w:tbl>
      <w:tblPr>
        <w:tblLayout w:type="fixed"/>
        <w:tblInd w:w="1180" w:type="dxa"/>
        <w:tblCellMar>
          <w:top w:w="0" w:type="dxa"/>
          <w:left w:w="0" w:type="dxa"/>
          <w:bottom w:w="0" w:type="dxa"/>
          <w:right w:w="0" w:type="dxa"/>
        </w:tblCellMar>
      </w:tblPr>
      <w:tr>
        <w:trPr>
          <w:trHeight w:val="212"/>
        </w:trPr>
        <w:tc>
          <w:tcPr>
            <w:tcW w:w="2920" w:type="dxa"/>
            <w:vAlign w:val="bottom"/>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001-36756</w:t>
            </w: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47-0961620</w:t>
            </w:r>
          </w:p>
        </w:tc>
      </w:tr>
      <w:tr>
        <w:trPr>
          <w:trHeight w:val="220"/>
        </w:trPr>
        <w:tc>
          <w:tcPr>
            <w:tcW w:w="2920" w:type="dxa"/>
            <w:vAlign w:val="bottom"/>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(States or other jurisdictions</w:t>
            </w:r>
          </w:p>
        </w:tc>
        <w:tc>
          <w:tcPr>
            <w:tcW w:w="32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File</w:t>
            </w: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920" w:type="dxa"/>
            <w:vAlign w:val="bottom"/>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3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Numbers)</w:t>
            </w: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Identification Nos.)</w:t>
            </w:r>
          </w:p>
        </w:tc>
      </w:tr>
    </w:tbl>
    <w:p>
      <w:pPr>
        <w:spacing w:after="0" w:line="3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5321 Corporate Blvd.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b w:val="1"/>
          <w:bCs w:val="1"/>
          <w:color w:val="auto"/>
        </w:rPr>
        <w:t xml:space="preserve"> Baton Rouge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b w:val="1"/>
          <w:bCs w:val="1"/>
          <w:color w:val="auto"/>
        </w:rPr>
        <w:t xml:space="preserve"> Louisiana </w:t>
      </w:r>
      <w:r>
        <w:rPr>
          <w:rFonts w:ascii="Times New Roman" w:cs="Times New Roman" w:eastAsia="Times New Roman" w:hAnsi="Times New Roman"/>
          <w:sz w:val="17"/>
          <w:szCs w:val="17"/>
          <w:b w:val="1"/>
          <w:bCs w:val="1"/>
          <w:color w:val="auto"/>
        </w:rPr>
        <w:t>70808</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381" w:lineRule="exact"/>
        <w:rPr>
          <w:sz w:val="24"/>
          <w:szCs w:val="24"/>
          <w:color w:val="auto"/>
        </w:rPr>
      </w:pPr>
    </w:p>
    <w:p>
      <w:pPr>
        <w:ind w:left="5420" w:hanging="427"/>
        <w:spacing w:after="0"/>
        <w:tabs>
          <w:tab w:leader="none" w:pos="54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926-1000</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 since last report)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49" w:lineRule="exact"/>
        <w:rPr>
          <w:sz w:val="24"/>
          <w:szCs w:val="24"/>
          <w:color w:val="auto"/>
        </w:rPr>
      </w:pPr>
    </w:p>
    <w:p>
      <w:pPr>
        <w:ind w:left="980" w:hanging="567"/>
        <w:spacing w:after="0"/>
        <w:tabs>
          <w:tab w:leader="none" w:pos="9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5" w:lineRule="exact"/>
        <w:rPr>
          <w:rFonts w:ascii="Wingdings" w:cs="Wingdings" w:eastAsia="Wingdings" w:hAnsi="Wingdings"/>
          <w:sz w:val="16"/>
          <w:szCs w:val="16"/>
          <w:b w:val="1"/>
          <w:bCs w:val="1"/>
          <w:color w:val="auto"/>
        </w:rPr>
      </w:pPr>
    </w:p>
    <w:p>
      <w:pPr>
        <w:ind w:left="980" w:hanging="567"/>
        <w:spacing w:after="0"/>
        <w:tabs>
          <w:tab w:leader="none" w:pos="9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Wingdings" w:cs="Wingdings" w:eastAsia="Wingdings" w:hAnsi="Wingdings"/>
          <w:sz w:val="16"/>
          <w:szCs w:val="16"/>
          <w:b w:val="1"/>
          <w:bCs w:val="1"/>
          <w:color w:val="auto"/>
        </w:rPr>
      </w:pPr>
    </w:p>
    <w:p>
      <w:pPr>
        <w:ind w:left="980" w:hanging="567"/>
        <w:spacing w:after="0"/>
        <w:tabs>
          <w:tab w:leader="none" w:pos="9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Wingdings" w:cs="Wingdings" w:eastAsia="Wingdings" w:hAnsi="Wingdings"/>
          <w:sz w:val="16"/>
          <w:szCs w:val="16"/>
          <w:b w:val="1"/>
          <w:bCs w:val="1"/>
          <w:color w:val="auto"/>
        </w:rPr>
      </w:pPr>
    </w:p>
    <w:p>
      <w:pPr>
        <w:ind w:left="980" w:hanging="567"/>
        <w:spacing w:after="0"/>
        <w:tabs>
          <w:tab w:leader="none" w:pos="9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Lamar Advertising Company securities registered pursuant to Section 12(b) of the Act:</w:t>
      </w:r>
    </w:p>
    <w:p>
      <w:pPr>
        <w:spacing w:after="0" w:line="57" w:lineRule="exact"/>
        <w:rPr>
          <w:sz w:val="24"/>
          <w:szCs w:val="24"/>
          <w:color w:val="auto"/>
        </w:rPr>
      </w:pPr>
    </w:p>
    <w:tbl>
      <w:tblPr>
        <w:tblLayout w:type="fixed"/>
        <w:tblInd w:w="52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42"/>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9"/>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$0.001 par value</w:t>
            </w:r>
          </w:p>
        </w:tc>
        <w:tc>
          <w:tcPr>
            <w:tcW w:w="8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LAMR</w:t>
            </w:r>
          </w:p>
        </w:tc>
        <w:tc>
          <w:tcPr>
            <w:tcW w:w="100" w:type="dxa"/>
            <w:vAlign w:val="bottom"/>
          </w:tcPr>
          <w:p>
            <w:pPr>
              <w:spacing w:after="0"/>
              <w:rPr>
                <w:sz w:val="18"/>
                <w:szCs w:val="18"/>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2"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11" w:lineRule="exact"/>
        <w:rPr>
          <w:sz w:val="24"/>
          <w:szCs w:val="24"/>
          <w:color w:val="auto"/>
        </w:rPr>
      </w:pPr>
    </w:p>
    <w:p>
      <w:pPr>
        <w:ind w:left="7260"/>
        <w:spacing w:after="0"/>
        <w:tabs>
          <w:tab w:leader="none" w:pos="100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Wingdings" w:cs="Wingdings" w:eastAsia="Wingdings" w:hAnsi="Wingdings"/>
          <w:sz w:val="15"/>
          <w:szCs w:val="15"/>
          <w:b w:val="1"/>
          <w:bCs w:val="1"/>
          <w:color w:val="auto"/>
        </w:rPr>
        <w:t>o</w:t>
      </w:r>
    </w:p>
    <w:p>
      <w:pPr>
        <w:spacing w:after="0" w:line="208" w:lineRule="exact"/>
        <w:rPr>
          <w:sz w:val="24"/>
          <w:szCs w:val="24"/>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1270</wp:posOffset>
            </wp:positionV>
            <wp:extent cx="6506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27305</wp:posOffset>
            </wp:positionV>
            <wp:extent cx="6506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ectPr>
          <w:pgSz w:w="11900" w:h="16838" w:orient="portrait"/>
          <w:cols w:equalWidth="0" w:num="1">
            <w:col w:w="11180"/>
          </w:cols>
          <w:pgMar w:left="320" w:top="1181"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May 7, 2026, Lamar Advertising Company announced via press release its results for the quarter ended March 31, 2026. A copy of Lamar’s press release is hereby furnished to the Commission and incorporated by reference herein as Exhibit 99.1.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760" w:type="dxa"/>
            <w:vAlign w:val="bottom"/>
          </w:tcPr>
          <w:p>
            <w:pPr>
              <w:spacing w:after="0"/>
              <w:rPr>
                <w:sz w:val="17"/>
                <w:szCs w:val="17"/>
                <w:color w:val="auto"/>
              </w:rPr>
            </w:pPr>
          </w:p>
        </w:tc>
        <w:tc>
          <w:tcPr>
            <w:tcW w:w="10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1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60" w:type="dxa"/>
            <w:vAlign w:val="bottom"/>
            <w:gridSpan w:val="3"/>
            <w:vMerge w:val="continue"/>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3"/>
            <w:vMerge w:val="continue"/>
          </w:tcPr>
          <w:p>
            <w:pPr>
              <w:spacing w:after="0"/>
              <w:rPr>
                <w:sz w:val="19"/>
                <w:szCs w:val="19"/>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of Lamar Advertising Company, dated May 7, 2026, reporting Lamar’s financial results for the quarter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8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March 31, 2026.</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(embedded within the Inline XBRL document).</w:t>
            </w:r>
          </w:p>
        </w:tc>
        <w:tc>
          <w:tcPr>
            <w:tcW w:w="0" w:type="dxa"/>
            <w:vAlign w:val="bottom"/>
          </w:tcPr>
          <w:p>
            <w:pPr>
              <w:spacing w:after="0"/>
              <w:rPr>
                <w:sz w:val="1"/>
                <w:szCs w:val="1"/>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14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tc>
      </w:tr>
      <w:tr>
        <w:trPr>
          <w:trHeight w:val="297"/>
        </w:trPr>
        <w:tc>
          <w:tcPr>
            <w:tcW w:w="3100" w:type="dxa"/>
            <w:vAlign w:val="bottom"/>
          </w:tcPr>
          <w:p>
            <w:pPr>
              <w:spacing w:after="0"/>
              <w:rPr>
                <w:sz w:val="24"/>
                <w:szCs w:val="24"/>
                <w:color w:val="auto"/>
              </w:rPr>
            </w:pPr>
          </w:p>
        </w:tc>
        <w:tc>
          <w:tcPr>
            <w:tcW w:w="23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3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34"/>
        </w:trPr>
        <w:tc>
          <w:tcPr>
            <w:tcW w:w="3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sectPr>
          <w:pgSz w:w="11900" w:h="16838" w:orient="portrait"/>
          <w:cols w:equalWidth="0" w:num="1">
            <w:col w:w="10940"/>
          </w:cols>
          <w:pgMar w:left="320" w:top="995" w:right="639" w:bottom="1440" w:gutter="0" w:footer="0" w:header="0"/>
        </w:sectPr>
      </w:pPr>
    </w:p>
    <w:bookmarkStart w:id="3" w:name="page4"/>
    <w:bookmarkEnd w:id="3"/>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577850</wp:posOffset>
            </wp:positionV>
            <wp:extent cx="178308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83080" cy="2400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5321 Corporate Boulevard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Baton Rouge, LA 70808</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Quarter Ended March 31, 2026 Operating Results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Three Month Results</w:t>
      </w:r>
    </w:p>
    <w:p>
      <w:pPr>
        <w:spacing w:after="0" w:line="254" w:lineRule="exact"/>
        <w:rPr>
          <w:sz w:val="20"/>
          <w:szCs w:val="20"/>
          <w:color w:val="auto"/>
        </w:rPr>
      </w:pPr>
    </w:p>
    <w:p>
      <w:pPr>
        <w:ind w:left="2840" w:hanging="240"/>
        <w:spacing w:after="0"/>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$528.0 million</w:t>
      </w:r>
    </w:p>
    <w:p>
      <w:pPr>
        <w:spacing w:after="0" w:line="27"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$101.8 million</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$226.3 million</w:t>
      </w:r>
    </w:p>
    <w:p>
      <w:pPr>
        <w:spacing w:after="0" w:line="23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Baton Rouge, LA – May 7, 2026 - Lamar Advertising Company (the “Company” or “Lamar”) (Nasdaq: LAMR), a leading owner and operator of outdoor advertising and logo sign displays, announces the Company’s operating results for the first quarter ended March 31, 2026.</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year is shaping up quite nicely, with strong demand from local and particularly national customers," Lamar chief executive Sean Reilly said. "Our first-quarter results surpassed our internal forecasts, and our pacings have us trending at the top end of our previously provided guidance for full-year AFFO per diluted share. “</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Quarter Highlights</w:t>
      </w:r>
    </w:p>
    <w:p>
      <w:pPr>
        <w:spacing w:after="0" w:line="254" w:lineRule="exact"/>
        <w:rPr>
          <w:sz w:val="20"/>
          <w:szCs w:val="20"/>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4.5%</w:t>
      </w:r>
    </w:p>
    <w:p>
      <w:pPr>
        <w:spacing w:after="0" w:line="27"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26.9%</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7.7%</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 increased 8.0%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Results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Lamar reported net revenues of $528.0 million for the first quarter of 2026 versus $505.4 million for the first quarter of 2025, a 4.5% increase. Operating income for the first quarter of 2026 decreased $45.2 million to $146.1 million as compared to $191.2 million for the same period in 2025. Lamar recognized net income of $101.8 million for the first quarter of 2026 as compared to a net income of $139.2 million for the same period in 2025, a decrease of $37.4 million. The 26.9% decrease in net income for the first quarter of 2026 as compared to the same period in 2025 was primarily due to the $67.7 million gain, offset by the $13.1 million income tax expense, recorded in 2025 for the sale of Lamar’s equity interest in Vistar Media, Inc. (“Vistar”). Net income per diluted share was $1.00 and $1.35 for the three months ended March 31, 2026 and 2025, respectively.</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Adjusted EBITDA for the first quarter of 2026 was $226.3 million versus $210.2 million for the first quarter of 2025, an increase of 7.7%.</w:t>
      </w:r>
    </w:p>
    <w:p>
      <w:pPr>
        <w:spacing w:after="0" w:line="25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Cash flow provided by operating activities was $147.4 million for the three months ended March 31, 2026 versus $127.7 million for the first quarter of 2025, an increase of $19.6 million. Free cash flow for the first quarter of 2026 was $152.4 million as compared to $121.1 million for the same period in 2025, a 25.8% increase.</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first quarter of 2026, funds from operations, or FFO, was $167.8 million versus $156.1 million for the same period in 2025, an increase of 7.5%. Adjusted funds from operations, or AFFO, for the first quarter of 2026 was $177.5 million compared to $164.3 million for the same period in 2025, an increase of 8.0%. Diluted AFFO per share increased 7.5% to $1.72 for the three months ended March 31, 2026 as compared to $1.60 for the same period in 2025.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Acquisition-Adjusted Three Months Results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Acquisition-adjusted net revenue for the first quarter of 2026 increased 3.9% over acquisition-adjusted net revenue for the first quarter of 2025. Acquisition-adjusted EBITDA for the first quarter of 2026 increased 5.2% as compared to acquisition-adjusted EBITDA for the first quarter of 2025. Acquisition-adjusted net revenue and acquisition-adjusted EBITDA include adjustments to the 2025 period for acquisitions and divestitures for the same time frame as actually owned in the 2026 period. See “Reconciliation of Reported Basis to Acquisition-Adjusted Results”, which provides reconciliations to GAAP for acquisition-adjusted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March 31, 2026, Lamar had $701.5 million in total liquidity that consisted of $662.2 million available for borrowing under its revolving senior credit facility and $39.3 million in cash and cash equivalents. There was $80.0 million in borrowings outstanding under the Company’s revolving credit facility and $242.1 million outstanding under the Accounts Receivable Securitization Program as of the same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Subsequent to March 31, 2026, Lamar paid down $40.0 million of its outstanding borrowings under the Company’s revolving credit facility. Currently, there is $40.0 million in borrowings outstanding under the Company’s revolving credit facility and $250.0 million outstanding under the Accounts Receivable Securitization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56"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regarding sales trends. These statements are subject to risks and uncertainties that could cause actual results to differ materially from those projected in these forward-looking statements. These risks and uncertainties include, among others: (1) our significant indebtedness; (2) the state of the economy and financial markets generally, and the effect of the broader economy on the demand for advertising, including economic changes that may result from new or increased tariffs, trade restrictions or geopolitical tensions, including war and armed conflicts; (3) the continued popularity of outdoor advertising as an advertising medium; (4) our need for and ability to obtain additional funding for operations, debt refinancing or acquisitions; (5) our ability to continue to qualify as a Real Estate Investment Trust (“REIT”) and maintain our status as a REIT; (6) the regulation of the outdoor advertising industry by federal, state and local governments; (7) the integration of companies and assets that we acquire and our ability to recognize cost savings or operating efficiencies as a result of these acquisitions; (8) changes in accounting principles, policies or guidelines; (9) changes in tax laws applicable to REITs or in the interpretation of those laws; (10) our ability to renew expiring contracts at favorable rates; (11) our ability to successfully implement our digital deployment strategy; and (12) the market for our Class A common stock. For additional information regarding factors that may cause actual results to differ materially from those indicated in our forward-looking statements, we refer you to the risk factors included in Item 1A of our Annual Report on Form 10-K for the year ended December 31, 2025, as supplemented by any risk factors contained in our Quarterly Reports on Form 10-Q and our Current Reports on Form 8-K. We caution investors not to place undue reliance on the forward-looking statements contained in this document. These statements speak only as of the date of this document, and we undertake no obligation to update or revise the statements, except as may be required by law.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 has presented the following measures that are not measures of performance under accounting principles generally accepted in the United States of America (“GAAP”): adjusted earnings before interest, taxes, depreciation and amortization (“adjusted EBITDA”), free cash flow, funds from operations (“FFO”), adjusted funds from operations (“AFFO”), diluted AFFO per share, outdoor operating income, acquisition-adjusted results and acquisition-adjusted consolidated expense. Our management reviews our performance by focusing on these key performance indicators not prepared in conformity with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87" w:right="339" w:bottom="1440" w:gutter="0" w:footer="0" w:header="0"/>
        </w:sectPr>
      </w:pPr>
    </w:p>
    <w:bookmarkStart w:id="5" w:name="page6"/>
    <w:bookmarkEnd w:id="5"/>
    <w:p>
      <w:pPr>
        <w:ind w:left="248"/>
        <w:spacing w:after="0"/>
        <w:rPr>
          <w:sz w:val="20"/>
          <w:szCs w:val="20"/>
          <w:color w:val="auto"/>
        </w:rPr>
      </w:pPr>
      <w:r>
        <w:rPr>
          <w:rFonts w:ascii="Times New Roman" w:cs="Times New Roman" w:eastAsia="Times New Roman" w:hAnsi="Times New Roman"/>
          <w:sz w:val="18"/>
          <w:szCs w:val="18"/>
          <w:color w:val="auto"/>
        </w:rPr>
        <w:t>Our Non-GAAP financial measures are determined as follows:</w:t>
      </w:r>
    </w:p>
    <w:p>
      <w:pPr>
        <w:spacing w:after="0" w:line="252" w:lineRule="exact"/>
        <w:rPr>
          <w:sz w:val="20"/>
          <w:szCs w:val="20"/>
          <w:color w:val="auto"/>
        </w:rPr>
      </w:pPr>
    </w:p>
    <w:p>
      <w:pPr>
        <w:jc w:val="both"/>
        <w:ind w:left="328"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net income before income tax expense (benefit), interest expense (income), loss (gain) on extinguishment of debt and investments, equity in (earnings) loss of investee, stock-based compensation, depreciation and amortization, loss (gain) on disposition of assets and investments, transaction expenses and investments and capitalized contract fulfillment costs, net.</w:t>
      </w:r>
    </w:p>
    <w:p>
      <w:pPr>
        <w:spacing w:after="0" w:line="20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defined as adjusted EBITDA divided by net revenues.</w:t>
      </w:r>
    </w:p>
    <w:p>
      <w:pPr>
        <w:spacing w:after="0" w:line="252"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defined as adjusted EBITDA less interest, net of interest income and amortization of deferred financing costs, current taxes, preferred stock dividends and total capital expenditures.</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National Association of Real Estate Investment Trusts definition of FFO, which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202"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206"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AFFO per share is defined as AFFO divided by adjusted weighted average diluted common shares/units outstanding. Adjusted weighted average diluted common shares/units outstanding is calculated by adjusting the Company’s weighted average diluted common shares to add the weighted average outstanding units of Lamar Advertising Limited Partnership (“Lamar LP”), the Company’s operating partnership, that are held by limited partners of Lamar LP other than the Company’s wholly owned subsidiary, Lamar Media Corp. Upon the satisfaction of certain conditions, these units of Lamar LP are redeemable for cash or, at the Company’s option, shares of the Company’s Class A common stock on a one-for-one basis.</w:t>
      </w:r>
    </w:p>
    <w:p>
      <w:pPr>
        <w:spacing w:after="0" w:line="214"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operating income is defined as operating income before corporate expenses, stock-based compensation, capitalized contract fulfillment costs, net, transaction expenses, depreciation and amortization and loss (gain) on disposition of assets and investments.</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results adjusts our net revenue, direct and general and administrative expenses, outdoor operating income, corporate expense and EBITDA for the prior period by adding to, or subtracting from, the corresponding revenue or expense generated by the acquired or divested assets before our acquisition or divestiture of these assets for the same time frame that those assets were owned in the current period. In calculating acquisition-adjusted results, therefore, we include revenue and expenses generated by assets that we did not own in the prior period but acquired in the current period. We refer to the amount of pre-acquisition revenue and expense generated by or subtracted from the acquired assets during the prior period that corresponds with the current period in which we owned the assets (to the extent within the period to which this report relates) as “acquisition-adjusted results”.</w:t>
      </w:r>
    </w:p>
    <w:p>
      <w:pPr>
        <w:spacing w:after="0" w:line="21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consolidated expense adjusts our total operating expense to remove the impact of stock-based compensation, depreciation and amortization, transaction expenses, capitalized contract fulfillment costs, net, and loss (gain) on disposition of assets and investments. The prior period is also adjusted to include the expense generated by the acquired or divested assets before our acquisition or divestiture of such assets for the same time frame that those assets were owned in the current period.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08"/>
          </w:cols>
          <w:pgMar w:left="652" w:top="891" w:right="339" w:bottom="1440" w:gutter="0" w:footer="0" w:header="0"/>
        </w:sectPr>
      </w:pPr>
    </w:p>
    <w:bookmarkStart w:id="6" w:name="page7"/>
    <w:bookmarkEnd w:id="6"/>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Adjusted EBITDA, FFO, AFFO, diluted AFFO per share, free cash flow, outdoor operating income, acquisition-adjusted results and acquisition-adjusted consolidated expense are not intended to replace other performance measures determined in accordance with GAAP. Free cash flow, FFO and AFFO do not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Adjusted EBITDA, free cash flow, FFO, AFFO, diluted AFFO per share, outdoor operating income, acquisition-adjusted results and acquisition-adjusted consolidated expense are presented as we believe each is a useful indicator of our current operating performance. Specifically,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it excludes the impact of depreciation and amortization, which may vary significantly among companies, depending upon accounting methods and useful lives, particularly where acquisitions and non-operating factors are involved; (3) adjusted EBITDA, FFO, AFFO, diluted AFFO per share and acquisition-adjusted consolidated expense each provides investors with a meaningful measure for evaluating our period-over-period operating performance by eliminating items that are not operational in nature and reflect the impact on operations from trends in occupancy rates, operating costs, general and administrative expenses and interest costs; (4) acquisition-adjusted results is a supplement to enable investors to compare period-over-period results on a more consistent basis without the effects of acquisitions and divestitures, which reflects our core performance and organic growth (if any) during the period in which the assets were owned and managed by us; (5) free cash flow is an indicator of our ability to service debt and generate cash for acquisitions and other strategic investments; (6) outdoor operating income provides investors a measurement of our core results without the impact of fluctuations in stock-based compensation, depreciation and amortization and corporate expenses; and (7) each of our Non-GAAP measures provides investors with a measure for comparing our results of operations to those of other companies.</w:t>
      </w:r>
    </w:p>
    <w:p>
      <w:pPr>
        <w:spacing w:after="0" w:line="2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measurement of adjusted EBITDA, FFO, AFFO, diluted AFFO per share, free cash flow, outdoor operating income, acquisition-adjusted results and acquisition-adjusted consolidated expense may not, however, be fully comparable to similarly titled measures used by other companies. Reconciliations of adjusted EBITDA, FFO, AFFO, diluted AFFO per share, free cash flow, outdoor operating income, acquisition-adjusted results and acquisition-adjusted consolidated expense to the most directly comparable GAAP measures have been included herein.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25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 conference call will be held to discuss the Company’s operating results on Thursday, May 7, 2026 at 8:00 a.m. central time. Instructions for the conference call and Webcast are provided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Conference Call</w:t>
            </w: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All Callers:</w:t>
            </w:r>
          </w:p>
        </w:tc>
        <w:tc>
          <w:tcPr>
            <w:tcW w:w="56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1-800-420-1271 or 1-785-424-1634</w:t>
            </w:r>
          </w:p>
        </w:tc>
        <w:tc>
          <w:tcPr>
            <w:tcW w:w="0" w:type="dxa"/>
            <w:vAlign w:val="bottom"/>
          </w:tcPr>
          <w:p>
            <w:pPr>
              <w:spacing w:after="0"/>
              <w:rPr>
                <w:sz w:val="1"/>
                <w:szCs w:val="1"/>
                <w:color w:val="auto"/>
              </w:rPr>
            </w:pPr>
          </w:p>
        </w:tc>
      </w:tr>
      <w:tr>
        <w:trPr>
          <w:trHeight w:val="27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Passcode:</w:t>
            </w: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63104</w:t>
            </w:r>
          </w:p>
        </w:tc>
        <w:tc>
          <w:tcPr>
            <w:tcW w:w="7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Webcast:</w:t>
            </w: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ir.lamar.com</w:t>
            </w: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Webcast Replay:</w:t>
            </w: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800" w:type="dxa"/>
            <w:vAlign w:val="bottom"/>
            <w:gridSpan w:val="2"/>
            <w:vMerge w:val="continue"/>
          </w:tcPr>
          <w:p>
            <w:pPr>
              <w:spacing w:after="0"/>
              <w:rPr>
                <w:sz w:val="24"/>
                <w:szCs w:val="24"/>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ir.lamar.com</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333333"/>
                <w:w w:val="99"/>
              </w:rPr>
              <w:t>Available through Thursday, May 14, 2026 at 11:59 p.m. Eastern Time</w:t>
            </w:r>
          </w:p>
        </w:tc>
        <w:tc>
          <w:tcPr>
            <w:tcW w:w="0" w:type="dxa"/>
            <w:vAlign w:val="bottom"/>
          </w:tcPr>
          <w:p>
            <w:pPr>
              <w:spacing w:after="0"/>
              <w:rPr>
                <w:sz w:val="1"/>
                <w:szCs w:val="1"/>
                <w:color w:val="auto"/>
              </w:rPr>
            </w:pPr>
          </w:p>
        </w:tc>
      </w:tr>
      <w:tr>
        <w:trPr>
          <w:trHeight w:val="54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Contact:</w:t>
            </w: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Buster Kantrow</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of Investor Relations</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(225) 926-1000</w:t>
            </w:r>
          </w:p>
        </w:tc>
        <w:tc>
          <w:tcPr>
            <w:tcW w:w="3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bkantrow@lamar.com</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Information</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Founded in 1902, Lamar Advertising (Nasdaq: LAMR) is one of the largest outdoor advertising companies in North America, with over 359,000 displays across the United States and Canada. Lamar offers advertisers a variety of billboard, interstate logo, transit and airport advertising formats, helping both local businesses and national brands reach broad audiences every day. In addition to its more traditional out-of-home inventory, Lamar is proud to offer its customers the largest network of digital billboards in the United States with over 5,600 displays.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6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381,941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314,197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460" w:type="dxa"/>
            <w:vAlign w:val="bottom"/>
            <w:tcBorders>
              <w:top w:val="single" w:sz="8" w:color="CCEEFF"/>
              <w:bottom w:val="single" w:sz="8" w:color="CCEEFF"/>
            </w:tcBorders>
            <w:gridSpan w:val="3"/>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84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84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101,373,840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102,437,911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101,451,145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102,797,307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Free Cash Flow Computation:</w:t>
            </w:r>
          </w:p>
        </w:tc>
        <w:tc>
          <w:tcPr>
            <w:tcW w:w="6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226,328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152,350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8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AND CASH FLOW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Selected Balance Sheet Data:</w:t>
            </w:r>
          </w:p>
        </w:tc>
        <w:tc>
          <w:tcPr>
            <w:tcW w:w="6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64,812</w:t>
            </w: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(334,320)</w:t>
            </w: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6,913,348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6,931,954</w:t>
            </w: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 of deferred financing costs (including current maturities)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3,495,062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3,418,907</w:t>
            </w: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981,694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1,024,779</w:t>
            </w:r>
          </w:p>
        </w:tc>
      </w:tr>
      <w:tr>
        <w:trPr>
          <w:trHeight w:val="556"/>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50"/>
        </w:trPr>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660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84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Selected Cash Flow Data:</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127,745</w:t>
            </w: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provided by investing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65,426</w:t>
            </w:r>
          </w:p>
        </w:tc>
      </w:tr>
      <w:tr>
        <w:trPr>
          <w:trHeight w:val="243"/>
        </w:trPr>
        <w:tc>
          <w:tcPr>
            <w:tcW w:w="2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2240" w:type="dxa"/>
            <w:vAlign w:val="bottom"/>
            <w:tcBorders>
              <w:bottom w:val="single" w:sz="8" w:color="CCEEFF"/>
            </w:tcBorders>
          </w:tcPr>
          <w:p>
            <w:pPr>
              <w:spacing w:after="0"/>
              <w:rPr>
                <w:sz w:val="3"/>
                <w:szCs w:val="3"/>
                <w:color w:val="auto"/>
              </w:rPr>
            </w:pPr>
          </w:p>
        </w:tc>
        <w:tc>
          <w:tcPr>
            <w:tcW w:w="24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auto"/>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Reconciliation of Cash Flows Provided By Operating Activities to Free Cash Flow:</w:t>
            </w:r>
          </w:p>
        </w:tc>
        <w:tc>
          <w:tcPr>
            <w:tcW w:w="24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147,390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127,745</w:t>
            </w: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w:t>
            </w:r>
          </w:p>
        </w:tc>
      </w:tr>
      <w:tr>
        <w:trPr>
          <w:trHeight w:val="243"/>
        </w:trPr>
        <w:tc>
          <w:tcPr>
            <w:tcW w:w="20" w:type="dxa"/>
            <w:vAlign w:val="bottom"/>
          </w:tcPr>
          <w:p>
            <w:pPr>
              <w:spacing w:after="0"/>
              <w:rPr>
                <w:sz w:val="21"/>
                <w:szCs w:val="21"/>
                <w:color w:val="auto"/>
              </w:rPr>
            </w:pPr>
          </w:p>
        </w:tc>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(29,887)</w:t>
            </w: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20" w:type="dxa"/>
            <w:vAlign w:val="bottom"/>
          </w:tcPr>
          <w:p>
            <w:pPr>
              <w:spacing w:after="0"/>
              <w:rPr>
                <w:sz w:val="21"/>
                <w:szCs w:val="21"/>
                <w:color w:val="auto"/>
              </w:rPr>
            </w:pPr>
          </w:p>
        </w:tc>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63"/>
        </w:trPr>
        <w:tc>
          <w:tcPr>
            <w:tcW w:w="20" w:type="dxa"/>
            <w:vAlign w:val="bottom"/>
          </w:tcPr>
          <w:p>
            <w:pPr>
              <w:spacing w:after="0"/>
              <w:rPr>
                <w:sz w:val="22"/>
                <w:szCs w:val="22"/>
                <w:color w:val="auto"/>
              </w:rPr>
            </w:pPr>
          </w:p>
        </w:tc>
        <w:tc>
          <w:tcPr>
            <w:tcW w:w="84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152,350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121,114</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Reconciliation of Net Income to Adjusted EBITDA:</w:t>
            </w:r>
          </w:p>
        </w:tc>
        <w:tc>
          <w:tcPr>
            <w:tcW w:w="468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139,229</w:t>
            </w: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43"/>
        </w:trPr>
        <w:tc>
          <w:tcPr>
            <w:tcW w:w="20" w:type="dxa"/>
            <w:vAlign w:val="bottom"/>
          </w:tcPr>
          <w:p>
            <w:pPr>
              <w:spacing w:after="0"/>
              <w:rPr>
                <w:sz w:val="21"/>
                <w:szCs w:val="21"/>
                <w:color w:val="auto"/>
              </w:rPr>
            </w:pPr>
          </w:p>
        </w:tc>
        <w:tc>
          <w:tcPr>
            <w:tcW w:w="84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38,332</w:t>
            </w: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43"/>
        </w:trPr>
        <w:tc>
          <w:tcPr>
            <w:tcW w:w="20" w:type="dxa"/>
            <w:vAlign w:val="bottom"/>
          </w:tcPr>
          <w:p>
            <w:pPr>
              <w:spacing w:after="0"/>
              <w:rPr>
                <w:sz w:val="21"/>
                <w:szCs w:val="21"/>
                <w:color w:val="auto"/>
              </w:rPr>
            </w:pPr>
          </w:p>
        </w:tc>
        <w:tc>
          <w:tcPr>
            <w:tcW w:w="84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r>
      <w:tr>
        <w:trPr>
          <w:trHeight w:val="27"/>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191,233</w:t>
            </w:r>
          </w:p>
        </w:tc>
      </w:tr>
      <w:tr>
        <w:trPr>
          <w:trHeight w:val="243"/>
        </w:trPr>
        <w:tc>
          <w:tcPr>
            <w:tcW w:w="20" w:type="dxa"/>
            <w:vAlign w:val="bottom"/>
          </w:tcPr>
          <w:p>
            <w:pPr>
              <w:spacing w:after="0"/>
              <w:rPr>
                <w:sz w:val="21"/>
                <w:szCs w:val="21"/>
                <w:color w:val="auto"/>
              </w:rPr>
            </w:pPr>
          </w:p>
        </w:tc>
        <w:tc>
          <w:tcPr>
            <w:tcW w:w="84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20" w:type="dxa"/>
            <w:vAlign w:val="bottom"/>
          </w:tcPr>
          <w:p>
            <w:pPr>
              <w:spacing w:after="0"/>
              <w:rPr>
                <w:sz w:val="21"/>
                <w:szCs w:val="21"/>
                <w:color w:val="auto"/>
              </w:rPr>
            </w:pPr>
          </w:p>
        </w:tc>
        <w:tc>
          <w:tcPr>
            <w:tcW w:w="84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w:t>
            </w: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w:t>
            </w:r>
          </w:p>
        </w:tc>
      </w:tr>
      <w:tr>
        <w:trPr>
          <w:trHeight w:val="263"/>
        </w:trPr>
        <w:tc>
          <w:tcPr>
            <w:tcW w:w="20" w:type="dxa"/>
            <w:vAlign w:val="bottom"/>
          </w:tcPr>
          <w:p>
            <w:pPr>
              <w:spacing w:after="0"/>
              <w:rPr>
                <w:sz w:val="22"/>
                <w:szCs w:val="22"/>
                <w:color w:val="auto"/>
              </w:rPr>
            </w:pPr>
          </w:p>
        </w:tc>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226,328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210,221</w:t>
            </w:r>
          </w:p>
        </w:tc>
      </w:tr>
      <w:tr>
        <w:trPr>
          <w:trHeight w:val="21"/>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20" w:type="dxa"/>
            <w:vAlign w:val="bottom"/>
            <w:shd w:val="clear" w:color="auto" w:fill="CCEEFF"/>
          </w:tcPr>
          <w:p>
            <w:pPr>
              <w:spacing w:after="0"/>
              <w:rPr>
                <w:sz w:val="21"/>
                <w:szCs w:val="21"/>
                <w:color w:val="auto"/>
              </w:rPr>
            </w:pPr>
          </w:p>
        </w:tc>
        <w:tc>
          <w:tcPr>
            <w:tcW w:w="84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Capital expenditure detail by category:</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8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Billboards - traditional</w:t>
            </w:r>
          </w:p>
        </w:tc>
        <w:tc>
          <w:tcPr>
            <w:tcW w:w="5660" w:type="dxa"/>
            <w:vAlign w:val="bottom"/>
            <w:tcBorders>
              <w:top w:val="single" w:sz="8" w:color="CCEEFF"/>
            </w:tcBorders>
            <w:gridSpan w:val="3"/>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6,046</w:t>
            </w: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Billboards - digital</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w:t>
            </w:r>
          </w:p>
        </w:tc>
      </w:tr>
      <w:tr>
        <w:trPr>
          <w:trHeight w:val="243"/>
        </w:trPr>
        <w:tc>
          <w:tcPr>
            <w:tcW w:w="20" w:type="dxa"/>
            <w:vAlign w:val="bottom"/>
          </w:tcPr>
          <w:p>
            <w:pPr>
              <w:spacing w:after="0"/>
              <w:rPr>
                <w:sz w:val="21"/>
                <w:szCs w:val="21"/>
                <w:color w:val="auto"/>
              </w:rPr>
            </w:pPr>
          </w:p>
        </w:tc>
        <w:tc>
          <w:tcPr>
            <w:tcW w:w="84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Logo</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43"/>
        </w:trPr>
        <w:tc>
          <w:tcPr>
            <w:tcW w:w="20" w:type="dxa"/>
            <w:vAlign w:val="bottom"/>
          </w:tcPr>
          <w:p>
            <w:pPr>
              <w:spacing w:after="0"/>
              <w:rPr>
                <w:sz w:val="21"/>
                <w:szCs w:val="21"/>
                <w:color w:val="auto"/>
              </w:rPr>
            </w:pPr>
          </w:p>
        </w:tc>
        <w:tc>
          <w:tcPr>
            <w:tcW w:w="84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Land and buildings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r>
      <w:tr>
        <w:trPr>
          <w:trHeight w:val="263"/>
        </w:trPr>
        <w:tc>
          <w:tcPr>
            <w:tcW w:w="20" w:type="dxa"/>
            <w:vAlign w:val="bottom"/>
          </w:tcPr>
          <w:p>
            <w:pPr>
              <w:spacing w:after="0"/>
              <w:rPr>
                <w:sz w:val="22"/>
                <w:szCs w:val="22"/>
                <w:color w:val="auto"/>
              </w:rPr>
            </w:pPr>
          </w:p>
        </w:tc>
        <w:tc>
          <w:tcPr>
            <w:tcW w:w="84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29,887</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2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CCEEFF"/>
            </w:tcBorders>
            <w:shd w:val="clear" w:color="auto" w:fill="CCEEFF"/>
          </w:tcPr>
          <w:p>
            <w:pPr>
              <w:spacing w:after="0"/>
              <w:rPr>
                <w:sz w:val="8"/>
                <w:szCs w:val="8"/>
                <w:color w:val="auto"/>
              </w:rPr>
            </w:pPr>
          </w:p>
        </w:tc>
        <w:tc>
          <w:tcPr>
            <w:tcW w:w="4740" w:type="dxa"/>
            <w:vAlign w:val="bottom"/>
            <w:tcBorders>
              <w:bottom w:val="single" w:sz="8" w:color="CCEEFF"/>
            </w:tcBorders>
            <w:gridSpan w:val="2"/>
            <w:vMerge w:val="restart"/>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Reconciliation of Reported Basis to Acquisition-Adjusted Results</w:t>
            </w:r>
          </w:p>
        </w:tc>
        <w:tc>
          <w:tcPr>
            <w:tcW w:w="160" w:type="dxa"/>
            <w:vAlign w:val="bottom"/>
            <w:tcBorders>
              <w:bottom w:val="single" w:sz="8" w:color="auto"/>
            </w:tcBorders>
            <w:gridSpan w:val="2"/>
            <w:shd w:val="clear" w:color="auto" w:fill="CCEEFF"/>
          </w:tcPr>
          <w:p>
            <w:pPr>
              <w:spacing w:after="0" w:line="82" w:lineRule="exact"/>
              <w:rPr>
                <w:sz w:val="20"/>
                <w:szCs w:val="20"/>
                <w:color w:val="auto"/>
              </w:rPr>
            </w:pPr>
            <w:r>
              <w:rPr>
                <w:rFonts w:ascii="Times New Roman" w:cs="Times New Roman" w:eastAsia="Times New Roman" w:hAnsi="Times New Roman"/>
                <w:sz w:val="9"/>
                <w:szCs w:val="9"/>
                <w:color w:val="auto"/>
              </w:rPr>
              <w:t>(a)</w:t>
            </w:r>
          </w:p>
        </w:tc>
        <w:tc>
          <w:tcPr>
            <w:tcW w:w="2600" w:type="dxa"/>
            <w:vAlign w:val="bottom"/>
            <w:tcBorders>
              <w:bottom w:val="single" w:sz="8" w:color="CCEEFF"/>
            </w:tcBorders>
            <w:vMerge w:val="restart"/>
            <w:shd w:val="clear" w:color="auto" w:fill="CCEEFF"/>
          </w:tcPr>
          <w:p>
            <w:pPr>
              <w:jc w:val="right"/>
              <w:ind w:right="2509"/>
              <w:spacing w:after="0"/>
              <w:rPr>
                <w:sz w:val="20"/>
                <w:szCs w:val="20"/>
                <w:color w:val="auto"/>
              </w:rPr>
            </w:pPr>
            <w:r>
              <w:rPr>
                <w:rFonts w:ascii="Times New Roman" w:cs="Times New Roman" w:eastAsia="Times New Roman" w:hAnsi="Times New Roman"/>
                <w:sz w:val="10"/>
                <w:szCs w:val="10"/>
                <w:u w:val="single" w:color="auto"/>
                <w:color w:val="auto"/>
                <w:w w:val="70"/>
              </w:rPr>
              <w:t>:</w:t>
            </w:r>
          </w:p>
        </w:tc>
        <w:tc>
          <w:tcPr>
            <w:tcW w:w="28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CCEEFF"/>
            </w:tcBorders>
            <w:shd w:val="clear" w:color="auto" w:fill="CCEEFF"/>
          </w:tcPr>
          <w:p>
            <w:pPr>
              <w:spacing w:after="0"/>
              <w:rPr>
                <w:sz w:val="9"/>
                <w:szCs w:val="9"/>
                <w:color w:val="auto"/>
              </w:rPr>
            </w:pPr>
          </w:p>
        </w:tc>
        <w:tc>
          <w:tcPr>
            <w:tcW w:w="4740" w:type="dxa"/>
            <w:vAlign w:val="bottom"/>
            <w:tcBorders>
              <w:bottom w:val="single" w:sz="8" w:color="auto"/>
            </w:tcBorders>
            <w:gridSpan w:val="2"/>
            <w:vMerge w:val="continue"/>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2600" w:type="dxa"/>
            <w:vAlign w:val="bottom"/>
            <w:tcBorders>
              <w:bottom w:val="single" w:sz="8" w:color="CCEEFF"/>
            </w:tcBorders>
            <w:vMerge w:val="continue"/>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Acquisition-adjusted net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508,195</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direct advertising and G&amp;A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Acquisition-adjusted direct advertising and G&amp;A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266,616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Outdoor operating income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236,607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divestitures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Acquisition-adjusted outdoor operating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241,579</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corporate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Acquisition-adjusted corporate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210,221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Acquisition-adjusted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215,242</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Acquisition-adjusted net revenue, direct advertising and general and administrative expenses, outdoor operating income, corporate expenses and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EBITDA  include  adjustments  to  2025  for  acquisitions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and  divestitures  for  the  same</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time  frame</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  actually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owned  in</w:t>
            </w:r>
          </w:p>
        </w:tc>
      </w:tr>
      <w:tr>
        <w:trPr>
          <w:trHeight w:val="234"/>
        </w:trPr>
        <w:tc>
          <w:tcPr>
            <w:tcW w:w="4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gridSpan w:val="5"/>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0"/>
        </w:trPr>
        <w:tc>
          <w:tcPr>
            <w:tcW w:w="20" w:type="dxa"/>
            <w:vAlign w:val="bottom"/>
            <w:shd w:val="clear" w:color="auto" w:fill="CCEEFF"/>
          </w:tcPr>
          <w:p>
            <w:pPr>
              <w:spacing w:after="0"/>
              <w:rPr>
                <w:sz w:val="20"/>
                <w:szCs w:val="20"/>
                <w:color w:val="auto"/>
              </w:rPr>
            </w:pPr>
          </w:p>
        </w:tc>
        <w:tc>
          <w:tcPr>
            <w:tcW w:w="52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Reconciliation of Net Income to Outdoor Operating Income:</w:t>
            </w:r>
          </w:p>
        </w:tc>
        <w:tc>
          <w:tcPr>
            <w:tcW w:w="2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4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top w:val="single" w:sz="8" w:color="CCEEFF"/>
            </w:tcBorders>
          </w:tcPr>
          <w:p>
            <w:pPr>
              <w:spacing w:after="0"/>
              <w:rPr>
                <w:sz w:val="21"/>
                <w:szCs w:val="21"/>
                <w:color w:val="auto"/>
              </w:rPr>
            </w:pPr>
          </w:p>
        </w:tc>
        <w:tc>
          <w:tcPr>
            <w:tcW w:w="2840" w:type="dxa"/>
            <w:vAlign w:val="bottom"/>
            <w:tcBorders>
              <w:top w:val="single" w:sz="8" w:color="CCEEFF"/>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101,845</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139,229</w:t>
            </w:r>
          </w:p>
        </w:tc>
        <w:tc>
          <w:tcPr>
            <w:tcW w:w="1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2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2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191,233</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expenses</w:t>
            </w:r>
          </w:p>
        </w:tc>
        <w:tc>
          <w:tcPr>
            <w:tcW w:w="2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2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operating income</w:t>
            </w:r>
          </w:p>
        </w:tc>
        <w:tc>
          <w:tcPr>
            <w:tcW w:w="246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236,607</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88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 w:type="dxa"/>
            <w:vAlign w:val="bottom"/>
            <w:tcBorders>
              <w:bottom w:val="single" w:sz="8" w:color="CCEEFF"/>
            </w:tcBorders>
          </w:tcPr>
          <w:p>
            <w:pPr>
              <w:spacing w:after="0"/>
              <w:rPr>
                <w:sz w:val="3"/>
                <w:szCs w:val="3"/>
                <w:color w:val="auto"/>
              </w:rPr>
            </w:pPr>
          </w:p>
        </w:tc>
        <w:tc>
          <w:tcPr>
            <w:tcW w:w="66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0"/>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Reconciliation of Total Operating Expenses to Acquisition-Adjusted Consolidated Expense:</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381,941</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314,197</w:t>
            </w:r>
          </w:p>
        </w:tc>
        <w:tc>
          <w:tcPr>
            <w:tcW w:w="10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Acquisition-adjusted consolidated expense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301,676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88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REIT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RECONCILIATIONS TO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0" w:type="dxa"/>
            <w:vAlign w:val="bottom"/>
            <w:tcBorders>
              <w:bottom w:val="single" w:sz="8" w:color="CCEEFF"/>
            </w:tcBorders>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Adjusted Funds from Operations:</w:t>
            </w:r>
          </w:p>
        </w:tc>
        <w:tc>
          <w:tcPr>
            <w:tcW w:w="6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139,229</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73,636</w:t>
            </w:r>
          </w:p>
        </w:tc>
      </w:tr>
      <w:tr>
        <w:trPr>
          <w:trHeight w:val="243"/>
        </w:trPr>
        <w:tc>
          <w:tcPr>
            <w:tcW w:w="20" w:type="dxa"/>
            <w:vAlign w:val="bottom"/>
          </w:tcPr>
          <w:p>
            <w:pPr>
              <w:spacing w:after="0"/>
              <w:rPr>
                <w:sz w:val="21"/>
                <w:szCs w:val="21"/>
                <w:color w:val="auto"/>
              </w:rPr>
            </w:pPr>
          </w:p>
        </w:tc>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from sale or disposal of real estate assets and investments, net of tax</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(56,597)</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7"/>
        </w:trPr>
        <w:tc>
          <w:tcPr>
            <w:tcW w:w="20" w:type="dxa"/>
            <w:vAlign w:val="bottom"/>
          </w:tcPr>
          <w:p>
            <w:pPr>
              <w:spacing w:after="0"/>
              <w:rPr>
                <w:sz w:val="20"/>
                <w:szCs w:val="20"/>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 from operations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167,799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156,142</w:t>
            </w:r>
          </w:p>
        </w:tc>
      </w:tr>
      <w:tr>
        <w:trPr>
          <w:trHeight w:val="27"/>
        </w:trPr>
        <w:tc>
          <w:tcPr>
            <w:tcW w:w="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Straight-line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43"/>
        </w:trPr>
        <w:tc>
          <w:tcPr>
            <w:tcW w:w="20" w:type="dxa"/>
            <w:vAlign w:val="bottom"/>
          </w:tcPr>
          <w:p>
            <w:pPr>
              <w:spacing w:after="0"/>
              <w:rPr>
                <w:sz w:val="21"/>
                <w:szCs w:val="21"/>
                <w:color w:val="auto"/>
              </w:rPr>
            </w:pPr>
          </w:p>
        </w:tc>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w:t>
            </w:r>
          </w:p>
        </w:tc>
      </w:tr>
      <w:tr>
        <w:trPr>
          <w:trHeight w:val="243"/>
        </w:trPr>
        <w:tc>
          <w:tcPr>
            <w:tcW w:w="20" w:type="dxa"/>
            <w:vAlign w:val="bottom"/>
          </w:tcPr>
          <w:p>
            <w:pPr>
              <w:spacing w:after="0"/>
              <w:rPr>
                <w:sz w:val="21"/>
                <w:szCs w:val="21"/>
                <w:color w:val="auto"/>
              </w:rPr>
            </w:pPr>
          </w:p>
        </w:tc>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r>
      <w:tr>
        <w:trPr>
          <w:trHeight w:val="243"/>
        </w:trPr>
        <w:tc>
          <w:tcPr>
            <w:tcW w:w="20" w:type="dxa"/>
            <w:vAlign w:val="bottom"/>
          </w:tcPr>
          <w:p>
            <w:pPr>
              <w:spacing w:after="0"/>
              <w:rPr>
                <w:sz w:val="21"/>
                <w:szCs w:val="21"/>
                <w:color w:val="auto"/>
              </w:rPr>
            </w:pPr>
          </w:p>
        </w:tc>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expenditures-maintenance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w:t>
            </w:r>
          </w:p>
        </w:tc>
      </w:tr>
      <w:tr>
        <w:trPr>
          <w:trHeight w:val="243"/>
        </w:trPr>
        <w:tc>
          <w:tcPr>
            <w:tcW w:w="20" w:type="dxa"/>
            <w:vAlign w:val="bottom"/>
          </w:tcPr>
          <w:p>
            <w:pPr>
              <w:spacing w:after="0"/>
              <w:rPr>
                <w:sz w:val="21"/>
                <w:szCs w:val="21"/>
                <w:color w:val="auto"/>
              </w:rPr>
            </w:pPr>
          </w:p>
        </w:tc>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20" w:type="dxa"/>
            <w:vAlign w:val="bottom"/>
            <w:shd w:val="clear" w:color="auto" w:fill="CCEEFF"/>
          </w:tcPr>
          <w:p>
            <w:pPr>
              <w:spacing w:after="0"/>
              <w:rPr>
                <w:sz w:val="23"/>
                <w:szCs w:val="23"/>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Weighted average diluted common shares outstanding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101,451,145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102,797,307</w:t>
            </w:r>
          </w:p>
        </w:tc>
      </w:tr>
      <w:tr>
        <w:trPr>
          <w:trHeight w:val="270"/>
        </w:trPr>
        <w:tc>
          <w:tcPr>
            <w:tcW w:w="20" w:type="dxa"/>
            <w:vAlign w:val="bottom"/>
            <w:tcBorders>
              <w:bottom w:val="single" w:sz="8" w:color="CCEEFF"/>
            </w:tcBorders>
          </w:tcPr>
          <w:p>
            <w:pPr>
              <w:spacing w:after="0"/>
              <w:rPr>
                <w:sz w:val="23"/>
                <w:szCs w:val="23"/>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Adjusted weighted average diluted common shares/units outstanding</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103,074,560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102,797,307</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AFFO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Utilized to calculate earnings per share in accordance with GAAP.</w:t>
      </w:r>
    </w:p>
    <w:p>
      <w:pPr>
        <w:spacing w:after="0" w:line="1" w:lineRule="exact"/>
        <w:rPr>
          <w:rFonts w:ascii="Times New Roman" w:cs="Times New Roman" w:eastAsia="Times New Roman" w:hAnsi="Times New Roman"/>
          <w:sz w:val="22"/>
          <w:szCs w:val="22"/>
          <w:color w:val="auto"/>
          <w:vertAlign w:val="superscript"/>
        </w:rPr>
      </w:pPr>
    </w:p>
    <w:p>
      <w:pPr>
        <w:jc w:val="both"/>
        <w:ind w:firstLine="8"/>
        <w:spacing w:after="0" w:line="268" w:lineRule="auto"/>
        <w:tabs>
          <w:tab w:leader="none" w:pos="165"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Utilized to calculated AFFO per share. Includes the weighted average outstanding units of Lamar LP (the Company’s operating partnership) that are held by limited partners of Lamar LP other than the Company’s wholly owned subsidiary, Lamar Media Corp. Upon the satisfaction of certain conditions, these units of Lamar LP are redeemable for cash or, at the Company’s option, shares of the Company’s Class A common stock on a one-for-one basis.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25"/>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2026-05-07T05:54:45Z</dcterms:created>
  <dcterms:modified xsi:type="dcterms:W3CDTF">2026-05-07T05:54:45Z</dcterms:modified>
</cp:coreProperties>
</file>