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662940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__________________________________</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47"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w:t>
      </w:r>
    </w:p>
    <w:p>
      <w:pPr>
        <w:spacing w:after="0" w:line="115" w:lineRule="exact"/>
        <w:rPr>
          <w:sz w:val="24"/>
          <w:szCs w:val="24"/>
          <w:color w:val="auto"/>
        </w:rPr>
      </w:pPr>
    </w:p>
    <w:p>
      <w:pPr>
        <w:ind w:left="360" w:hanging="334"/>
        <w:spacing w:after="0"/>
        <w:tabs>
          <w:tab w:leader="none" w:pos="360" w:val="left"/>
        </w:tabs>
        <w:numPr>
          <w:ilvl w:val="0"/>
          <w:numId w:val="1"/>
        </w:numPr>
        <w:rPr>
          <w:rFonts w:ascii="Arial" w:cs="Arial" w:eastAsia="Arial" w:hAnsi="Arial"/>
          <w:sz w:val="13"/>
          <w:szCs w:val="13"/>
          <w:color w:val="auto"/>
        </w:rPr>
      </w:pPr>
      <w:r>
        <w:rPr>
          <w:rFonts w:ascii="Times New Roman" w:cs="Times New Roman" w:eastAsia="Times New Roman" w:hAnsi="Times New Roman"/>
          <w:sz w:val="13"/>
          <w:szCs w:val="13"/>
          <w:b w:val="1"/>
          <w:bCs w:val="1"/>
          <w:color w:val="auto"/>
        </w:rPr>
        <w:t>Quarterly Report Pursuant to Section 13 or 15(d) of the Securities Exchange Act of 1934</w:t>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 the quarterly period ended September 30, 2022</w:t>
      </w:r>
    </w:p>
    <w:p>
      <w:pPr>
        <w:spacing w:after="0" w:line="53" w:lineRule="exact"/>
        <w:rPr>
          <w:sz w:val="24"/>
          <w:szCs w:val="24"/>
          <w:color w:val="auto"/>
        </w:rPr>
      </w:pPr>
    </w:p>
    <w:tbl>
      <w:tblPr>
        <w:tblLayout w:type="fixed"/>
        <w:tblInd w:w="20" w:type="dxa"/>
        <w:tblCellMar>
          <w:top w:w="0" w:type="dxa"/>
          <w:left w:w="0" w:type="dxa"/>
          <w:bottom w:w="0" w:type="dxa"/>
          <w:right w:w="0" w:type="dxa"/>
        </w:tblCellMar>
      </w:tblPr>
      <w:tr>
        <w:trPr>
          <w:trHeight w:val="166"/>
        </w:trPr>
        <w:tc>
          <w:tcPr>
            <w:tcW w:w="240" w:type="dxa"/>
            <w:vAlign w:val="bottom"/>
          </w:tcPr>
          <w:p>
            <w:pPr>
              <w:spacing w:after="0"/>
              <w:rPr>
                <w:sz w:val="14"/>
                <w:szCs w:val="14"/>
                <w:color w:val="auto"/>
              </w:rPr>
            </w:pPr>
          </w:p>
        </w:tc>
        <w:tc>
          <w:tcPr>
            <w:tcW w:w="5480" w:type="dxa"/>
            <w:vAlign w:val="bottom"/>
          </w:tcPr>
          <w:p>
            <w:pPr>
              <w:ind w:left="5300"/>
              <w:spacing w:after="0"/>
              <w:rPr>
                <w:sz w:val="20"/>
                <w:szCs w:val="20"/>
                <w:color w:val="auto"/>
              </w:rPr>
            </w:pPr>
            <w:r>
              <w:rPr>
                <w:rFonts w:ascii="Times New Roman" w:cs="Times New Roman" w:eastAsia="Times New Roman" w:hAnsi="Times New Roman"/>
                <w:sz w:val="13"/>
                <w:szCs w:val="13"/>
                <w:b w:val="1"/>
                <w:bCs w:val="1"/>
                <w:color w:val="auto"/>
              </w:rPr>
              <w:t>or</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97"/>
        </w:trPr>
        <w:tc>
          <w:tcPr>
            <w:tcW w:w="24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548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Transition Report Pursuant to Section 13 or 15(d) of the Securities Exchange Act of 1934</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58"/>
        </w:trPr>
        <w:tc>
          <w:tcPr>
            <w:tcW w:w="240" w:type="dxa"/>
            <w:vAlign w:val="bottom"/>
          </w:tcPr>
          <w:p>
            <w:pPr>
              <w:spacing w:after="0"/>
              <w:rPr>
                <w:sz w:val="22"/>
                <w:szCs w:val="22"/>
                <w:color w:val="auto"/>
              </w:rPr>
            </w:pPr>
          </w:p>
        </w:tc>
        <w:tc>
          <w:tcPr>
            <w:tcW w:w="5480" w:type="dxa"/>
            <w:vAlign w:val="bottom"/>
          </w:tcPr>
          <w:p>
            <w:pPr>
              <w:ind w:left="3820"/>
              <w:spacing w:after="0"/>
              <w:rPr>
                <w:sz w:val="20"/>
                <w:szCs w:val="20"/>
                <w:color w:val="auto"/>
              </w:rPr>
            </w:pPr>
            <w:r>
              <w:rPr>
                <w:rFonts w:ascii="Times New Roman" w:cs="Times New Roman" w:eastAsia="Times New Roman" w:hAnsi="Times New Roman"/>
                <w:sz w:val="13"/>
                <w:szCs w:val="13"/>
                <w:b w:val="1"/>
                <w:bCs w:val="1"/>
                <w:color w:val="auto"/>
                <w:w w:val="97"/>
              </w:rPr>
              <w:t>For the transition period from</w:t>
            </w:r>
          </w:p>
        </w:tc>
        <w:tc>
          <w:tcPr>
            <w:tcW w:w="620" w:type="dxa"/>
            <w:vAlign w:val="bottom"/>
            <w:tcBorders>
              <w:bottom w:val="single" w:sz="8" w:color="auto"/>
            </w:tcBorders>
          </w:tcPr>
          <w:p>
            <w:pPr>
              <w:spacing w:after="0"/>
              <w:rPr>
                <w:sz w:val="22"/>
                <w:szCs w:val="22"/>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w w:val="73"/>
              </w:rPr>
              <w:t>to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4150995</wp:posOffset>
            </wp:positionH>
            <wp:positionV relativeFrom="paragraph">
              <wp:posOffset>-8255</wp:posOffset>
            </wp:positionV>
            <wp:extent cx="4000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00050" cy="8890"/>
                    </a:xfrm>
                    <a:prstGeom prst="rect">
                      <a:avLst/>
                    </a:prstGeom>
                    <a:noFill/>
                  </pic:spPr>
                </pic:pic>
              </a:graphicData>
            </a:graphic>
          </wp:anchor>
        </w:drawing>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i w:val="1"/>
          <w:iCs w:val="1"/>
          <w:color w:val="auto"/>
        </w:rPr>
        <w:t>Commission File Number 1-36756</w:t>
      </w:r>
    </w:p>
    <w:p>
      <w:pPr>
        <w:spacing w:after="0" w:line="17"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Lamar Advertising Company</w:t>
      </w:r>
    </w:p>
    <w:p>
      <w:pPr>
        <w:spacing w:after="0" w:line="38"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3"/>
          <w:szCs w:val="13"/>
          <w:b w:val="1"/>
          <w:bCs w:val="1"/>
          <w:color w:val="auto"/>
        </w:rPr>
        <w:t>________________________________________________</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Commission File Number 1-12407</w:t>
      </w:r>
    </w:p>
    <w:p>
      <w:pPr>
        <w:spacing w:after="0" w:line="31"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3"/>
          <w:szCs w:val="13"/>
          <w:b w:val="1"/>
          <w:bCs w:val="1"/>
          <w:color w:val="auto"/>
        </w:rPr>
        <w:t>________________________________________________</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Lamar Media Corp.</w:t>
      </w:r>
    </w:p>
    <w:p>
      <w:pPr>
        <w:spacing w:after="0" w:line="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(Exact name of registrants as specified in their charters)</w:t>
      </w:r>
    </w:p>
    <w:p>
      <w:pPr>
        <w:spacing w:after="0" w:line="31"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134" w:lineRule="exact"/>
        <w:rPr>
          <w:sz w:val="24"/>
          <w:szCs w:val="24"/>
          <w:color w:val="auto"/>
        </w:rPr>
      </w:pPr>
    </w:p>
    <w:tbl>
      <w:tblPr>
        <w:tblLayout w:type="fixed"/>
        <w:tblInd w:w="10" w:type="dxa"/>
        <w:tblCellMar>
          <w:top w:w="0" w:type="dxa"/>
          <w:left w:w="0" w:type="dxa"/>
          <w:bottom w:w="0" w:type="dxa"/>
          <w:right w:w="0" w:type="dxa"/>
        </w:tblCellMar>
      </w:tblPr>
      <w:tr>
        <w:trPr>
          <w:trHeight w:val="166"/>
        </w:trPr>
        <w:tc>
          <w:tcPr>
            <w:tcW w:w="3880" w:type="dxa"/>
            <w:vAlign w:val="bottom"/>
          </w:tcPr>
          <w:p>
            <w:pPr>
              <w:jc w:val="center"/>
              <w:ind w:left="1357"/>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4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740" w:type="dxa"/>
            <w:vAlign w:val="bottom"/>
          </w:tcPr>
          <w:p>
            <w:pPr>
              <w:jc w:val="center"/>
              <w:ind w:right="1577"/>
              <w:spacing w:after="0"/>
              <w:rPr>
                <w:sz w:val="20"/>
                <w:szCs w:val="20"/>
                <w:color w:val="auto"/>
              </w:rPr>
            </w:pPr>
            <w:r>
              <w:rPr>
                <w:rFonts w:ascii="Times New Roman" w:cs="Times New Roman" w:eastAsia="Times New Roman" w:hAnsi="Times New Roman"/>
                <w:sz w:val="13"/>
                <w:szCs w:val="13"/>
                <w:b w:val="1"/>
                <w:bCs w:val="1"/>
                <w:color w:val="auto"/>
                <w:w w:val="98"/>
              </w:rPr>
              <w:t>47-0961620</w:t>
            </w:r>
          </w:p>
        </w:tc>
      </w:tr>
      <w:tr>
        <w:trPr>
          <w:trHeight w:val="175"/>
        </w:trPr>
        <w:tc>
          <w:tcPr>
            <w:tcW w:w="3880" w:type="dxa"/>
            <w:vAlign w:val="bottom"/>
          </w:tcPr>
          <w:p>
            <w:pPr>
              <w:jc w:val="center"/>
              <w:ind w:left="1357"/>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4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40" w:type="dxa"/>
            <w:vAlign w:val="bottom"/>
          </w:tcPr>
          <w:p>
            <w:pPr>
              <w:jc w:val="center"/>
              <w:ind w:right="1577"/>
              <w:spacing w:after="0"/>
              <w:rPr>
                <w:sz w:val="20"/>
                <w:szCs w:val="20"/>
                <w:color w:val="auto"/>
              </w:rPr>
            </w:pPr>
            <w:r>
              <w:rPr>
                <w:rFonts w:ascii="Times New Roman" w:cs="Times New Roman" w:eastAsia="Times New Roman" w:hAnsi="Times New Roman"/>
                <w:sz w:val="13"/>
                <w:szCs w:val="13"/>
                <w:b w:val="1"/>
                <w:bCs w:val="1"/>
                <w:color w:val="auto"/>
                <w:w w:val="98"/>
              </w:rPr>
              <w:t>72-1205791</w:t>
            </w:r>
          </w:p>
        </w:tc>
      </w:tr>
      <w:tr>
        <w:trPr>
          <w:trHeight w:val="175"/>
        </w:trPr>
        <w:tc>
          <w:tcPr>
            <w:tcW w:w="7300" w:type="dxa"/>
            <w:vAlign w:val="bottom"/>
            <w:gridSpan w:val="4"/>
          </w:tcPr>
          <w:p>
            <w:pPr>
              <w:jc w:val="center"/>
              <w:ind w:right="2000"/>
              <w:spacing w:after="0"/>
              <w:rPr>
                <w:sz w:val="20"/>
                <w:szCs w:val="20"/>
                <w:color w:val="auto"/>
              </w:rPr>
            </w:pPr>
            <w:r>
              <w:rPr>
                <w:rFonts w:ascii="Times New Roman" w:cs="Times New Roman" w:eastAsia="Times New Roman" w:hAnsi="Times New Roman"/>
                <w:sz w:val="13"/>
                <w:szCs w:val="13"/>
                <w:b w:val="1"/>
                <w:bCs w:val="1"/>
                <w:i w:val="1"/>
                <w:iCs w:val="1"/>
                <w:color w:val="auto"/>
                <w:w w:val="97"/>
              </w:rPr>
              <w:t>(State or other jurisdiction of incorporation or organization)</w:t>
            </w:r>
          </w:p>
        </w:tc>
        <w:tc>
          <w:tcPr>
            <w:tcW w:w="3740" w:type="dxa"/>
            <w:vAlign w:val="bottom"/>
          </w:tcPr>
          <w:p>
            <w:pPr>
              <w:jc w:val="center"/>
              <w:ind w:right="1557"/>
              <w:spacing w:after="0"/>
              <w:rPr>
                <w:sz w:val="20"/>
                <w:szCs w:val="20"/>
                <w:color w:val="auto"/>
              </w:rPr>
            </w:pPr>
            <w:r>
              <w:rPr>
                <w:rFonts w:ascii="Times New Roman" w:cs="Times New Roman" w:eastAsia="Times New Roman" w:hAnsi="Times New Roman"/>
                <w:sz w:val="13"/>
                <w:szCs w:val="13"/>
                <w:b w:val="1"/>
                <w:bCs w:val="1"/>
                <w:i w:val="1"/>
                <w:iCs w:val="1"/>
                <w:color w:val="auto"/>
                <w:w w:val="96"/>
              </w:rPr>
              <w:t>(I.R.S Employer Identification No.)</w:t>
            </w:r>
          </w:p>
        </w:tc>
      </w:tr>
      <w:tr>
        <w:trPr>
          <w:trHeight w:val="351"/>
        </w:trPr>
        <w:tc>
          <w:tcPr>
            <w:tcW w:w="3880" w:type="dxa"/>
            <w:vAlign w:val="bottom"/>
          </w:tcPr>
          <w:p>
            <w:pPr>
              <w:jc w:val="center"/>
              <w:ind w:left="1337"/>
              <w:spacing w:after="0"/>
              <w:rPr>
                <w:sz w:val="20"/>
                <w:szCs w:val="20"/>
                <w:color w:val="auto"/>
              </w:rPr>
            </w:pPr>
            <w:r>
              <w:rPr>
                <w:rFonts w:ascii="Times New Roman" w:cs="Times New Roman" w:eastAsia="Times New Roman" w:hAnsi="Times New Roman"/>
                <w:sz w:val="13"/>
                <w:szCs w:val="13"/>
                <w:b w:val="1"/>
                <w:bCs w:val="1"/>
                <w:color w:val="auto"/>
                <w:w w:val="97"/>
              </w:rPr>
              <w:t>5321 Corporate Blvd., Baton Rouge, LA</w:t>
            </w:r>
          </w:p>
        </w:tc>
        <w:tc>
          <w:tcPr>
            <w:tcW w:w="4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740" w:type="dxa"/>
            <w:vAlign w:val="bottom"/>
          </w:tcPr>
          <w:p>
            <w:pPr>
              <w:jc w:val="center"/>
              <w:ind w:right="1577"/>
              <w:spacing w:after="0"/>
              <w:rPr>
                <w:sz w:val="20"/>
                <w:szCs w:val="20"/>
                <w:color w:val="auto"/>
              </w:rPr>
            </w:pPr>
            <w:r>
              <w:rPr>
                <w:rFonts w:ascii="Times New Roman" w:cs="Times New Roman" w:eastAsia="Times New Roman" w:hAnsi="Times New Roman"/>
                <w:sz w:val="13"/>
                <w:szCs w:val="13"/>
                <w:b w:val="1"/>
                <w:bCs w:val="1"/>
                <w:color w:val="auto"/>
                <w:w w:val="92"/>
              </w:rPr>
              <w:t>70808</w:t>
            </w:r>
          </w:p>
        </w:tc>
      </w:tr>
      <w:tr>
        <w:trPr>
          <w:trHeight w:val="176"/>
        </w:trPr>
        <w:tc>
          <w:tcPr>
            <w:tcW w:w="3880" w:type="dxa"/>
            <w:vAlign w:val="bottom"/>
          </w:tcPr>
          <w:p>
            <w:pPr>
              <w:jc w:val="center"/>
              <w:ind w:left="1337"/>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4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40" w:type="dxa"/>
            <w:vAlign w:val="bottom"/>
          </w:tcPr>
          <w:p>
            <w:pPr>
              <w:jc w:val="center"/>
              <w:ind w:right="1577"/>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r>
        <w:trPr>
          <w:trHeight w:val="278"/>
        </w:trPr>
        <w:tc>
          <w:tcPr>
            <w:tcW w:w="3880" w:type="dxa"/>
            <w:vAlign w:val="bottom"/>
          </w:tcPr>
          <w:p>
            <w:pPr>
              <w:spacing w:after="0"/>
              <w:rPr>
                <w:sz w:val="24"/>
                <w:szCs w:val="24"/>
                <w:color w:val="auto"/>
              </w:rPr>
            </w:pPr>
          </w:p>
        </w:tc>
        <w:tc>
          <w:tcPr>
            <w:tcW w:w="3420" w:type="dxa"/>
            <w:vAlign w:val="bottom"/>
            <w:gridSpan w:val="3"/>
          </w:tcPr>
          <w:p>
            <w:pPr>
              <w:ind w:left="160"/>
              <w:spacing w:after="0"/>
              <w:rPr>
                <w:sz w:val="20"/>
                <w:szCs w:val="20"/>
                <w:color w:val="auto"/>
              </w:rPr>
            </w:pPr>
            <w:r>
              <w:rPr>
                <w:rFonts w:ascii="Times New Roman" w:cs="Times New Roman" w:eastAsia="Times New Roman" w:hAnsi="Times New Roman"/>
                <w:sz w:val="11"/>
                <w:szCs w:val="11"/>
                <w:b w:val="1"/>
                <w:bCs w:val="1"/>
                <w:color w:val="auto"/>
              </w:rPr>
              <w:t>Registrants’ telephone number, including area code: (225) 926-1000</w:t>
            </w:r>
          </w:p>
        </w:tc>
        <w:tc>
          <w:tcPr>
            <w:tcW w:w="3740" w:type="dxa"/>
            <w:vAlign w:val="bottom"/>
          </w:tcPr>
          <w:p>
            <w:pPr>
              <w:spacing w:after="0"/>
              <w:rPr>
                <w:sz w:val="24"/>
                <w:szCs w:val="24"/>
                <w:color w:val="auto"/>
              </w:rPr>
            </w:pPr>
          </w:p>
        </w:tc>
      </w:tr>
      <w:tr>
        <w:trPr>
          <w:trHeight w:val="189"/>
        </w:trPr>
        <w:tc>
          <w:tcPr>
            <w:tcW w:w="3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Securities registered pursuant to Section 12(b) of the Act:</w:t>
            </w:r>
          </w:p>
        </w:tc>
        <w:tc>
          <w:tcPr>
            <w:tcW w:w="3740" w:type="dxa"/>
            <w:vAlign w:val="bottom"/>
          </w:tcPr>
          <w:p>
            <w:pPr>
              <w:spacing w:after="0"/>
              <w:rPr>
                <w:sz w:val="16"/>
                <w:szCs w:val="16"/>
                <w:color w:val="auto"/>
              </w:rPr>
            </w:pPr>
          </w:p>
        </w:tc>
      </w:tr>
      <w:tr>
        <w:trPr>
          <w:trHeight w:val="117"/>
        </w:trPr>
        <w:tc>
          <w:tcPr>
            <w:tcW w:w="38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3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3740" w:type="dxa"/>
            <w:vAlign w:val="bottom"/>
            <w:tcBorders>
              <w:bottom w:val="single" w:sz="8" w:color="auto"/>
            </w:tcBorders>
          </w:tcPr>
          <w:p>
            <w:pPr>
              <w:spacing w:after="0"/>
              <w:rPr>
                <w:sz w:val="10"/>
                <w:szCs w:val="10"/>
                <w:color w:val="auto"/>
              </w:rPr>
            </w:pPr>
          </w:p>
        </w:tc>
      </w:tr>
      <w:tr>
        <w:trPr>
          <w:trHeight w:val="163"/>
        </w:trPr>
        <w:tc>
          <w:tcPr>
            <w:tcW w:w="3880" w:type="dxa"/>
            <w:vAlign w:val="bottom"/>
            <w:tcBorders>
              <w:left w:val="single" w:sz="8" w:color="auto"/>
              <w:bottom w:val="single" w:sz="8" w:color="auto"/>
            </w:tcBorders>
          </w:tcPr>
          <w:p>
            <w:pPr>
              <w:jc w:val="center"/>
              <w:ind w:left="417"/>
              <w:spacing w:after="0"/>
              <w:rPr>
                <w:sz w:val="20"/>
                <w:szCs w:val="20"/>
                <w:color w:val="auto"/>
              </w:rPr>
            </w:pPr>
            <w:r>
              <w:rPr>
                <w:rFonts w:ascii="Times New Roman" w:cs="Times New Roman" w:eastAsia="Times New Roman" w:hAnsi="Times New Roman"/>
                <w:sz w:val="13"/>
                <w:szCs w:val="13"/>
                <w:color w:val="auto"/>
                <w:w w:val="97"/>
              </w:rPr>
              <w:t>Title of each class</w:t>
            </w:r>
          </w:p>
        </w:tc>
        <w:tc>
          <w:tcPr>
            <w:tcW w:w="480" w:type="dxa"/>
            <w:vAlign w:val="bottom"/>
            <w:tcBorders>
              <w:bottom w:val="single" w:sz="8" w:color="auto"/>
              <w:right w:val="single" w:sz="8" w:color="auto"/>
            </w:tcBorders>
          </w:tcPr>
          <w:p>
            <w:pPr>
              <w:spacing w:after="0"/>
              <w:rPr>
                <w:sz w:val="14"/>
                <w:szCs w:val="14"/>
                <w:color w:val="auto"/>
              </w:rPr>
            </w:pPr>
          </w:p>
        </w:tc>
        <w:tc>
          <w:tcPr>
            <w:tcW w:w="2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Trading Symbol(s)</w:t>
            </w:r>
          </w:p>
        </w:tc>
        <w:tc>
          <w:tcPr>
            <w:tcW w:w="640" w:type="dxa"/>
            <w:vAlign w:val="bottom"/>
            <w:tcBorders>
              <w:bottom w:val="single" w:sz="8" w:color="auto"/>
            </w:tcBorders>
          </w:tcPr>
          <w:p>
            <w:pPr>
              <w:spacing w:after="0"/>
              <w:rPr>
                <w:sz w:val="14"/>
                <w:szCs w:val="14"/>
                <w:color w:val="auto"/>
              </w:rPr>
            </w:pPr>
          </w:p>
        </w:tc>
        <w:tc>
          <w:tcPr>
            <w:tcW w:w="3740" w:type="dxa"/>
            <w:vAlign w:val="bottom"/>
            <w:tcBorders>
              <w:bottom w:val="single" w:sz="8" w:color="auto"/>
              <w:right w:val="single" w:sz="8" w:color="auto"/>
            </w:tcBorders>
          </w:tcPr>
          <w:p>
            <w:pPr>
              <w:jc w:val="center"/>
              <w:ind w:right="597"/>
              <w:spacing w:after="0"/>
              <w:rPr>
                <w:sz w:val="20"/>
                <w:szCs w:val="20"/>
                <w:color w:val="auto"/>
              </w:rPr>
            </w:pPr>
            <w:r>
              <w:rPr>
                <w:rFonts w:ascii="Times New Roman" w:cs="Times New Roman" w:eastAsia="Times New Roman" w:hAnsi="Times New Roman"/>
                <w:sz w:val="13"/>
                <w:szCs w:val="13"/>
                <w:color w:val="auto"/>
                <w:w w:val="97"/>
              </w:rPr>
              <w:t>Name of each exchange on which registered</w:t>
            </w:r>
          </w:p>
        </w:tc>
      </w:tr>
      <w:tr>
        <w:trPr>
          <w:trHeight w:val="169"/>
        </w:trPr>
        <w:tc>
          <w:tcPr>
            <w:tcW w:w="3880" w:type="dxa"/>
            <w:vAlign w:val="bottom"/>
            <w:tcBorders>
              <w:left w:val="single" w:sz="8" w:color="auto"/>
              <w:bottom w:val="single" w:sz="8" w:color="auto"/>
            </w:tcBorders>
          </w:tcPr>
          <w:p>
            <w:pPr>
              <w:jc w:val="center"/>
              <w:ind w:left="417"/>
              <w:spacing w:after="0"/>
              <w:rPr>
                <w:sz w:val="20"/>
                <w:szCs w:val="20"/>
                <w:color w:val="auto"/>
              </w:rPr>
            </w:pPr>
            <w:r>
              <w:rPr>
                <w:rFonts w:ascii="Times New Roman" w:cs="Times New Roman" w:eastAsia="Times New Roman" w:hAnsi="Times New Roman"/>
                <w:sz w:val="13"/>
                <w:szCs w:val="13"/>
                <w:color w:val="auto"/>
                <w:w w:val="97"/>
              </w:rPr>
              <w:t>Class A common stock, $0.001 par value</w:t>
            </w:r>
          </w:p>
        </w:tc>
        <w:tc>
          <w:tcPr>
            <w:tcW w:w="480" w:type="dxa"/>
            <w:vAlign w:val="bottom"/>
            <w:tcBorders>
              <w:bottom w:val="single" w:sz="8" w:color="auto"/>
              <w:right w:val="single" w:sz="8" w:color="auto"/>
            </w:tcBorders>
          </w:tcPr>
          <w:p>
            <w:pPr>
              <w:spacing w:after="0"/>
              <w:rPr>
                <w:sz w:val="14"/>
                <w:szCs w:val="14"/>
                <w:color w:val="auto"/>
              </w:rPr>
            </w:pPr>
          </w:p>
        </w:tc>
        <w:tc>
          <w:tcPr>
            <w:tcW w:w="2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LAMR</w:t>
            </w:r>
          </w:p>
        </w:tc>
        <w:tc>
          <w:tcPr>
            <w:tcW w:w="640" w:type="dxa"/>
            <w:vAlign w:val="bottom"/>
            <w:tcBorders>
              <w:bottom w:val="single" w:sz="8" w:color="auto"/>
            </w:tcBorders>
          </w:tcPr>
          <w:p>
            <w:pPr>
              <w:spacing w:after="0"/>
              <w:rPr>
                <w:sz w:val="14"/>
                <w:szCs w:val="14"/>
                <w:color w:val="auto"/>
              </w:rPr>
            </w:pPr>
          </w:p>
        </w:tc>
        <w:tc>
          <w:tcPr>
            <w:tcW w:w="3740" w:type="dxa"/>
            <w:vAlign w:val="bottom"/>
            <w:tcBorders>
              <w:bottom w:val="single" w:sz="8" w:color="auto"/>
              <w:right w:val="single" w:sz="8" w:color="auto"/>
            </w:tcBorders>
          </w:tcPr>
          <w:p>
            <w:pPr>
              <w:jc w:val="center"/>
              <w:ind w:right="597"/>
              <w:spacing w:after="0"/>
              <w:rPr>
                <w:sz w:val="20"/>
                <w:szCs w:val="20"/>
                <w:color w:val="auto"/>
              </w:rPr>
            </w:pPr>
            <w:r>
              <w:rPr>
                <w:rFonts w:ascii="Times New Roman" w:cs="Times New Roman" w:eastAsia="Times New Roman" w:hAnsi="Times New Roman"/>
                <w:sz w:val="13"/>
                <w:szCs w:val="13"/>
                <w:color w:val="auto"/>
                <w:w w:val="96"/>
              </w:rPr>
              <w:t>The NASDAQ Stock Market, LLC</w:t>
            </w:r>
          </w:p>
        </w:tc>
      </w:tr>
    </w:tbl>
    <w:p>
      <w:pPr>
        <w:spacing w:after="0" w:line="130" w:lineRule="exact"/>
        <w:rPr>
          <w:sz w:val="24"/>
          <w:szCs w:val="24"/>
          <w:color w:val="auto"/>
        </w:rPr>
      </w:pPr>
    </w:p>
    <w:p>
      <w:pPr>
        <w:spacing w:after="0" w:line="163" w:lineRule="exact"/>
        <w:rPr>
          <w:sz w:val="20"/>
          <w:szCs w:val="20"/>
          <w:color w:val="auto"/>
        </w:rPr>
      </w:pPr>
      <w:r>
        <w:rPr>
          <w:rFonts w:ascii="Times New Roman" w:cs="Times New Roman" w:eastAsia="Times New Roman" w:hAnsi="Times New Roman"/>
          <w:sz w:val="13"/>
          <w:szCs w:val="13"/>
          <w:color w:val="auto"/>
        </w:rPr>
        <w:t xml:space="preserve">Indicate by check mark whether each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3"/>
          <w:szCs w:val="13"/>
          <w:color w:val="auto"/>
        </w:rPr>
        <w:t>x</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5" w:lineRule="exact"/>
        <w:rPr>
          <w:sz w:val="24"/>
          <w:szCs w:val="24"/>
          <w:color w:val="auto"/>
        </w:rPr>
      </w:pPr>
    </w:p>
    <w:p>
      <w:pPr>
        <w:spacing w:after="0" w:line="163" w:lineRule="exact"/>
        <w:rPr>
          <w:sz w:val="20"/>
          <w:szCs w:val="20"/>
          <w:color w:val="auto"/>
        </w:rPr>
      </w:pPr>
      <w:r>
        <w:rPr>
          <w:rFonts w:ascii="Times New Roman" w:cs="Times New Roman" w:eastAsia="Times New Roman" w:hAnsi="Times New Roman"/>
          <w:sz w:val="13"/>
          <w:szCs w:val="13"/>
          <w:color w:val="auto"/>
        </w:rPr>
        <w:t xml:space="preserve">Indicate by check mark whether each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3"/>
          <w:szCs w:val="13"/>
          <w:color w:val="auto"/>
        </w:rPr>
        <w:t>x</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5" w:lineRule="exact"/>
        <w:rPr>
          <w:sz w:val="24"/>
          <w:szCs w:val="24"/>
          <w:color w:val="auto"/>
        </w:rPr>
      </w:pPr>
    </w:p>
    <w:p>
      <w:pPr>
        <w:spacing w:after="0" w:line="283" w:lineRule="auto"/>
        <w:rPr>
          <w:sz w:val="20"/>
          <w:szCs w:val="20"/>
          <w:color w:val="auto"/>
        </w:rPr>
      </w:pPr>
      <w:r>
        <w:rPr>
          <w:rFonts w:ascii="Times New Roman" w:cs="Times New Roman" w:eastAsia="Times New Roman" w:hAnsi="Times New Roman"/>
          <w:sz w:val="13"/>
          <w:szCs w:val="13"/>
          <w:color w:val="auto"/>
        </w:rPr>
        <w:t>Indicate by check mark whether Lamar Advertising Company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9" w:lineRule="exact"/>
        <w:rPr>
          <w:sz w:val="24"/>
          <w:szCs w:val="24"/>
          <w:color w:val="auto"/>
        </w:rPr>
      </w:pPr>
    </w:p>
    <w:tbl>
      <w:tblPr>
        <w:tblLayout w:type="fixed"/>
        <w:tblInd w:w="20" w:type="dxa"/>
        <w:tblCellMar>
          <w:top w:w="0" w:type="dxa"/>
          <w:left w:w="0" w:type="dxa"/>
          <w:bottom w:w="0" w:type="dxa"/>
          <w:right w:w="0" w:type="dxa"/>
        </w:tblCellMar>
      </w:tblPr>
      <w:tr>
        <w:trPr>
          <w:trHeight w:val="175"/>
        </w:trPr>
        <w:tc>
          <w:tcPr>
            <w:tcW w:w="196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280" w:type="dxa"/>
            <w:vAlign w:val="bottom"/>
          </w:tcPr>
          <w:p>
            <w:pPr>
              <w:ind w:left="600"/>
              <w:spacing w:after="0"/>
              <w:rPr>
                <w:sz w:val="20"/>
                <w:szCs w:val="20"/>
                <w:color w:val="auto"/>
              </w:rPr>
            </w:pPr>
            <w:r>
              <w:rPr>
                <w:rFonts w:ascii="Arial" w:cs="Arial" w:eastAsia="Arial" w:hAnsi="Arial"/>
                <w:sz w:val="13"/>
                <w:szCs w:val="13"/>
                <w:color w:val="auto"/>
              </w:rPr>
              <w:t>x</w:t>
            </w:r>
          </w:p>
        </w:tc>
        <w:tc>
          <w:tcPr>
            <w:tcW w:w="4660" w:type="dxa"/>
            <w:vAlign w:val="bottom"/>
          </w:tcPr>
          <w:p>
            <w:pPr>
              <w:ind w:left="2580"/>
              <w:spacing w:after="0"/>
              <w:rPr>
                <w:sz w:val="20"/>
                <w:szCs w:val="20"/>
                <w:color w:val="auto"/>
              </w:rPr>
            </w:pPr>
            <w:r>
              <w:rPr>
                <w:rFonts w:ascii="Times New Roman" w:cs="Times New Roman" w:eastAsia="Times New Roman" w:hAnsi="Times New Roman"/>
                <w:sz w:val="13"/>
                <w:szCs w:val="13"/>
                <w:color w:val="auto"/>
              </w:rPr>
              <w:t>Accelerated filer</w:t>
            </w:r>
          </w:p>
        </w:tc>
        <w:tc>
          <w:tcPr>
            <w:tcW w:w="800" w:type="dxa"/>
            <w:vAlign w:val="bottom"/>
          </w:tcPr>
          <w:p>
            <w:pPr>
              <w:ind w:left="70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75"/>
        </w:trPr>
        <w:tc>
          <w:tcPr>
            <w:tcW w:w="196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280" w:type="dxa"/>
            <w:vAlign w:val="bottom"/>
          </w:tcPr>
          <w:p>
            <w:pPr>
              <w:ind w:left="600"/>
              <w:spacing w:after="0" w:line="131" w:lineRule="exact"/>
              <w:rPr>
                <w:sz w:val="20"/>
                <w:szCs w:val="20"/>
                <w:color w:val="auto"/>
              </w:rPr>
            </w:pPr>
            <w:r>
              <w:rPr>
                <w:rFonts w:ascii="MS PGothic" w:cs="MS PGothic" w:eastAsia="MS PGothic" w:hAnsi="MS PGothic"/>
                <w:sz w:val="13"/>
                <w:szCs w:val="13"/>
                <w:color w:val="auto"/>
              </w:rPr>
              <w:t>☐</w:t>
            </w:r>
          </w:p>
        </w:tc>
        <w:tc>
          <w:tcPr>
            <w:tcW w:w="4660" w:type="dxa"/>
            <w:vAlign w:val="bottom"/>
          </w:tcPr>
          <w:p>
            <w:pPr>
              <w:ind w:left="258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800" w:type="dxa"/>
            <w:vAlign w:val="bottom"/>
          </w:tcPr>
          <w:p>
            <w:pPr>
              <w:ind w:left="70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99"/>
        </w:trPr>
        <w:tc>
          <w:tcPr>
            <w:tcW w:w="196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3280" w:type="dxa"/>
            <w:vAlign w:val="bottom"/>
          </w:tcPr>
          <w:p>
            <w:pPr>
              <w:ind w:left="600"/>
              <w:spacing w:after="0" w:line="131" w:lineRule="exact"/>
              <w:rPr>
                <w:sz w:val="20"/>
                <w:szCs w:val="20"/>
                <w:color w:val="auto"/>
              </w:rPr>
            </w:pPr>
            <w:r>
              <w:rPr>
                <w:rFonts w:ascii="MS PGothic" w:cs="MS PGothic" w:eastAsia="MS PGothic" w:hAnsi="MS PGothic"/>
                <w:sz w:val="13"/>
                <w:szCs w:val="13"/>
                <w:color w:val="auto"/>
              </w:rPr>
              <w:t>☐</w:t>
            </w:r>
          </w:p>
        </w:tc>
        <w:tc>
          <w:tcPr>
            <w:tcW w:w="466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pacing w:after="0" w:line="132" w:lineRule="exact"/>
        <w:rPr>
          <w:sz w:val="24"/>
          <w:szCs w:val="24"/>
          <w:color w:val="auto"/>
        </w:rPr>
      </w:pPr>
    </w:p>
    <w:p>
      <w:pPr>
        <w:spacing w:after="0" w:line="164"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Lamar Advertising Company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5" w:lineRule="exact"/>
        <w:rPr>
          <w:sz w:val="24"/>
          <w:szCs w:val="24"/>
          <w:color w:val="auto"/>
        </w:rPr>
      </w:pPr>
    </w:p>
    <w:p>
      <w:pPr>
        <w:spacing w:after="0" w:line="171" w:lineRule="exact"/>
        <w:rPr>
          <w:sz w:val="20"/>
          <w:szCs w:val="20"/>
          <w:color w:val="auto"/>
        </w:rPr>
      </w:pPr>
      <w:r>
        <w:rPr>
          <w:rFonts w:ascii="Times New Roman" w:cs="Times New Roman" w:eastAsia="Times New Roman" w:hAnsi="Times New Roman"/>
          <w:sz w:val="13"/>
          <w:szCs w:val="13"/>
          <w:color w:val="auto"/>
        </w:rPr>
        <w:t xml:space="preserve">Indicate by check mark whether Lamar Media Corp.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r>
        <w:rPr>
          <w:rFonts w:ascii="MS PGothic" w:cs="MS PGothic" w:eastAsia="MS PGothic" w:hAnsi="MS PGothic"/>
          <w:sz w:val="13"/>
          <w:szCs w:val="13"/>
          <w:color w:val="auto"/>
        </w:rPr>
        <w:t>☐</w:t>
      </w:r>
    </w:p>
    <w:p>
      <w:pPr>
        <w:spacing w:after="0" w:line="85" w:lineRule="exact"/>
        <w:rPr>
          <w:sz w:val="24"/>
          <w:szCs w:val="24"/>
          <w:color w:val="auto"/>
        </w:rPr>
      </w:pPr>
    </w:p>
    <w:tbl>
      <w:tblPr>
        <w:tblLayout w:type="fixed"/>
        <w:tblInd w:w="20" w:type="dxa"/>
        <w:tblCellMar>
          <w:top w:w="0" w:type="dxa"/>
          <w:left w:w="0" w:type="dxa"/>
          <w:bottom w:w="0" w:type="dxa"/>
          <w:right w:w="0" w:type="dxa"/>
        </w:tblCellMar>
      </w:tblPr>
      <w:tr>
        <w:trPr>
          <w:trHeight w:val="175"/>
        </w:trPr>
        <w:tc>
          <w:tcPr>
            <w:tcW w:w="194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440" w:type="dxa"/>
            <w:vAlign w:val="bottom"/>
          </w:tcPr>
          <w:p>
            <w:pPr>
              <w:ind w:left="580"/>
              <w:spacing w:after="0" w:line="131" w:lineRule="exact"/>
              <w:rPr>
                <w:sz w:val="20"/>
                <w:szCs w:val="20"/>
                <w:color w:val="auto"/>
              </w:rPr>
            </w:pPr>
            <w:r>
              <w:rPr>
                <w:rFonts w:ascii="MS PGothic" w:cs="MS PGothic" w:eastAsia="MS PGothic" w:hAnsi="MS PGothic"/>
                <w:sz w:val="13"/>
                <w:szCs w:val="13"/>
                <w:color w:val="auto"/>
              </w:rPr>
              <w:t>☐</w:t>
            </w:r>
          </w:p>
        </w:tc>
        <w:tc>
          <w:tcPr>
            <w:tcW w:w="4660" w:type="dxa"/>
            <w:vAlign w:val="bottom"/>
          </w:tcPr>
          <w:p>
            <w:pPr>
              <w:ind w:left="2740"/>
              <w:spacing w:after="0"/>
              <w:rPr>
                <w:sz w:val="20"/>
                <w:szCs w:val="20"/>
                <w:color w:val="auto"/>
              </w:rPr>
            </w:pPr>
            <w:r>
              <w:rPr>
                <w:rFonts w:ascii="Times New Roman" w:cs="Times New Roman" w:eastAsia="Times New Roman" w:hAnsi="Times New Roman"/>
                <w:sz w:val="13"/>
                <w:szCs w:val="13"/>
                <w:color w:val="auto"/>
              </w:rPr>
              <w:t>Accelerated filer</w:t>
            </w:r>
          </w:p>
        </w:tc>
        <w:tc>
          <w:tcPr>
            <w:tcW w:w="640" w:type="dxa"/>
            <w:vAlign w:val="bottom"/>
          </w:tcPr>
          <w:p>
            <w:pPr>
              <w:ind w:left="54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75"/>
        </w:trPr>
        <w:tc>
          <w:tcPr>
            <w:tcW w:w="194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440" w:type="dxa"/>
            <w:vAlign w:val="bottom"/>
          </w:tcPr>
          <w:p>
            <w:pPr>
              <w:ind w:left="580"/>
              <w:spacing w:after="0"/>
              <w:rPr>
                <w:sz w:val="20"/>
                <w:szCs w:val="20"/>
                <w:color w:val="auto"/>
              </w:rPr>
            </w:pPr>
            <w:r>
              <w:rPr>
                <w:rFonts w:ascii="Arial" w:cs="Arial" w:eastAsia="Arial" w:hAnsi="Arial"/>
                <w:sz w:val="13"/>
                <w:szCs w:val="13"/>
                <w:color w:val="auto"/>
              </w:rPr>
              <w:t>x</w:t>
            </w:r>
          </w:p>
        </w:tc>
        <w:tc>
          <w:tcPr>
            <w:tcW w:w="4660" w:type="dxa"/>
            <w:vAlign w:val="bottom"/>
          </w:tcPr>
          <w:p>
            <w:pPr>
              <w:ind w:left="27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640" w:type="dxa"/>
            <w:vAlign w:val="bottom"/>
          </w:tcPr>
          <w:p>
            <w:pPr>
              <w:ind w:left="54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99"/>
        </w:trPr>
        <w:tc>
          <w:tcPr>
            <w:tcW w:w="194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3440" w:type="dxa"/>
            <w:vAlign w:val="bottom"/>
          </w:tcPr>
          <w:p>
            <w:pPr>
              <w:ind w:left="580"/>
              <w:spacing w:after="0" w:line="131" w:lineRule="exact"/>
              <w:rPr>
                <w:sz w:val="20"/>
                <w:szCs w:val="20"/>
                <w:color w:val="auto"/>
              </w:rPr>
            </w:pPr>
            <w:r>
              <w:rPr>
                <w:rFonts w:ascii="MS PGothic" w:cs="MS PGothic" w:eastAsia="MS PGothic" w:hAnsi="MS PGothic"/>
                <w:sz w:val="13"/>
                <w:szCs w:val="13"/>
                <w:color w:val="auto"/>
              </w:rPr>
              <w:t>☐</w:t>
            </w:r>
          </w:p>
        </w:tc>
        <w:tc>
          <w:tcPr>
            <w:tcW w:w="4660" w:type="dxa"/>
            <w:vAlign w:val="bottom"/>
          </w:tcPr>
          <w:p>
            <w:pPr>
              <w:spacing w:after="0"/>
              <w:rPr>
                <w:sz w:val="17"/>
                <w:szCs w:val="17"/>
                <w:color w:val="auto"/>
              </w:rPr>
            </w:pPr>
          </w:p>
        </w:tc>
        <w:tc>
          <w:tcPr>
            <w:tcW w:w="640" w:type="dxa"/>
            <w:vAlign w:val="bottom"/>
          </w:tcPr>
          <w:p>
            <w:pPr>
              <w:spacing w:after="0"/>
              <w:rPr>
                <w:sz w:val="17"/>
                <w:szCs w:val="17"/>
                <w:color w:val="auto"/>
              </w:rPr>
            </w:pPr>
          </w:p>
        </w:tc>
      </w:tr>
    </w:tbl>
    <w:p>
      <w:pPr>
        <w:spacing w:after="0" w:line="119" w:lineRule="exact"/>
        <w:rPr>
          <w:sz w:val="24"/>
          <w:szCs w:val="24"/>
          <w:color w:val="auto"/>
        </w:rPr>
      </w:pPr>
    </w:p>
    <w:p>
      <w:pPr>
        <w:spacing w:after="0" w:line="164"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Lamar Media Corp.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ectPr>
          <w:pgSz w:w="11900" w:h="16838" w:orient="portrait"/>
          <w:cols w:equalWidth="0" w:num="1">
            <w:col w:w="11240"/>
          </w:cols>
          <w:pgMar w:left="320" w:top="1161" w:right="339" w:bottom="1440" w:gutter="0" w:footer="0" w:header="0"/>
        </w:sectPr>
      </w:pPr>
    </w:p>
    <w:p>
      <w:pPr>
        <w:spacing w:after="0" w:line="38"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Indicate by check mark whether Lamar Advertising Company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Yes</w:t>
      </w:r>
    </w:p>
    <w:p>
      <w:pPr>
        <w:spacing w:after="0" w:line="20" w:lineRule="exact"/>
        <w:rPr>
          <w:sz w:val="24"/>
          <w:szCs w:val="24"/>
          <w:color w:val="auto"/>
        </w:rPr>
      </w:pPr>
      <w:r>
        <w:rPr>
          <w:sz w:val="24"/>
          <w:szCs w:val="24"/>
          <w:color w:val="auto"/>
        </w:rPr>
        <w:br w:type="column"/>
      </w:r>
    </w:p>
    <w:p>
      <w:pPr>
        <w:spacing w:after="0" w:line="98"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 xml:space="preserve">No </w:t>
      </w:r>
      <w:r>
        <w:rPr>
          <w:rFonts w:ascii="Arial" w:cs="Arial" w:eastAsia="Arial" w:hAnsi="Arial"/>
          <w:sz w:val="13"/>
          <w:szCs w:val="13"/>
          <w:color w:val="auto"/>
        </w:rPr>
        <w:t>x</w:t>
      </w:r>
    </w:p>
    <w:p>
      <w:pPr>
        <w:spacing w:after="0" w:line="32" w:lineRule="exact"/>
        <w:rPr>
          <w:sz w:val="24"/>
          <w:szCs w:val="24"/>
          <w:color w:val="auto"/>
        </w:rPr>
      </w:pPr>
    </w:p>
    <w:p>
      <w:pPr>
        <w:sectPr>
          <w:pgSz w:w="11900" w:h="16838" w:orient="portrait"/>
          <w:cols w:equalWidth="0" w:num="4">
            <w:col w:w="6540" w:space="120"/>
            <w:col w:w="200" w:space="60"/>
            <w:col w:w="100" w:space="120"/>
            <w:col w:w="4100"/>
          </w:cols>
          <w:pgMar w:left="320" w:top="1161" w:right="339" w:bottom="1440" w:gutter="0" w:footer="0" w:header="0"/>
          <w:type w:val="continuous"/>
        </w:sectPr>
      </w:pP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Indicate by check mark whether Lamar Media Corp. is a shell company (as defined in Rule 12b-2 of the Exchange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color w:val="auto"/>
        </w:rPr>
        <w:t>Yes</w:t>
      </w:r>
    </w:p>
    <w:p>
      <w:pPr>
        <w:spacing w:after="0" w:line="20" w:lineRule="exact"/>
        <w:rPr>
          <w:sz w:val="24"/>
          <w:szCs w:val="24"/>
          <w:color w:val="auto"/>
        </w:rPr>
      </w:pPr>
      <w:r>
        <w:rPr>
          <w:sz w:val="24"/>
          <w:szCs w:val="24"/>
          <w:color w:val="auto"/>
        </w:rPr>
        <w:br w:type="column"/>
      </w:r>
    </w:p>
    <w:p>
      <w:pPr>
        <w:spacing w:after="0" w:line="8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color w:val="auto"/>
        </w:rPr>
        <w:t>No</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Arial" w:cs="Arial" w:eastAsia="Arial" w:hAnsi="Arial"/>
          <w:sz w:val="12"/>
          <w:szCs w:val="12"/>
          <w:color w:val="auto"/>
        </w:rPr>
        <w:t>x</w:t>
      </w:r>
    </w:p>
    <w:p>
      <w:pPr>
        <w:spacing w:after="0" w:line="64" w:lineRule="exact"/>
        <w:rPr>
          <w:sz w:val="24"/>
          <w:szCs w:val="24"/>
          <w:color w:val="auto"/>
        </w:rPr>
      </w:pPr>
    </w:p>
    <w:p>
      <w:pPr>
        <w:sectPr>
          <w:pgSz w:w="11900" w:h="16838" w:orient="portrait"/>
          <w:cols w:equalWidth="0" w:num="5">
            <w:col w:w="6060" w:space="120"/>
            <w:col w:w="200" w:space="60"/>
            <w:col w:w="100" w:space="120"/>
            <w:col w:w="160" w:space="60"/>
            <w:col w:w="4360"/>
          </w:cols>
          <w:pgMar w:left="320" w:top="116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2"/>
          <w:szCs w:val="12"/>
          <w:color w:val="auto"/>
        </w:rPr>
        <w:t>The number of shares of Lamar Advertising Company’s Class A common stock outstanding as of October 31, 2022: 87,263,385</w:t>
      </w:r>
    </w:p>
    <w:p>
      <w:pPr>
        <w:sectPr>
          <w:pgSz w:w="11900" w:h="16838" w:orient="portrait"/>
          <w:cols w:equalWidth="0" w:num="1">
            <w:col w:w="11240"/>
          </w:cols>
          <w:pgMar w:left="320" w:top="1161" w:right="339" w:bottom="1440" w:gutter="0" w:footer="0" w:header="0"/>
          <w:type w:val="continuous"/>
        </w:sectPr>
      </w:pPr>
    </w:p>
    <w:p>
      <w:pPr>
        <w:spacing w:after="0" w:line="6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The number of shares of the Lamar Advertising Company’s Class B common stock outstanding as of October 31, 2022: 14,420,085</w:t>
      </w:r>
    </w:p>
    <w:p>
      <w:pPr>
        <w:spacing w:after="0" w:line="53"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The number of shares of Lamar Media Corp. common stock outstanding as of October 31, 2022: 100</w:t>
      </w:r>
    </w:p>
    <w:p>
      <w:pPr>
        <w:spacing w:after="0" w:line="51" w:lineRule="exact"/>
        <w:rPr>
          <w:sz w:val="24"/>
          <w:szCs w:val="24"/>
          <w:color w:val="auto"/>
        </w:rPr>
      </w:pPr>
    </w:p>
    <w:p>
      <w:pPr>
        <w:spacing w:after="0" w:line="295" w:lineRule="auto"/>
        <w:rPr>
          <w:sz w:val="20"/>
          <w:szCs w:val="20"/>
          <w:color w:val="auto"/>
        </w:rPr>
      </w:pPr>
      <w:r>
        <w:rPr>
          <w:rFonts w:ascii="Times New Roman" w:cs="Times New Roman" w:eastAsia="Times New Roman" w:hAnsi="Times New Roman"/>
          <w:sz w:val="13"/>
          <w:szCs w:val="13"/>
          <w:b w:val="1"/>
          <w:bCs w:val="1"/>
          <w:color w:val="auto"/>
        </w:rPr>
        <w:t>This combined Form 10-Q is separately filed by (i) Lamar Advertising Company and (ii) Lamar Media Corp. (which is a wholly owned subsidiary of Lamar Advertising Company). Lamar Media Corp. meets the conditions set forth in general instruction H(1) (a) and (b) of Form 10-Q and is, therefore, filing this form with the reduced disclosure format permitted by such instruction</w:t>
      </w:r>
      <w:r>
        <w:rPr>
          <w:rFonts w:ascii="Times New Roman" w:cs="Times New Roman" w:eastAsia="Times New Roman" w:hAnsi="Times New Roman"/>
          <w:sz w:val="14"/>
          <w:szCs w:val="1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503555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70485</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96520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information included in this report is forward-looking in nature within the meaning of Section 27A of the Securities Act of 1933 and Section 21E of the Securities Exchange Act of 1934. This report uses terminology such as “anticipates,” “believes,” “plans,” “expects,” “future,” “intends,” “may,” “will,” “should,” “estimates,” “predicts,” “potential,” “continue” and similar expressions to identify forward-looking statements. Examples of forward-looking statements in this report include statements about:</w:t>
      </w:r>
    </w:p>
    <w:p>
      <w:pPr>
        <w:spacing w:after="0" w:line="72" w:lineRule="exact"/>
        <w:rPr>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and condition;</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plans, objectives, prospects, growth and operating strategies;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expenditures and level of acquisition activity;</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acquired assets and realize operating efficiency from acquisitions;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opportunities and competitive positions;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cash flows and expected cash requirements;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risks;</w:t>
      </w:r>
    </w:p>
    <w:p>
      <w:pPr>
        <w:spacing w:after="0" w:line="117"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compliance with applicable covenants and restrictions included in Lamar Media’s senior credit facility, Accounts Receivable Securitization Program and the indentures relating to its outstanding notes;</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future dividend distributions; and</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remain qualified as a Real Estate Investment Trust (“REIT”).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Forward-looking statements are subject to known and unknown risks, uncertainties and other important factors, including but not limited to the following, any of which may cause the actual results, performance or achievements of Lamar Advertising Company (referred to herein as the “Company” or “Lamar Advertising”) or Lamar Media Corp. (referred to herein as “Lamar Media”) to differ materially from those expressed or implied by the forward-looking statements:</w:t>
      </w:r>
    </w:p>
    <w:p>
      <w:pPr>
        <w:spacing w:after="0" w:line="72" w:lineRule="exact"/>
        <w:rPr>
          <w:sz w:val="20"/>
          <w:szCs w:val="20"/>
          <w:color w:val="auto"/>
        </w:rPr>
      </w:pPr>
    </w:p>
    <w:p>
      <w:pPr>
        <w:ind w:left="1300" w:hanging="644"/>
        <w:spacing w:after="0" w:line="282"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 of the economy and financial markets generally and their effects on the markets in which we operate and the broader demand for advertising, including inflationary pressures;</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levels of expenditures on advertising in general and outdoor advertising in particular;</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relating to our significant indebtedness;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outdoor advertising and its continued popularity as an advertising medium;</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for, and ability to obtain, additional funding for acquisitions, operations and debt refinancing;</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within the outdoor advertising industry;</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regulation of the outdoor advertising industry by federal, state and local governments;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renew expiring contracts at favorable rates;</w:t>
      </w:r>
    </w:p>
    <w:p>
      <w:pPr>
        <w:spacing w:after="0" w:line="117" w:lineRule="exact"/>
        <w:rPr>
          <w:rFonts w:ascii="Times New Roman" w:cs="Times New Roman" w:eastAsia="Times New Roman" w:hAnsi="Times New Roman"/>
          <w:sz w:val="18"/>
          <w:szCs w:val="18"/>
          <w:color w:val="auto"/>
        </w:rPr>
      </w:pPr>
    </w:p>
    <w:p>
      <w:pPr>
        <w:ind w:left="1300" w:hanging="644"/>
        <w:spacing w:after="0" w:line="282"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integration of businesses and assets that we acquire and our ability to recognize cost savings and operating efficiencies as a result of these acquisitions;</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digital deployment strategy;</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our Class A common stock;</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policies or guidelines;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mitigate the threat of and damages caused by hurricanes and other kinds of severe weather;</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status as a REIT; and</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applicable to REITs or in the interpretation of those laws.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forward-looking statements in this report are based on our current good faith beliefs, however, actual results may differ due to inaccurate assumptions, the factors listed above or other foreseeable or unforeseeable factors. Consequently, we cannot</w:t>
      </w:r>
    </w:p>
    <w:p>
      <w:pPr>
        <w:sectPr>
          <w:pgSz w:w="11900" w:h="16838" w:orient="portrait"/>
          <w:cols w:equalWidth="0" w:num="1">
            <w:col w:w="11240"/>
          </w:cols>
          <w:pgMar w:left="320" w:top="1211"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type w:val="continuous"/>
        </w:sectPr>
      </w:pPr>
    </w:p>
    <w:bookmarkStart w:id="2" w:name="page3"/>
    <w:bookmarkEnd w:id="2"/>
    <w:p>
      <w:pPr>
        <w:jc w:val="both"/>
        <w:spacing w:after="0" w:line="266" w:lineRule="auto"/>
        <w:rPr>
          <w:sz w:val="20"/>
          <w:szCs w:val="20"/>
          <w:color w:val="auto"/>
        </w:rPr>
      </w:pPr>
      <w:r>
        <w:rPr>
          <w:rFonts w:ascii="Times New Roman" w:cs="Times New Roman" w:eastAsia="Times New Roman" w:hAnsi="Times New Roman"/>
          <w:sz w:val="18"/>
          <w:szCs w:val="18"/>
          <w:color w:val="auto"/>
        </w:rPr>
        <w:t>guarantee that any of the forward-looking statements will prove to be accurate. The forward-looking statements in this report speak only as of the date of this report, and Lamar Advertising and Lamar Media expressly disclaim any obligation or undertaking to update or revise any forward-looking statement contained in this report, except as required by law.</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a further description of these and other risks and uncertainties, the Company encourages you to read carefully Item 1A to the combined Annual Report on Form 10-K for the year ended December 31, 2021 of the Company and Lamar Media (the “2021 Combined Form 10-K”), filed on February 25, 2022, and as such risk factors may be further updated or supplemented, from time to time, in our future combined Quarterly Reports on Form 10-Q and Current Reports on Form 8-K.</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CONTENTS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0420" w:type="dxa"/>
            <w:vAlign w:val="bottom"/>
            <w:gridSpan w:val="20"/>
            <w:vMerge w:val="restart"/>
          </w:tcPr>
          <w:p>
            <w:pPr>
              <w:spacing w:after="0" w:line="193" w:lineRule="exact"/>
              <w:rPr>
                <w:sz w:val="20"/>
                <w:szCs w:val="20"/>
                <w:color w:val="auto"/>
              </w:rPr>
            </w:pPr>
            <w:r>
              <w:rPr>
                <w:rFonts w:ascii="Times New Roman" w:cs="Times New Roman" w:eastAsia="Times New Roman" w:hAnsi="Times New Roman"/>
                <w:sz w:val="18"/>
                <w:szCs w:val="18"/>
                <w:color w:val="0000FF"/>
              </w:rPr>
              <w:t>PART I — FINANCIAL INFORMATION</w:t>
            </w: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0420" w:type="dxa"/>
            <w:vAlign w:val="bottom"/>
            <w:gridSpan w:val="20"/>
            <w:vMerge w:val="continue"/>
          </w:tcPr>
          <w:p>
            <w:pPr>
              <w:spacing w:after="0"/>
              <w:rPr>
                <w:sz w:val="14"/>
                <w:szCs w:val="14"/>
                <w:color w:val="auto"/>
              </w:rPr>
            </w:pPr>
          </w:p>
        </w:tc>
        <w:tc>
          <w:tcPr>
            <w:tcW w:w="78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26"/>
        </w:trPr>
        <w:tc>
          <w:tcPr>
            <w:tcW w:w="306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ITEM 1. FINANCIAL STATEMENTS</w:t>
            </w:r>
          </w:p>
        </w:tc>
        <w:tc>
          <w:tcPr>
            <w:tcW w:w="7360" w:type="dxa"/>
            <w:vAlign w:val="bottom"/>
            <w:gridSpan w:val="10"/>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48"/>
        </w:trPr>
        <w:tc>
          <w:tcPr>
            <w:tcW w:w="282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auto"/>
              </w:rPr>
              <w:t>Lamar Advertising Company</w:t>
            </w:r>
          </w:p>
        </w:tc>
        <w:tc>
          <w:tcPr>
            <w:tcW w:w="7600" w:type="dxa"/>
            <w:vAlign w:val="bottom"/>
            <w:gridSpan w:val="11"/>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80" w:type="dxa"/>
            <w:vAlign w:val="bottom"/>
          </w:tcPr>
          <w:p>
            <w:pPr>
              <w:spacing w:after="0"/>
              <w:rPr>
                <w:sz w:val="16"/>
                <w:szCs w:val="16"/>
                <w:color w:val="auto"/>
              </w:rPr>
            </w:pPr>
          </w:p>
        </w:tc>
        <w:tc>
          <w:tcPr>
            <w:tcW w:w="9940" w:type="dxa"/>
            <w:vAlign w:val="bottom"/>
            <w:gridSpan w:val="19"/>
          </w:tcPr>
          <w:p>
            <w:pPr>
              <w:spacing w:after="0" w:line="194" w:lineRule="exact"/>
              <w:rPr>
                <w:sz w:val="20"/>
                <w:szCs w:val="20"/>
                <w:color w:val="auto"/>
              </w:rPr>
            </w:pPr>
            <w:r>
              <w:rPr>
                <w:rFonts w:ascii="Times New Roman" w:cs="Times New Roman" w:eastAsia="Times New Roman" w:hAnsi="Times New Roman"/>
                <w:sz w:val="18"/>
                <w:szCs w:val="18"/>
                <w:color w:val="0000FF"/>
              </w:rPr>
              <w:t>Condensed Consolidated Balance Sheets as of September 30, 2022 and December 31, 2021</w:t>
            </w:r>
          </w:p>
        </w:tc>
        <w:tc>
          <w:tcPr>
            <w:tcW w:w="7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480" w:type="dxa"/>
            <w:vAlign w:val="bottom"/>
            <w:tcBorders>
              <w:right w:val="single" w:sz="8" w:color="0000FF"/>
            </w:tcBorders>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0" w:type="dxa"/>
            <w:vAlign w:val="bottom"/>
          </w:tcPr>
          <w:p>
            <w:pPr>
              <w:spacing w:after="0"/>
              <w:rPr>
                <w:sz w:val="18"/>
                <w:szCs w:val="18"/>
                <w:color w:val="auto"/>
              </w:rPr>
            </w:pPr>
          </w:p>
        </w:tc>
        <w:tc>
          <w:tcPr>
            <w:tcW w:w="99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Income and Comprehensive Income for the three and nine months ended September 30, 2022 and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55"/>
        </w:trPr>
        <w:tc>
          <w:tcPr>
            <w:tcW w:w="480" w:type="dxa"/>
            <w:vAlign w:val="bottom"/>
          </w:tcPr>
          <w:p>
            <w:pPr>
              <w:spacing w:after="0"/>
              <w:rPr>
                <w:sz w:val="13"/>
                <w:szCs w:val="13"/>
                <w:color w:val="auto"/>
              </w:rPr>
            </w:pPr>
          </w:p>
        </w:tc>
        <w:tc>
          <w:tcPr>
            <w:tcW w:w="660" w:type="dxa"/>
            <w:vAlign w:val="bottom"/>
            <w:tcBorders>
              <w:top w:val="single" w:sz="8" w:color="0000FF"/>
            </w:tcBorders>
            <w:gridSpan w:val="2"/>
          </w:tcPr>
          <w:p>
            <w:pPr>
              <w:jc w:val="right"/>
              <w:spacing w:after="0" w:line="142" w:lineRule="exact"/>
              <w:rPr>
                <w:sz w:val="20"/>
                <w:szCs w:val="20"/>
                <w:color w:val="auto"/>
              </w:rPr>
            </w:pPr>
            <w:r>
              <w:rPr>
                <w:rFonts w:ascii="Times New Roman" w:cs="Times New Roman" w:eastAsia="Times New Roman" w:hAnsi="Times New Roman"/>
                <w:sz w:val="16"/>
                <w:szCs w:val="16"/>
                <w:color w:val="0000FF"/>
              </w:rPr>
              <w:t>2021</w:t>
            </w:r>
          </w:p>
        </w:tc>
        <w:tc>
          <w:tcPr>
            <w:tcW w:w="14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38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9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160" w:type="dxa"/>
            <w:vAlign w:val="bottom"/>
            <w:tcBorders>
              <w:top w:val="single" w:sz="8" w:color="0000FF"/>
            </w:tcBorders>
          </w:tcPr>
          <w:p>
            <w:pPr>
              <w:spacing w:after="0"/>
              <w:rPr>
                <w:sz w:val="13"/>
                <w:szCs w:val="13"/>
                <w:color w:val="auto"/>
              </w:rPr>
            </w:pPr>
          </w:p>
        </w:tc>
        <w:tc>
          <w:tcPr>
            <w:tcW w:w="13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 w:type="dxa"/>
            <w:vAlign w:val="bottom"/>
          </w:tcPr>
          <w:p>
            <w:pPr>
              <w:spacing w:after="0"/>
              <w:rPr>
                <w:sz w:val="19"/>
                <w:szCs w:val="19"/>
                <w:color w:val="auto"/>
              </w:rPr>
            </w:pPr>
          </w:p>
        </w:tc>
        <w:tc>
          <w:tcPr>
            <w:tcW w:w="92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 for the three and nine months ended September 30, 2022 and 2021</w:t>
            </w:r>
          </w:p>
        </w:tc>
        <w:tc>
          <w:tcPr>
            <w:tcW w:w="740" w:type="dxa"/>
            <w:vAlign w:val="bottom"/>
            <w:gridSpan w:val="2"/>
          </w:tcPr>
          <w:p>
            <w:pPr>
              <w:spacing w:after="0"/>
              <w:rPr>
                <w:sz w:val="19"/>
                <w:szCs w:val="19"/>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99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September 30, 2022 and 2021</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780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2140" w:type="dxa"/>
            <w:vAlign w:val="bottom"/>
            <w:gridSpan w:val="4"/>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0"/>
        </w:trPr>
        <w:tc>
          <w:tcPr>
            <w:tcW w:w="480" w:type="dxa"/>
            <w:vAlign w:val="bottom"/>
            <w:tcBorders>
              <w:right w:val="single" w:sz="8" w:color="0000FF"/>
            </w:tcBorders>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104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Lamar Media Corp.</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80" w:type="dxa"/>
            <w:vAlign w:val="bottom"/>
          </w:tcPr>
          <w:p>
            <w:pPr>
              <w:spacing w:after="0"/>
              <w:rPr>
                <w:sz w:val="16"/>
                <w:szCs w:val="16"/>
                <w:color w:val="auto"/>
              </w:rPr>
            </w:pPr>
          </w:p>
        </w:tc>
        <w:tc>
          <w:tcPr>
            <w:tcW w:w="9940" w:type="dxa"/>
            <w:vAlign w:val="bottom"/>
            <w:gridSpan w:val="19"/>
          </w:tcPr>
          <w:p>
            <w:pPr>
              <w:spacing w:after="0" w:line="194" w:lineRule="exact"/>
              <w:rPr>
                <w:sz w:val="20"/>
                <w:szCs w:val="20"/>
                <w:color w:val="auto"/>
              </w:rPr>
            </w:pPr>
            <w:r>
              <w:rPr>
                <w:rFonts w:ascii="Times New Roman" w:cs="Times New Roman" w:eastAsia="Times New Roman" w:hAnsi="Times New Roman"/>
                <w:sz w:val="18"/>
                <w:szCs w:val="18"/>
                <w:color w:val="0000FF"/>
              </w:rPr>
              <w:t>Condensed Consolidated Balance Sheets as of September 30, 2022 and December 31, 2021</w:t>
            </w:r>
          </w:p>
        </w:tc>
        <w:tc>
          <w:tcPr>
            <w:tcW w:w="7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20"/>
        </w:trPr>
        <w:tc>
          <w:tcPr>
            <w:tcW w:w="480" w:type="dxa"/>
            <w:vAlign w:val="bottom"/>
            <w:tcBorders>
              <w:right w:val="single" w:sz="8" w:color="0000FF"/>
            </w:tcBorders>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0" w:type="dxa"/>
            <w:vAlign w:val="bottom"/>
          </w:tcPr>
          <w:p>
            <w:pPr>
              <w:spacing w:after="0"/>
              <w:rPr>
                <w:sz w:val="18"/>
                <w:szCs w:val="18"/>
                <w:color w:val="auto"/>
              </w:rPr>
            </w:pPr>
          </w:p>
        </w:tc>
        <w:tc>
          <w:tcPr>
            <w:tcW w:w="99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Income and Comprehensive Income for the three and nine months ended September 30, 2022 and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340" w:type="dxa"/>
            <w:vAlign w:val="bottom"/>
            <w:tcBorders>
              <w:top w:val="single" w:sz="8" w:color="0000FF"/>
              <w:bottom w:val="single" w:sz="8" w:color="0000FF"/>
            </w:tcBorders>
          </w:tcPr>
          <w:p>
            <w:pPr>
              <w:spacing w:after="0" w:line="142" w:lineRule="exact"/>
              <w:rPr>
                <w:sz w:val="20"/>
                <w:szCs w:val="20"/>
                <w:color w:val="auto"/>
              </w:rPr>
            </w:pPr>
            <w:r>
              <w:rPr>
                <w:rFonts w:ascii="Times New Roman" w:cs="Times New Roman" w:eastAsia="Times New Roman" w:hAnsi="Times New Roman"/>
                <w:sz w:val="16"/>
                <w:szCs w:val="16"/>
                <w:color w:val="0000FF"/>
                <w:w w:val="93"/>
              </w:rPr>
              <w:t>2021</w:t>
            </w:r>
          </w:p>
        </w:tc>
        <w:tc>
          <w:tcPr>
            <w:tcW w:w="3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38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9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160" w:type="dxa"/>
            <w:vAlign w:val="bottom"/>
            <w:tcBorders>
              <w:top w:val="single" w:sz="8" w:color="0000FF"/>
            </w:tcBorders>
          </w:tcPr>
          <w:p>
            <w:pPr>
              <w:spacing w:after="0"/>
              <w:rPr>
                <w:sz w:val="13"/>
                <w:szCs w:val="13"/>
                <w:color w:val="auto"/>
              </w:rPr>
            </w:pPr>
          </w:p>
        </w:tc>
        <w:tc>
          <w:tcPr>
            <w:tcW w:w="13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99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and nine months ended September 30, 2022 and 2021</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916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September 30, 2022 and 2021</w:t>
            </w:r>
          </w:p>
        </w:tc>
        <w:tc>
          <w:tcPr>
            <w:tcW w:w="780" w:type="dxa"/>
            <w:vAlign w:val="bottom"/>
            <w:gridSpan w:val="3"/>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780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2140" w:type="dxa"/>
            <w:vAlign w:val="bottom"/>
            <w:gridSpan w:val="4"/>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30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4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0" w:type="dxa"/>
            <w:vAlign w:val="bottom"/>
          </w:tcPr>
          <w:p>
            <w:pPr>
              <w:spacing w:after="0"/>
              <w:rPr>
                <w:sz w:val="1"/>
                <w:szCs w:val="1"/>
                <w:color w:val="auto"/>
              </w:rPr>
            </w:pPr>
          </w:p>
        </w:tc>
      </w:tr>
      <w:tr>
        <w:trPr>
          <w:trHeight w:val="318"/>
        </w:trPr>
        <w:tc>
          <w:tcPr>
            <w:tcW w:w="504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2080" w:type="dxa"/>
            <w:vAlign w:val="bottom"/>
            <w:tcBorders>
              <w:top w:val="single" w:sz="8" w:color="0000FF"/>
            </w:tcBorders>
            <w:gridSpan w:val="2"/>
          </w:tcPr>
          <w:p>
            <w:pPr>
              <w:spacing w:after="0"/>
              <w:rPr>
                <w:sz w:val="24"/>
                <w:szCs w:val="24"/>
                <w:color w:val="auto"/>
              </w:rPr>
            </w:pPr>
          </w:p>
        </w:tc>
        <w:tc>
          <w:tcPr>
            <w:tcW w:w="3300" w:type="dxa"/>
            <w:vAlign w:val="bottom"/>
            <w:gridSpan w:val="5"/>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0" w:type="dxa"/>
            <w:vAlign w:val="bottom"/>
          </w:tcPr>
          <w:p>
            <w:pPr>
              <w:spacing w:after="0"/>
              <w:rPr>
                <w:sz w:val="1"/>
                <w:szCs w:val="1"/>
                <w:color w:val="auto"/>
              </w:rPr>
            </w:pPr>
          </w:p>
        </w:tc>
      </w:tr>
      <w:tr>
        <w:trPr>
          <w:trHeight w:val="358"/>
        </w:trPr>
        <w:tc>
          <w:tcPr>
            <w:tcW w:w="24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ITEM 4. Controls and Procedures</w:t>
            </w:r>
          </w:p>
        </w:tc>
        <w:tc>
          <w:tcPr>
            <w:tcW w:w="7980" w:type="dxa"/>
            <w:vAlign w:val="bottom"/>
            <w:gridSpan w:val="13"/>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0" w:type="dxa"/>
            <w:vAlign w:val="bottom"/>
          </w:tcPr>
          <w:p>
            <w:pPr>
              <w:spacing w:after="0"/>
              <w:rPr>
                <w:sz w:val="1"/>
                <w:szCs w:val="1"/>
                <w:color w:val="auto"/>
              </w:rPr>
            </w:pPr>
          </w:p>
        </w:tc>
      </w:tr>
      <w:tr>
        <w:trPr>
          <w:trHeight w:val="358"/>
        </w:trPr>
        <w:tc>
          <w:tcPr>
            <w:tcW w:w="27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7"/>
              </w:rPr>
              <w:t>PART II — OTHER INFORMATION</w:t>
            </w:r>
          </w:p>
        </w:tc>
        <w:tc>
          <w:tcPr>
            <w:tcW w:w="7660" w:type="dxa"/>
            <w:vAlign w:val="bottom"/>
            <w:gridSpan w:val="12"/>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0" w:type="dxa"/>
            <w:vAlign w:val="bottom"/>
          </w:tcPr>
          <w:p>
            <w:pPr>
              <w:spacing w:after="0"/>
              <w:rPr>
                <w:sz w:val="1"/>
                <w:szCs w:val="1"/>
                <w:color w:val="auto"/>
              </w:rPr>
            </w:pPr>
          </w:p>
        </w:tc>
      </w:tr>
      <w:tr>
        <w:trPr>
          <w:trHeight w:val="358"/>
        </w:trPr>
        <w:tc>
          <w:tcPr>
            <w:tcW w:w="104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0" w:type="dxa"/>
            <w:vAlign w:val="bottom"/>
          </w:tcPr>
          <w:p>
            <w:pPr>
              <w:spacing w:after="0"/>
              <w:rPr>
                <w:sz w:val="1"/>
                <w:szCs w:val="1"/>
                <w:color w:val="auto"/>
              </w:rPr>
            </w:pPr>
          </w:p>
        </w:tc>
      </w:tr>
      <w:tr>
        <w:trPr>
          <w:trHeight w:val="20"/>
        </w:trPr>
        <w:tc>
          <w:tcPr>
            <w:tcW w:w="1280" w:type="dxa"/>
            <w:vAlign w:val="bottom"/>
            <w:gridSpan w:val="4"/>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540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0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ITEM 2. Unregistered Sales of Equity Securities and Use of Proceeds</w:t>
            </w:r>
          </w:p>
        </w:tc>
        <w:tc>
          <w:tcPr>
            <w:tcW w:w="5400" w:type="dxa"/>
            <w:vAlign w:val="bottom"/>
            <w:gridSpan w:val="8"/>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0" w:type="dxa"/>
            <w:vAlign w:val="bottom"/>
          </w:tcPr>
          <w:p>
            <w:pPr>
              <w:spacing w:after="0"/>
              <w:rPr>
                <w:sz w:val="1"/>
                <w:szCs w:val="1"/>
                <w:color w:val="auto"/>
              </w:rPr>
            </w:pPr>
          </w:p>
        </w:tc>
      </w:tr>
      <w:tr>
        <w:trPr>
          <w:trHeight w:val="358"/>
        </w:trPr>
        <w:tc>
          <w:tcPr>
            <w:tcW w:w="104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0" w:type="dxa"/>
            <w:vAlign w:val="bottom"/>
          </w:tcPr>
          <w:p>
            <w:pPr>
              <w:spacing w:after="0"/>
              <w:rPr>
                <w:sz w:val="1"/>
                <w:szCs w:val="1"/>
                <w:color w:val="auto"/>
              </w:rPr>
            </w:pPr>
          </w:p>
        </w:tc>
      </w:tr>
      <w:tr>
        <w:trPr>
          <w:trHeight w:val="358"/>
        </w:trPr>
        <w:tc>
          <w:tcPr>
            <w:tcW w:w="128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ITEM 6. Exhibits</w:t>
            </w:r>
          </w:p>
        </w:tc>
        <w:tc>
          <w:tcPr>
            <w:tcW w:w="700" w:type="dxa"/>
            <w:vAlign w:val="bottom"/>
            <w:tcBorders>
              <w:top w:val="single" w:sz="8" w:color="0000FF"/>
            </w:tcBorders>
            <w:gridSpan w:val="2"/>
          </w:tcPr>
          <w:p>
            <w:pPr>
              <w:spacing w:after="0"/>
              <w:rPr>
                <w:sz w:val="24"/>
                <w:szCs w:val="24"/>
                <w:color w:val="auto"/>
              </w:rPr>
            </w:pPr>
          </w:p>
        </w:tc>
        <w:tc>
          <w:tcPr>
            <w:tcW w:w="8440" w:type="dxa"/>
            <w:vAlign w:val="bottom"/>
            <w:gridSpan w:val="14"/>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21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34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0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8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9"/>
        </w:trPr>
        <w:tc>
          <w:tcPr>
            <w:tcW w:w="8000" w:type="dxa"/>
            <w:vAlign w:val="bottom"/>
            <w:shd w:val="clear" w:color="auto" w:fill="CCEEFF"/>
          </w:tcPr>
          <w:p>
            <w:pPr>
              <w:ind w:left="37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195"/>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10"/>
        </w:trPr>
        <w:tc>
          <w:tcPr>
            <w:tcW w:w="8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79,355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99,788</w:t>
            </w:r>
          </w:p>
        </w:tc>
      </w:tr>
      <w:tr>
        <w:trPr>
          <w:trHeight w:val="195"/>
        </w:trPr>
        <w:tc>
          <w:tcPr>
            <w:tcW w:w="80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Receivables, net of allowance for doubtful accounts of $11,388 and $11,195 in 2022 and 2021, respectively</w:t>
            </w: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294,840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269,917</w:t>
            </w:r>
          </w:p>
        </w:tc>
      </w:tr>
      <w:tr>
        <w:trPr>
          <w:trHeight w:val="210"/>
        </w:trPr>
        <w:tc>
          <w:tcPr>
            <w:tcW w:w="8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 current assets</w:t>
            </w: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30,826</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18,902</w:t>
            </w:r>
          </w:p>
        </w:tc>
      </w:tr>
      <w:tr>
        <w:trPr>
          <w:trHeight w:val="190"/>
        </w:trPr>
        <w:tc>
          <w:tcPr>
            <w:tcW w:w="80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Total current assets</w:t>
            </w: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405,021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388,607</w:t>
            </w:r>
          </w:p>
        </w:tc>
      </w:tr>
      <w:tr>
        <w:trPr>
          <w:trHeight w:val="20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3,912,020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3,782,288</w:t>
            </w:r>
          </w:p>
        </w:tc>
      </w:tr>
      <w:tr>
        <w:trPr>
          <w:trHeight w:val="196"/>
        </w:trPr>
        <w:tc>
          <w:tcPr>
            <w:tcW w:w="8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Less accumulated depreciation and amortization</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(2,512,786)</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(2,445,014)</w:t>
            </w:r>
          </w:p>
        </w:tc>
      </w:tr>
      <w:tr>
        <w:trPr>
          <w:trHeight w:val="196"/>
        </w:trPr>
        <w:tc>
          <w:tcPr>
            <w:tcW w:w="8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Net property, plant and equipment</w:t>
            </w:r>
          </w:p>
        </w:tc>
        <w:tc>
          <w:tcPr>
            <w:tcW w:w="2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1,399,234</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1,337,274</w:t>
            </w: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jc w:val="both"/>
        <w:ind w:left="20"/>
        <w:spacing w:after="0" w:line="297" w:lineRule="auto"/>
        <w:rPr>
          <w:sz w:val="20"/>
          <w:szCs w:val="20"/>
          <w:color w:val="auto"/>
        </w:rPr>
      </w:pPr>
      <w:r>
        <w:rPr>
          <w:rFonts w:ascii="Times New Roman" w:cs="Times New Roman" w:eastAsia="Times New Roman" w:hAnsi="Times New Roman"/>
          <w:sz w:val="14"/>
          <w:szCs w:val="14"/>
          <w:color w:val="auto"/>
        </w:rPr>
        <w:t>Operating lease right of use assets Financing lease right of use assets Goodwill</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Intangible assets, net</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assets</w:t>
      </w:r>
    </w:p>
    <w:p>
      <w:pPr>
        <w:spacing w:after="0" w:line="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5560" w:type="dxa"/>
        <w:tblCellMar>
          <w:top w:w="0" w:type="dxa"/>
          <w:left w:w="0" w:type="dxa"/>
          <w:bottom w:w="0" w:type="dxa"/>
          <w:right w:w="0" w:type="dxa"/>
        </w:tblCellMar>
      </w:tblPr>
      <w:tr>
        <w:trPr>
          <w:trHeight w:val="188"/>
        </w:trPr>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1,236,201</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1,224,672</w:t>
            </w:r>
          </w:p>
        </w:tc>
      </w:tr>
      <w:tr>
        <w:trPr>
          <w:trHeight w:val="193"/>
        </w:trPr>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14,751</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16,890</w:t>
            </w:r>
          </w:p>
        </w:tc>
      </w:tr>
      <w:tr>
        <w:trPr>
          <w:trHeight w:val="203"/>
        </w:trPr>
        <w:tc>
          <w:tcPr>
            <w:tcW w:w="5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2,002,747</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1,936,426</w:t>
            </w:r>
          </w:p>
        </w:tc>
      </w:tr>
      <w:tr>
        <w:trPr>
          <w:trHeight w:val="203"/>
        </w:trPr>
        <w:tc>
          <w:tcPr>
            <w:tcW w:w="5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1,128,358</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1,045,177</w:t>
            </w:r>
          </w:p>
        </w:tc>
      </w:tr>
      <w:tr>
        <w:trPr>
          <w:trHeight w:val="203"/>
        </w:trPr>
        <w:tc>
          <w:tcPr>
            <w:tcW w:w="5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92,207</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98,448</w:t>
            </w:r>
          </w:p>
        </w:tc>
      </w:tr>
      <w:tr>
        <w:trPr>
          <w:trHeight w:val="23"/>
        </w:trPr>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2"/>
        </w:trPr>
        <w:tc>
          <w:tcPr>
            <w:tcW w:w="5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6,278,519</w:t>
            </w:r>
          </w:p>
        </w:tc>
        <w:tc>
          <w:tcPr>
            <w:tcW w:w="120" w:type="dxa"/>
            <w:vAlign w:val="bottom"/>
          </w:tcPr>
          <w:p>
            <w:pPr>
              <w:spacing w:after="0"/>
              <w:rPr>
                <w:sz w:val="15"/>
                <w:szCs w:val="15"/>
                <w:color w:val="auto"/>
              </w:rPr>
            </w:pPr>
          </w:p>
        </w:tc>
        <w:tc>
          <w:tcPr>
            <w:tcW w:w="5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6,047,494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-1543685</wp:posOffset>
            </wp:positionH>
            <wp:positionV relativeFrom="paragraph">
              <wp:posOffset>-641985</wp:posOffset>
            </wp:positionV>
            <wp:extent cx="7132320"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-1543685</wp:posOffset>
            </wp:positionH>
            <wp:positionV relativeFrom="paragraph">
              <wp:posOffset>-384810</wp:posOffset>
            </wp:positionV>
            <wp:extent cx="7132320"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-1543685</wp:posOffset>
            </wp:positionH>
            <wp:positionV relativeFrom="paragraph">
              <wp:posOffset>-127635</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3530600</wp:posOffset>
            </wp:positionH>
            <wp:positionV relativeFrom="paragraph">
              <wp:posOffset>-85725</wp:posOffset>
            </wp:positionV>
            <wp:extent cx="20574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spacing w:after="0" w:line="53" w:lineRule="exact"/>
        <w:rPr>
          <w:sz w:val="20"/>
          <w:szCs w:val="20"/>
          <w:color w:val="auto"/>
        </w:rPr>
      </w:pPr>
    </w:p>
    <w:p>
      <w:pPr>
        <w:sectPr>
          <w:pgSz w:w="11900" w:h="16838" w:orient="portrait"/>
          <w:cols w:equalWidth="0" w:num="2">
            <w:col w:w="1980" w:space="460"/>
            <w:col w:w="88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0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Trade accounts payable</w:t>
            </w:r>
          </w:p>
        </w:tc>
        <w:tc>
          <w:tcPr>
            <w:tcW w:w="5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16,523</w:t>
            </w:r>
          </w:p>
        </w:tc>
        <w:tc>
          <w:tcPr>
            <w:tcW w:w="120" w:type="dxa"/>
            <w:vAlign w:val="bottom"/>
          </w:tcPr>
          <w:p>
            <w:pPr>
              <w:spacing w:after="0"/>
              <w:rPr>
                <w:sz w:val="16"/>
                <w:szCs w:val="16"/>
                <w:color w:val="auto"/>
              </w:rPr>
            </w:pPr>
          </w:p>
        </w:tc>
        <w:tc>
          <w:tcPr>
            <w:tcW w:w="5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16,429</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Current maturities of long-term debt, net of deferred financing costs of $651 and $585 in 2022 and 2021, respectively</w:t>
            </w: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199,722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174,778</w:t>
            </w:r>
          </w:p>
        </w:tc>
        <w:tc>
          <w:tcPr>
            <w:tcW w:w="0" w:type="dxa"/>
            <w:vAlign w:val="bottom"/>
          </w:tcPr>
          <w:p>
            <w:pPr>
              <w:spacing w:after="0"/>
              <w:rPr>
                <w:sz w:val="1"/>
                <w:szCs w:val="1"/>
                <w:color w:val="auto"/>
              </w:rPr>
            </w:pPr>
          </w:p>
        </w:tc>
      </w:tr>
      <w:tr>
        <w:trPr>
          <w:trHeight w:val="195"/>
        </w:trPr>
        <w:tc>
          <w:tcPr>
            <w:tcW w:w="80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Current operating lease liabilities</w:t>
            </w: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180,107</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198,286</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Current financing lease liabilities</w:t>
            </w: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w:t>
            </w:r>
          </w:p>
        </w:tc>
        <w:tc>
          <w:tcPr>
            <w:tcW w:w="0" w:type="dxa"/>
            <w:vAlign w:val="bottom"/>
          </w:tcPr>
          <w:p>
            <w:pPr>
              <w:spacing w:after="0"/>
              <w:rPr>
                <w:sz w:val="1"/>
                <w:szCs w:val="1"/>
                <w:color w:val="auto"/>
              </w:rPr>
            </w:pPr>
          </w:p>
        </w:tc>
      </w:tr>
      <w:tr>
        <w:trPr>
          <w:trHeight w:val="195"/>
        </w:trPr>
        <w:tc>
          <w:tcPr>
            <w:tcW w:w="80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Accrued expenses</w:t>
            </w: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105,374</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135,038</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Deferred income</w:t>
            </w: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140,772</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137,103</w:t>
            </w:r>
          </w:p>
        </w:tc>
        <w:tc>
          <w:tcPr>
            <w:tcW w:w="0" w:type="dxa"/>
            <w:vAlign w:val="bottom"/>
          </w:tcPr>
          <w:p>
            <w:pPr>
              <w:spacing w:after="0"/>
              <w:rPr>
                <w:sz w:val="1"/>
                <w:szCs w:val="1"/>
                <w:color w:val="auto"/>
              </w:rPr>
            </w:pPr>
          </w:p>
        </w:tc>
      </w:tr>
      <w:tr>
        <w:trPr>
          <w:trHeight w:val="189"/>
        </w:trPr>
        <w:tc>
          <w:tcPr>
            <w:tcW w:w="80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643,829</w:t>
            </w: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662,965</w:t>
            </w:r>
          </w:p>
        </w:tc>
        <w:tc>
          <w:tcPr>
            <w:tcW w:w="0" w:type="dxa"/>
            <w:vAlign w:val="bottom"/>
          </w:tcPr>
          <w:p>
            <w:pPr>
              <w:spacing w:after="0"/>
              <w:rPr>
                <w:sz w:val="1"/>
                <w:szCs w:val="1"/>
                <w:color w:val="auto"/>
              </w:rPr>
            </w:pPr>
          </w:p>
        </w:tc>
      </w:tr>
      <w:tr>
        <w:trPr>
          <w:trHeight w:val="20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 net of deferred financing costs of $33,494 and $36,274 in 2022 and 2021, respectively</w:t>
            </w: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3,016,563</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2,838,817</w:t>
            </w:r>
          </w:p>
        </w:tc>
        <w:tc>
          <w:tcPr>
            <w:tcW w:w="0" w:type="dxa"/>
            <w:vAlign w:val="bottom"/>
          </w:tcPr>
          <w:p>
            <w:pPr>
              <w:spacing w:after="0"/>
              <w:rPr>
                <w:sz w:val="1"/>
                <w:szCs w:val="1"/>
                <w:color w:val="auto"/>
              </w:rPr>
            </w:pPr>
          </w:p>
        </w:tc>
      </w:tr>
      <w:tr>
        <w:trPr>
          <w:trHeight w:val="195"/>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1,007,988</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995,356</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Financing lease liabilities</w:t>
            </w: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16,278</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17,277</w:t>
            </w:r>
          </w:p>
        </w:tc>
        <w:tc>
          <w:tcPr>
            <w:tcW w:w="0" w:type="dxa"/>
            <w:vAlign w:val="bottom"/>
          </w:tcPr>
          <w:p>
            <w:pPr>
              <w:spacing w:after="0"/>
              <w:rPr>
                <w:sz w:val="1"/>
                <w:szCs w:val="1"/>
                <w:color w:val="auto"/>
              </w:rPr>
            </w:pPr>
          </w:p>
        </w:tc>
      </w:tr>
      <w:tr>
        <w:trPr>
          <w:trHeight w:val="195"/>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 liabilities</w:t>
            </w: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8,298</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6,416</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 retirement obligation</w:t>
            </w: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278,092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269,367</w:t>
            </w:r>
          </w:p>
        </w:tc>
        <w:tc>
          <w:tcPr>
            <w:tcW w:w="0" w:type="dxa"/>
            <w:vAlign w:val="bottom"/>
          </w:tcPr>
          <w:p>
            <w:pPr>
              <w:spacing w:after="0"/>
              <w:rPr>
                <w:sz w:val="1"/>
                <w:szCs w:val="1"/>
                <w:color w:val="auto"/>
              </w:rPr>
            </w:pPr>
          </w:p>
        </w:tc>
      </w:tr>
      <w:tr>
        <w:trPr>
          <w:trHeight w:val="196"/>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5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33,186</w:t>
            </w: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40,207</w:t>
            </w:r>
          </w:p>
        </w:tc>
        <w:tc>
          <w:tcPr>
            <w:tcW w:w="0" w:type="dxa"/>
            <w:vAlign w:val="bottom"/>
          </w:tcPr>
          <w:p>
            <w:pPr>
              <w:spacing w:after="0"/>
              <w:rPr>
                <w:sz w:val="1"/>
                <w:szCs w:val="1"/>
                <w:color w:val="auto"/>
              </w:rPr>
            </w:pPr>
          </w:p>
        </w:tc>
      </w:tr>
      <w:tr>
        <w:trPr>
          <w:trHeight w:val="203"/>
        </w:trPr>
        <w:tc>
          <w:tcPr>
            <w:tcW w:w="8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liabilities</w:t>
            </w:r>
          </w:p>
        </w:tc>
        <w:tc>
          <w:tcPr>
            <w:tcW w:w="5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5,004,234</w:t>
            </w:r>
          </w:p>
        </w:tc>
        <w:tc>
          <w:tcPr>
            <w:tcW w:w="12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4,830,405</w:t>
            </w:r>
          </w:p>
        </w:tc>
        <w:tc>
          <w:tcPr>
            <w:tcW w:w="0" w:type="dxa"/>
            <w:vAlign w:val="bottom"/>
          </w:tcPr>
          <w:p>
            <w:pPr>
              <w:spacing w:after="0"/>
              <w:rPr>
                <w:sz w:val="1"/>
                <w:szCs w:val="1"/>
                <w:color w:val="auto"/>
              </w:rPr>
            </w:pPr>
          </w:p>
        </w:tc>
      </w:tr>
      <w:tr>
        <w:trPr>
          <w:trHeight w:val="175"/>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000" w:type="dxa"/>
            <w:vAlign w:val="bottom"/>
            <w:shd w:val="clear" w:color="auto" w:fill="CCEEFF"/>
          </w:tcPr>
          <w:p>
            <w:pPr>
              <w:ind w:left="260"/>
              <w:spacing w:after="0" w:line="142" w:lineRule="exact"/>
              <w:rPr>
                <w:sz w:val="20"/>
                <w:szCs w:val="20"/>
                <w:color w:val="auto"/>
              </w:rPr>
            </w:pPr>
            <w:r>
              <w:rPr>
                <w:rFonts w:ascii="Times New Roman" w:cs="Times New Roman" w:eastAsia="Times New Roman" w:hAnsi="Times New Roman"/>
                <w:sz w:val="14"/>
                <w:szCs w:val="14"/>
                <w:color w:val="auto"/>
              </w:rPr>
              <w:t>Series AA preferred stock, par value $0.001, $63.80 cumulative dividends, 5,720 shares authorized; 5,720 shares issued and</w:t>
            </w:r>
          </w:p>
        </w:tc>
        <w:tc>
          <w:tcPr>
            <w:tcW w:w="50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8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outstanding at 2022 and 2021</w:t>
            </w:r>
          </w:p>
        </w:tc>
        <w:tc>
          <w:tcPr>
            <w:tcW w:w="50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8000" w:type="dxa"/>
            <w:vAlign w:val="bottom"/>
          </w:tcPr>
          <w:p>
            <w:pPr>
              <w:ind w:left="260"/>
              <w:spacing w:after="0" w:line="135" w:lineRule="exact"/>
              <w:rPr>
                <w:sz w:val="20"/>
                <w:szCs w:val="20"/>
                <w:color w:val="auto"/>
              </w:rPr>
            </w:pPr>
            <w:r>
              <w:rPr>
                <w:rFonts w:ascii="Times New Roman" w:cs="Times New Roman" w:eastAsia="Times New Roman" w:hAnsi="Times New Roman"/>
                <w:sz w:val="14"/>
                <w:szCs w:val="14"/>
                <w:color w:val="auto"/>
              </w:rPr>
              <w:t>Class A common stock, par value $0.001, 362,500,000 shares authorized; 88,047,081 and 87,540,838 shares issued at 2022 and 2021,</w:t>
            </w:r>
          </w:p>
        </w:tc>
        <w:tc>
          <w:tcPr>
            <w:tcW w:w="50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195"/>
        </w:trPr>
        <w:tc>
          <w:tcPr>
            <w:tcW w:w="80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respectively; 87,263,385 and 86,852,821 outstanding at 2022 and 2021, respectively</w:t>
            </w:r>
          </w:p>
        </w:tc>
        <w:tc>
          <w:tcPr>
            <w:tcW w:w="5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Class B common stock, par value $0.001, 37,500,000 shares authorized, 14,420,085 shares issued and outstanding at 2022 and 2021</w:t>
            </w: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95"/>
        </w:trPr>
        <w:tc>
          <w:tcPr>
            <w:tcW w:w="80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2,054,110</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2,001,399</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Accumulated comprehensive (loss) income</w:t>
            </w: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w:t>
            </w:r>
          </w:p>
        </w:tc>
        <w:tc>
          <w:tcPr>
            <w:tcW w:w="0" w:type="dxa"/>
            <w:vAlign w:val="bottom"/>
          </w:tcPr>
          <w:p>
            <w:pPr>
              <w:spacing w:after="0"/>
              <w:rPr>
                <w:sz w:val="1"/>
                <w:szCs w:val="1"/>
                <w:color w:val="auto"/>
              </w:rPr>
            </w:pPr>
          </w:p>
        </w:tc>
      </w:tr>
      <w:tr>
        <w:trPr>
          <w:trHeight w:val="195"/>
        </w:trPr>
        <w:tc>
          <w:tcPr>
            <w:tcW w:w="80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Accumulated deficit</w:t>
            </w: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(717,654)</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(734,415)</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Cost of shares held in treasury, 783,696 and 688,017 shares at 2022 and 2021, respectively</w:t>
            </w: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(61,358)</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(50,852)</w:t>
            </w:r>
          </w:p>
        </w:tc>
        <w:tc>
          <w:tcPr>
            <w:tcW w:w="0" w:type="dxa"/>
            <w:vAlign w:val="bottom"/>
          </w:tcPr>
          <w:p>
            <w:pPr>
              <w:spacing w:after="0"/>
              <w:rPr>
                <w:sz w:val="1"/>
                <w:szCs w:val="1"/>
                <w:color w:val="auto"/>
              </w:rPr>
            </w:pPr>
          </w:p>
        </w:tc>
      </w:tr>
      <w:tr>
        <w:trPr>
          <w:trHeight w:val="190"/>
        </w:trPr>
        <w:tc>
          <w:tcPr>
            <w:tcW w:w="80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Stockholders’ equity</w:t>
            </w: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1,274,285</w:t>
            </w: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1,217,089</w:t>
            </w:r>
          </w:p>
        </w:tc>
        <w:tc>
          <w:tcPr>
            <w:tcW w:w="0" w:type="dxa"/>
            <w:vAlign w:val="bottom"/>
          </w:tcPr>
          <w:p>
            <w:pPr>
              <w:spacing w:after="0"/>
              <w:rPr>
                <w:sz w:val="1"/>
                <w:szCs w:val="1"/>
                <w:color w:val="auto"/>
              </w:rPr>
            </w:pPr>
          </w:p>
        </w:tc>
      </w:tr>
      <w:tr>
        <w:trPr>
          <w:trHeight w:val="228"/>
        </w:trPr>
        <w:tc>
          <w:tcPr>
            <w:tcW w:w="80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500" w:type="dxa"/>
            <w:vAlign w:val="bottom"/>
            <w:tcBorders>
              <w:bottom w:val="single" w:sz="8" w:color="auto"/>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6,278,519</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6,047,494</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2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2520" w:type="dxa"/>
            <w:vAlign w:val="bottom"/>
            <w:gridSpan w:val="4"/>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2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7"/>
                <w:szCs w:val="17"/>
                <w:color w:val="auto"/>
              </w:rPr>
            </w:pPr>
          </w:p>
        </w:tc>
        <w:tc>
          <w:tcPr>
            <w:tcW w:w="2520" w:type="dxa"/>
            <w:vAlign w:val="bottom"/>
            <w:gridSpan w:val="4"/>
          </w:tcPr>
          <w:p>
            <w:pPr>
              <w:jc w:val="right"/>
              <w:ind w:right="85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6"/>
        </w:trPr>
        <w:tc>
          <w:tcPr>
            <w:tcW w:w="5620" w:type="dxa"/>
            <w:vAlign w:val="bottom"/>
            <w:tcBorders>
              <w:bottom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Income</w:t>
            </w: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527,390</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476,894</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1,496,630</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1,292,827</w:t>
            </w:r>
          </w:p>
        </w:tc>
        <w:tc>
          <w:tcPr>
            <w:tcW w:w="0" w:type="dxa"/>
            <w:vAlign w:val="bottom"/>
          </w:tcPr>
          <w:p>
            <w:pPr>
              <w:spacing w:after="0"/>
              <w:rPr>
                <w:sz w:val="1"/>
                <w:szCs w:val="1"/>
                <w:color w:val="auto"/>
              </w:rPr>
            </w:pPr>
          </w:p>
        </w:tc>
      </w:tr>
      <w:tr>
        <w:trPr>
          <w:trHeight w:val="210"/>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 (income)</w:t>
            </w: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 advertising expenses (exclusive of depreciation and amortization)</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168,968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493,463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418,973</w:t>
            </w:r>
          </w:p>
        </w:tc>
        <w:tc>
          <w:tcPr>
            <w:tcW w:w="0" w:type="dxa"/>
            <w:vAlign w:val="bottom"/>
          </w:tcPr>
          <w:p>
            <w:pPr>
              <w:spacing w:after="0"/>
              <w:rPr>
                <w:sz w:val="1"/>
                <w:szCs w:val="1"/>
                <w:color w:val="auto"/>
              </w:rPr>
            </w:pPr>
          </w:p>
        </w:tc>
      </w:tr>
      <w:tr>
        <w:trPr>
          <w:trHeight w:val="175"/>
        </w:trPr>
        <w:tc>
          <w:tcPr>
            <w:tcW w:w="5620" w:type="dxa"/>
            <w:vAlign w:val="bottom"/>
            <w:shd w:val="clear" w:color="auto" w:fill="CFF0FC"/>
          </w:tcPr>
          <w:p>
            <w:pPr>
              <w:ind w:left="220"/>
              <w:spacing w:after="0" w:line="176" w:lineRule="exact"/>
              <w:rPr>
                <w:sz w:val="20"/>
                <w:szCs w:val="20"/>
                <w:color w:val="auto"/>
              </w:rPr>
            </w:pPr>
            <w:r>
              <w:rPr>
                <w:rFonts w:ascii="Times New Roman" w:cs="Times New Roman" w:eastAsia="Times New Roman" w:hAnsi="Times New Roman"/>
                <w:sz w:val="18"/>
                <w:szCs w:val="18"/>
                <w:color w:val="auto"/>
              </w:rPr>
              <w:t>General and administrative expenses (exclusive of depreciation and</w:t>
            </w:r>
          </w:p>
        </w:tc>
        <w:tc>
          <w:tcPr>
            <w:tcW w:w="2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6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amortization)</w:t>
            </w:r>
          </w:p>
        </w:tc>
        <w:tc>
          <w:tcPr>
            <w:tcW w:w="2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87,181</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85,946</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260,923</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234,429</w:t>
            </w:r>
          </w:p>
        </w:tc>
        <w:tc>
          <w:tcPr>
            <w:tcW w:w="0" w:type="dxa"/>
            <w:vAlign w:val="bottom"/>
          </w:tcPr>
          <w:p>
            <w:pPr>
              <w:spacing w:after="0"/>
              <w:rPr>
                <w:sz w:val="1"/>
                <w:szCs w:val="1"/>
                <w:color w:val="auto"/>
              </w:rPr>
            </w:pPr>
          </w:p>
        </w:tc>
      </w:tr>
      <w:tr>
        <w:trPr>
          <w:trHeight w:val="229"/>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expenses (exclusive of depreciation and amortization)</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74,077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64,431</w:t>
            </w:r>
          </w:p>
        </w:tc>
        <w:tc>
          <w:tcPr>
            <w:tcW w:w="0" w:type="dxa"/>
            <w:vAlign w:val="bottom"/>
          </w:tcPr>
          <w:p>
            <w:pPr>
              <w:spacing w:after="0"/>
              <w:rPr>
                <w:sz w:val="1"/>
                <w:szCs w:val="1"/>
                <w:color w:val="auto"/>
              </w:rPr>
            </w:pPr>
          </w:p>
        </w:tc>
      </w:tr>
      <w:tr>
        <w:trPr>
          <w:trHeight w:val="230"/>
        </w:trPr>
        <w:tc>
          <w:tcPr>
            <w:tcW w:w="56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65,833</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84,300</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202,210</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205,671</w:t>
            </w:r>
          </w:p>
        </w:tc>
        <w:tc>
          <w:tcPr>
            <w:tcW w:w="0" w:type="dxa"/>
            <w:vAlign w:val="bottom"/>
          </w:tcPr>
          <w:p>
            <w:pPr>
              <w:spacing w:after="0"/>
              <w:rPr>
                <w:sz w:val="1"/>
                <w:szCs w:val="1"/>
                <w:color w:val="auto"/>
              </w:rPr>
            </w:pPr>
          </w:p>
        </w:tc>
      </w:tr>
      <w:tr>
        <w:trPr>
          <w:trHeight w:val="229"/>
        </w:trPr>
        <w:tc>
          <w:tcPr>
            <w:tcW w:w="562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0" w:type="dxa"/>
            <w:vAlign w:val="bottom"/>
          </w:tcPr>
          <w:p>
            <w:pPr>
              <w:spacing w:after="0"/>
              <w:rPr>
                <w:sz w:val="1"/>
                <w:szCs w:val="1"/>
                <w:color w:val="auto"/>
              </w:rPr>
            </w:pPr>
          </w:p>
        </w:tc>
      </w:tr>
      <w:tr>
        <w:trPr>
          <w:trHeight w:val="223"/>
        </w:trPr>
        <w:tc>
          <w:tcPr>
            <w:tcW w:w="56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346,403</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343,558</w:t>
            </w: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1,028,683</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921,582</w:t>
            </w:r>
          </w:p>
        </w:tc>
        <w:tc>
          <w:tcPr>
            <w:tcW w:w="0" w:type="dxa"/>
            <w:vAlign w:val="bottom"/>
          </w:tcPr>
          <w:p>
            <w:pPr>
              <w:spacing w:after="0"/>
              <w:rPr>
                <w:sz w:val="1"/>
                <w:szCs w:val="1"/>
                <w:color w:val="auto"/>
              </w:rPr>
            </w:pPr>
          </w:p>
        </w:tc>
      </w:tr>
      <w:tr>
        <w:trPr>
          <w:trHeight w:val="223"/>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180,987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467,947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371,245</w:t>
            </w:r>
          </w:p>
        </w:tc>
        <w:tc>
          <w:tcPr>
            <w:tcW w:w="0" w:type="dxa"/>
            <w:vAlign w:val="bottom"/>
          </w:tcPr>
          <w:p>
            <w:pPr>
              <w:spacing w:after="0"/>
              <w:rPr>
                <w:sz w:val="1"/>
                <w:szCs w:val="1"/>
                <w:color w:val="auto"/>
              </w:rPr>
            </w:pPr>
          </w:p>
        </w:tc>
      </w:tr>
      <w:tr>
        <w:trPr>
          <w:trHeight w:val="230"/>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21,604</w:t>
            </w:r>
          </w:p>
        </w:tc>
        <w:tc>
          <w:tcPr>
            <w:tcW w:w="0" w:type="dxa"/>
            <w:vAlign w:val="bottom"/>
          </w:tcPr>
          <w:p>
            <w:pPr>
              <w:spacing w:after="0"/>
              <w:rPr>
                <w:sz w:val="1"/>
                <w:szCs w:val="1"/>
                <w:color w:val="auto"/>
              </w:rPr>
            </w:pPr>
          </w:p>
        </w:tc>
      </w:tr>
      <w:tr>
        <w:trPr>
          <w:trHeight w:val="229"/>
        </w:trPr>
        <w:tc>
          <w:tcPr>
            <w:tcW w:w="56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0" w:type="dxa"/>
            <w:vAlign w:val="bottom"/>
          </w:tcPr>
          <w:p>
            <w:pPr>
              <w:spacing w:after="0"/>
              <w:rPr>
                <w:sz w:val="1"/>
                <w:szCs w:val="1"/>
                <w:color w:val="auto"/>
              </w:rPr>
            </w:pPr>
          </w:p>
        </w:tc>
      </w:tr>
      <w:tr>
        <w:trPr>
          <w:trHeight w:val="230"/>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33,545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89,824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80,638</w:t>
            </w:r>
          </w:p>
        </w:tc>
        <w:tc>
          <w:tcPr>
            <w:tcW w:w="0" w:type="dxa"/>
            <w:vAlign w:val="bottom"/>
          </w:tcPr>
          <w:p>
            <w:pPr>
              <w:spacing w:after="0"/>
              <w:rPr>
                <w:sz w:val="1"/>
                <w:szCs w:val="1"/>
                <w:color w:val="auto"/>
              </w:rPr>
            </w:pPr>
          </w:p>
        </w:tc>
      </w:tr>
      <w:tr>
        <w:trPr>
          <w:trHeight w:val="230"/>
        </w:trPr>
        <w:tc>
          <w:tcPr>
            <w:tcW w:w="56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Equity in earnings of investee</w:t>
            </w: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31,743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24,786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86,427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100,547</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149,244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270,698</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5,922</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146,188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372,544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264,776</w:t>
            </w:r>
          </w:p>
        </w:tc>
        <w:tc>
          <w:tcPr>
            <w:tcW w:w="0" w:type="dxa"/>
            <w:vAlign w:val="bottom"/>
          </w:tcPr>
          <w:p>
            <w:pPr>
              <w:spacing w:after="0"/>
              <w:rPr>
                <w:sz w:val="1"/>
                <w:szCs w:val="1"/>
                <w:color w:val="auto"/>
              </w:rPr>
            </w:pPr>
          </w:p>
        </w:tc>
      </w:tr>
      <w:tr>
        <w:trPr>
          <w:trHeight w:val="229"/>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dividends declared and paid on preferred stock</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applicable to common stock</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264,503</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6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20" w:type="dxa"/>
            <w:vAlign w:val="bottom"/>
          </w:tcPr>
          <w:p>
            <w:pPr>
              <w:ind w:left="220"/>
              <w:spacing w:after="0" w:line="203" w:lineRule="exact"/>
              <w:rPr>
                <w:sz w:val="20"/>
                <w:szCs w:val="20"/>
                <w:color w:val="auto"/>
              </w:rPr>
            </w:pPr>
            <w:r>
              <w:rPr>
                <w:rFonts w:ascii="Times New Roman" w:cs="Times New Roman" w:eastAsia="Times New Roman" w:hAnsi="Times New Roman"/>
                <w:sz w:val="18"/>
                <w:szCs w:val="18"/>
                <w:color w:val="auto"/>
              </w:rPr>
              <w:t>Diluted earnings per share</w:t>
            </w:r>
          </w:p>
        </w:tc>
        <w:tc>
          <w:tcPr>
            <w:tcW w:w="24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1.44</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3.66</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dividends declared per share of common stock</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Weighted average common shares used in computing earnings per share: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6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101,580,997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101,195,158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101,469,918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101,097,124</w:t>
            </w:r>
          </w:p>
        </w:tc>
        <w:tc>
          <w:tcPr>
            <w:tcW w:w="0" w:type="dxa"/>
            <w:vAlign w:val="bottom"/>
          </w:tcPr>
          <w:p>
            <w:pPr>
              <w:spacing w:after="0"/>
              <w:rPr>
                <w:sz w:val="1"/>
                <w:szCs w:val="1"/>
                <w:color w:val="auto"/>
              </w:rPr>
            </w:pPr>
          </w:p>
        </w:tc>
      </w:tr>
      <w:tr>
        <w:trPr>
          <w:trHeight w:val="230"/>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common shares outstanding diluted</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101,685,965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101,401,754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101,599,157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101,298,444</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Comprehensive Income</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146,188</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106,838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372,544</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264,776</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264,692</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12" w:lineRule="exact"/>
        <w:rPr>
          <w:sz w:val="20"/>
          <w:szCs w:val="20"/>
          <w:color w:val="auto"/>
        </w:rPr>
      </w:pPr>
    </w:p>
    <w:tbl>
      <w:tblPr>
        <w:tblLayout w:type="fixed"/>
        <w:tblInd w:w="60" w:type="dxa"/>
        <w:tblCellMar>
          <w:top w:w="0" w:type="dxa"/>
          <w:left w:w="0" w:type="dxa"/>
          <w:bottom w:w="0" w:type="dxa"/>
          <w:right w:w="0" w:type="dxa"/>
        </w:tblCellMar>
      </w:tblPr>
      <w:tr>
        <w:trPr>
          <w:trHeight w:val="126"/>
        </w:trPr>
        <w:tc>
          <w:tcPr>
            <w:tcW w:w="2460" w:type="dxa"/>
            <w:vAlign w:val="bottom"/>
          </w:tcPr>
          <w:p>
            <w:pPr>
              <w:spacing w:after="0"/>
              <w:rPr>
                <w:sz w:val="11"/>
                <w:szCs w:val="11"/>
                <w:color w:val="auto"/>
              </w:rPr>
            </w:pPr>
          </w:p>
        </w:tc>
        <w:tc>
          <w:tcPr>
            <w:tcW w:w="740" w:type="dxa"/>
            <w:vAlign w:val="bottom"/>
          </w:tcPr>
          <w:p>
            <w:pPr>
              <w:jc w:val="center"/>
              <w:ind w:left="176"/>
              <w:spacing w:after="0"/>
              <w:rPr>
                <w:sz w:val="20"/>
                <w:szCs w:val="20"/>
                <w:color w:val="auto"/>
              </w:rPr>
            </w:pPr>
            <w:r>
              <w:rPr>
                <w:rFonts w:ascii="Times New Roman" w:cs="Times New Roman" w:eastAsia="Times New Roman" w:hAnsi="Times New Roman"/>
                <w:sz w:val="11"/>
                <w:szCs w:val="11"/>
                <w:b w:val="1"/>
                <w:bCs w:val="1"/>
                <w:color w:val="auto"/>
                <w:w w:val="98"/>
              </w:rPr>
              <w:t>Series AA</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Treasury</w:t>
            </w:r>
          </w:p>
        </w:tc>
        <w:tc>
          <w:tcPr>
            <w:tcW w:w="220" w:type="dxa"/>
            <w:vAlign w:val="bottom"/>
          </w:tcPr>
          <w:p>
            <w:pPr>
              <w:spacing w:after="0"/>
              <w:rPr>
                <w:sz w:val="11"/>
                <w:szCs w:val="11"/>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6"/>
              </w:rPr>
              <w:t>Add’l</w:t>
            </w:r>
          </w:p>
        </w:tc>
        <w:tc>
          <w:tcPr>
            <w:tcW w:w="100" w:type="dxa"/>
            <w:vAlign w:val="bottom"/>
          </w:tcPr>
          <w:p>
            <w:pPr>
              <w:spacing w:after="0"/>
              <w:rPr>
                <w:sz w:val="11"/>
                <w:szCs w:val="11"/>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40" w:type="dxa"/>
            <w:vAlign w:val="bottom"/>
          </w:tcPr>
          <w:p>
            <w:pPr>
              <w:spacing w:after="0"/>
              <w:rPr>
                <w:sz w:val="11"/>
                <w:szCs w:val="11"/>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460" w:type="dxa"/>
            <w:vAlign w:val="bottom"/>
          </w:tcPr>
          <w:p>
            <w:pPr>
              <w:spacing w:after="0"/>
              <w:rPr>
                <w:sz w:val="9"/>
                <w:szCs w:val="9"/>
                <w:color w:val="auto"/>
              </w:rPr>
            </w:pPr>
          </w:p>
        </w:tc>
        <w:tc>
          <w:tcPr>
            <w:tcW w:w="740" w:type="dxa"/>
            <w:vAlign w:val="bottom"/>
          </w:tcPr>
          <w:p>
            <w:pPr>
              <w:jc w:val="center"/>
              <w:ind w:left="156"/>
              <w:spacing w:after="0" w:line="108" w:lineRule="exact"/>
              <w:rPr>
                <w:sz w:val="20"/>
                <w:szCs w:val="20"/>
                <w:color w:val="auto"/>
              </w:rPr>
            </w:pPr>
            <w:r>
              <w:rPr>
                <w:rFonts w:ascii="Times New Roman" w:cs="Times New Roman" w:eastAsia="Times New Roman" w:hAnsi="Times New Roman"/>
                <w:sz w:val="11"/>
                <w:szCs w:val="11"/>
                <w:b w:val="1"/>
                <w:bCs w:val="1"/>
                <w:color w:val="auto"/>
                <w:w w:val="97"/>
              </w:rPr>
              <w:t>PREF</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jc w:val="right"/>
              <w:ind w:right="36"/>
              <w:spacing w:after="0" w:line="108" w:lineRule="exact"/>
              <w:rPr>
                <w:sz w:val="20"/>
                <w:szCs w:val="20"/>
                <w:color w:val="auto"/>
              </w:rPr>
            </w:pPr>
            <w:r>
              <w:rPr>
                <w:rFonts w:ascii="Times New Roman" w:cs="Times New Roman" w:eastAsia="Times New Roman" w:hAnsi="Times New Roman"/>
                <w:sz w:val="11"/>
                <w:szCs w:val="11"/>
                <w:b w:val="1"/>
                <w:bCs w:val="1"/>
                <w:color w:val="auto"/>
              </w:rPr>
              <w:t>CMN</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jc w:val="right"/>
              <w:ind w:right="36"/>
              <w:spacing w:after="0" w:line="108" w:lineRule="exact"/>
              <w:rPr>
                <w:sz w:val="20"/>
                <w:szCs w:val="20"/>
                <w:color w:val="auto"/>
              </w:rPr>
            </w:pPr>
            <w:r>
              <w:rPr>
                <w:rFonts w:ascii="Times New Roman" w:cs="Times New Roman" w:eastAsia="Times New Roman" w:hAnsi="Times New Roman"/>
                <w:sz w:val="11"/>
                <w:szCs w:val="11"/>
                <w:b w:val="1"/>
                <w:bCs w:val="1"/>
                <w:color w:val="auto"/>
              </w:rPr>
              <w:t>CMN</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gridSpan w:val="2"/>
          </w:tcPr>
          <w:p>
            <w:pPr>
              <w:jc w:val="center"/>
              <w:ind w:right="340"/>
              <w:spacing w:after="0" w:line="108" w:lineRule="exact"/>
              <w:rPr>
                <w:sz w:val="20"/>
                <w:szCs w:val="20"/>
                <w:color w:val="auto"/>
              </w:rPr>
            </w:pPr>
            <w:r>
              <w:rPr>
                <w:rFonts w:ascii="Times New Roman" w:cs="Times New Roman" w:eastAsia="Times New Roman" w:hAnsi="Times New Roman"/>
                <w:sz w:val="11"/>
                <w:szCs w:val="11"/>
                <w:b w:val="1"/>
                <w:bCs w:val="1"/>
                <w:color w:val="auto"/>
                <w:w w:val="95"/>
              </w:rPr>
              <w:t>Paid in</w:t>
            </w:r>
          </w:p>
        </w:tc>
        <w:tc>
          <w:tcPr>
            <w:tcW w:w="100" w:type="dxa"/>
            <w:vAlign w:val="bottom"/>
          </w:tcPr>
          <w:p>
            <w:pPr>
              <w:spacing w:after="0"/>
              <w:rPr>
                <w:sz w:val="9"/>
                <w:szCs w:val="9"/>
                <w:color w:val="auto"/>
              </w:rPr>
            </w:pPr>
          </w:p>
        </w:tc>
        <w:tc>
          <w:tcPr>
            <w:tcW w:w="100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4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vMerge w:val="restart"/>
          </w:tcPr>
          <w:p>
            <w:pPr>
              <w:jc w:val="right"/>
              <w:ind w:right="309"/>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5"/>
        </w:trPr>
        <w:tc>
          <w:tcPr>
            <w:tcW w:w="2460" w:type="dxa"/>
            <w:vAlign w:val="bottom"/>
          </w:tcPr>
          <w:p>
            <w:pPr>
              <w:spacing w:after="0"/>
              <w:rPr>
                <w:sz w:val="13"/>
                <w:szCs w:val="13"/>
                <w:color w:val="auto"/>
              </w:rPr>
            </w:pPr>
          </w:p>
        </w:tc>
        <w:tc>
          <w:tcPr>
            <w:tcW w:w="740" w:type="dxa"/>
            <w:vAlign w:val="bottom"/>
          </w:tcPr>
          <w:p>
            <w:pPr>
              <w:jc w:val="center"/>
              <w:ind w:left="176"/>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Stock</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Stock</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Stock</w:t>
            </w:r>
          </w:p>
        </w:tc>
        <w:tc>
          <w:tcPr>
            <w:tcW w:w="220" w:type="dxa"/>
            <w:vAlign w:val="bottom"/>
          </w:tcPr>
          <w:p>
            <w:pPr>
              <w:spacing w:after="0"/>
              <w:rPr>
                <w:sz w:val="13"/>
                <w:szCs w:val="13"/>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0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Income (Loss)</w:t>
            </w:r>
          </w:p>
        </w:tc>
        <w:tc>
          <w:tcPr>
            <w:tcW w:w="140" w:type="dxa"/>
            <w:vAlign w:val="bottom"/>
          </w:tcPr>
          <w:p>
            <w:pPr>
              <w:spacing w:after="0"/>
              <w:rPr>
                <w:sz w:val="13"/>
                <w:szCs w:val="13"/>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2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2021</w:t>
            </w:r>
          </w:p>
        </w:tc>
        <w:tc>
          <w:tcPr>
            <w:tcW w:w="740" w:type="dxa"/>
            <w:vAlign w:val="bottom"/>
            <w:tcBorders>
              <w:top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576"/>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576"/>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(50,852)</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2,001,399</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855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(734,415)</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1,217,089</w:t>
            </w:r>
          </w:p>
        </w:tc>
        <w:tc>
          <w:tcPr>
            <w:tcW w:w="0" w:type="dxa"/>
            <w:vAlign w:val="bottom"/>
          </w:tcPr>
          <w:p>
            <w:pPr>
              <w:spacing w:after="0"/>
              <w:rPr>
                <w:sz w:val="1"/>
                <w:szCs w:val="1"/>
                <w:color w:val="auto"/>
              </w:rPr>
            </w:pPr>
          </w:p>
        </w:tc>
      </w:tr>
      <w:tr>
        <w:trPr>
          <w:trHeight w:val="195"/>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Non-cash compensation</w:t>
            </w:r>
          </w:p>
        </w:tc>
        <w:tc>
          <w:tcPr>
            <w:tcW w:w="740" w:type="dxa"/>
            <w:vAlign w:val="bottom"/>
          </w:tcPr>
          <w:p>
            <w:pPr>
              <w:spacing w:after="0"/>
              <w:rPr>
                <w:sz w:val="16"/>
                <w:szCs w:val="16"/>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1,405</w:t>
            </w:r>
          </w:p>
        </w:tc>
        <w:tc>
          <w:tcPr>
            <w:tcW w:w="0" w:type="dxa"/>
            <w:vAlign w:val="bottom"/>
          </w:tcPr>
          <w:p>
            <w:pPr>
              <w:spacing w:after="0"/>
              <w:rPr>
                <w:sz w:val="1"/>
                <w:szCs w:val="1"/>
                <w:color w:val="auto"/>
              </w:rPr>
            </w:pPr>
          </w:p>
        </w:tc>
      </w:tr>
      <w:tr>
        <w:trPr>
          <w:trHeight w:val="142"/>
        </w:trPr>
        <w:tc>
          <w:tcPr>
            <w:tcW w:w="24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Issuance of 241,750 shares of common</w:t>
            </w:r>
          </w:p>
        </w:tc>
        <w:tc>
          <w:tcPr>
            <w:tcW w:w="74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30,145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30,145</w:t>
            </w: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 through stock awards</w:t>
            </w:r>
          </w:p>
        </w:tc>
        <w:tc>
          <w:tcPr>
            <w:tcW w:w="740" w:type="dxa"/>
            <w:vAlign w:val="bottom"/>
            <w:shd w:val="clear" w:color="auto" w:fill="CCEEFF"/>
          </w:tcPr>
          <w:p>
            <w:pPr>
              <w:spacing w:after="0"/>
              <w:rPr>
                <w:sz w:val="17"/>
                <w:szCs w:val="17"/>
                <w:color w:val="auto"/>
              </w:rPr>
            </w:pPr>
          </w:p>
        </w:tc>
        <w:tc>
          <w:tcPr>
            <w:tcW w:w="340" w:type="dxa"/>
            <w:vAlign w:val="bottom"/>
            <w:gridSpan w:val="2"/>
            <w:vMerge w:val="continue"/>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Exercise of 26,190 shares of stock</w:t>
            </w:r>
          </w:p>
        </w:tc>
        <w:tc>
          <w:tcPr>
            <w:tcW w:w="740" w:type="dxa"/>
            <w:vAlign w:val="bottom"/>
          </w:tcPr>
          <w:p>
            <w:pPr>
              <w:spacing w:after="0"/>
              <w:rPr>
                <w:sz w:val="11"/>
                <w:szCs w:val="11"/>
                <w:color w:val="auto"/>
              </w:rPr>
            </w:pPr>
          </w:p>
        </w:tc>
        <w:tc>
          <w:tcPr>
            <w:tcW w:w="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1"/>
                <w:szCs w:val="11"/>
                <w:color w:val="auto"/>
              </w:rPr>
            </w:pPr>
          </w:p>
        </w:tc>
        <w:tc>
          <w:tcPr>
            <w:tcW w:w="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1"/>
                <w:szCs w:val="11"/>
                <w:color w:val="auto"/>
              </w:rPr>
            </w:pPr>
          </w:p>
        </w:tc>
        <w:tc>
          <w:tcPr>
            <w:tcW w:w="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92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1,307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1,307</w:t>
            </w:r>
          </w:p>
        </w:tc>
        <w:tc>
          <w:tcPr>
            <w:tcW w:w="0" w:type="dxa"/>
            <w:vAlign w:val="bottom"/>
          </w:tcPr>
          <w:p>
            <w:pPr>
              <w:spacing w:after="0"/>
              <w:rPr>
                <w:sz w:val="1"/>
                <w:szCs w:val="1"/>
                <w:color w:val="auto"/>
              </w:rPr>
            </w:pPr>
          </w:p>
        </w:tc>
      </w:tr>
      <w:tr>
        <w:trPr>
          <w:trHeight w:val="195"/>
        </w:trPr>
        <w:tc>
          <w:tcPr>
            <w:tcW w:w="2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options</w:t>
            </w:r>
          </w:p>
        </w:tc>
        <w:tc>
          <w:tcPr>
            <w:tcW w:w="74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4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Issuance of 36,347 shares of common</w:t>
            </w:r>
          </w:p>
        </w:tc>
        <w:tc>
          <w:tcPr>
            <w:tcW w:w="74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3,589</w:t>
            </w: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 through employee purchase plan</w:t>
            </w:r>
          </w:p>
        </w:tc>
        <w:tc>
          <w:tcPr>
            <w:tcW w:w="740" w:type="dxa"/>
            <w:vAlign w:val="bottom"/>
            <w:shd w:val="clear" w:color="auto" w:fill="CCEEFF"/>
          </w:tcPr>
          <w:p>
            <w:pPr>
              <w:spacing w:after="0"/>
              <w:rPr>
                <w:sz w:val="17"/>
                <w:szCs w:val="17"/>
                <w:color w:val="auto"/>
              </w:rPr>
            </w:pPr>
          </w:p>
        </w:tc>
        <w:tc>
          <w:tcPr>
            <w:tcW w:w="340" w:type="dxa"/>
            <w:vAlign w:val="bottom"/>
            <w:gridSpan w:val="2"/>
            <w:vMerge w:val="continue"/>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Purchase of 95,091 shares of treasury</w:t>
            </w:r>
          </w:p>
        </w:tc>
        <w:tc>
          <w:tcPr>
            <w:tcW w:w="740" w:type="dxa"/>
            <w:vAlign w:val="bottom"/>
          </w:tcPr>
          <w:p>
            <w:pPr>
              <w:spacing w:after="0"/>
              <w:rPr>
                <w:sz w:val="11"/>
                <w:szCs w:val="11"/>
                <w:color w:val="auto"/>
              </w:rPr>
            </w:pPr>
          </w:p>
        </w:tc>
        <w:tc>
          <w:tcPr>
            <w:tcW w:w="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1"/>
                <w:szCs w:val="11"/>
                <w:color w:val="auto"/>
              </w:rPr>
            </w:pPr>
          </w:p>
        </w:tc>
        <w:tc>
          <w:tcPr>
            <w:tcW w:w="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1"/>
                <w:szCs w:val="11"/>
                <w:color w:val="auto"/>
              </w:rPr>
            </w:pPr>
          </w:p>
        </w:tc>
        <w:tc>
          <w:tcPr>
            <w:tcW w:w="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(10,446)</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(10,446)</w:t>
            </w:r>
          </w:p>
        </w:tc>
        <w:tc>
          <w:tcPr>
            <w:tcW w:w="0" w:type="dxa"/>
            <w:vAlign w:val="bottom"/>
          </w:tcPr>
          <w:p>
            <w:pPr>
              <w:spacing w:after="0"/>
              <w:rPr>
                <w:sz w:val="1"/>
                <w:szCs w:val="1"/>
                <w:color w:val="auto"/>
              </w:rPr>
            </w:pPr>
          </w:p>
        </w:tc>
      </w:tr>
      <w:tr>
        <w:trPr>
          <w:trHeight w:val="195"/>
        </w:trPr>
        <w:tc>
          <w:tcPr>
            <w:tcW w:w="2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w:t>
            </w:r>
          </w:p>
        </w:tc>
        <w:tc>
          <w:tcPr>
            <w:tcW w:w="74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7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0" w:type="dxa"/>
            <w:vAlign w:val="bottom"/>
          </w:tcPr>
          <w:p>
            <w:pPr>
              <w:spacing w:after="0"/>
              <w:rPr>
                <w:sz w:val="1"/>
                <w:szCs w:val="1"/>
                <w:color w:val="auto"/>
              </w:rPr>
            </w:pPr>
          </w:p>
        </w:tc>
      </w:tr>
      <w:tr>
        <w:trPr>
          <w:trHeight w:val="195"/>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740" w:type="dxa"/>
            <w:vAlign w:val="bottom"/>
          </w:tcPr>
          <w:p>
            <w:pPr>
              <w:spacing w:after="0"/>
              <w:rPr>
                <w:sz w:val="16"/>
                <w:szCs w:val="16"/>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92,151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92,151</w:t>
            </w:r>
          </w:p>
        </w:tc>
        <w:tc>
          <w:tcPr>
            <w:tcW w:w="0" w:type="dxa"/>
            <w:vAlign w:val="bottom"/>
          </w:tcPr>
          <w:p>
            <w:pPr>
              <w:spacing w:after="0"/>
              <w:rPr>
                <w:sz w:val="1"/>
                <w:szCs w:val="1"/>
                <w:color w:val="auto"/>
              </w:rPr>
            </w:pPr>
          </w:p>
        </w:tc>
      </w:tr>
      <w:tr>
        <w:trPr>
          <w:trHeight w:val="142"/>
        </w:trPr>
        <w:tc>
          <w:tcPr>
            <w:tcW w:w="24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Dividends/distributions to common</w:t>
            </w: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460" w:type="dxa"/>
            <w:vAlign w:val="bottom"/>
            <w:shd w:val="clear" w:color="auto" w:fill="CCEEFF"/>
          </w:tcPr>
          <w:p>
            <w:pPr>
              <w:ind w:left="180"/>
              <w:spacing w:after="0" w:line="139" w:lineRule="exact"/>
              <w:rPr>
                <w:sz w:val="20"/>
                <w:szCs w:val="20"/>
                <w:color w:val="auto"/>
              </w:rPr>
            </w:pPr>
            <w:r>
              <w:rPr>
                <w:rFonts w:ascii="Times New Roman" w:cs="Times New Roman" w:eastAsia="Times New Roman" w:hAnsi="Times New Roman"/>
                <w:sz w:val="14"/>
                <w:szCs w:val="14"/>
                <w:color w:val="auto"/>
              </w:rPr>
              <w:t>shareholders ($1.10 per common</w:t>
            </w:r>
          </w:p>
        </w:tc>
        <w:tc>
          <w:tcPr>
            <w:tcW w:w="74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(111,602)</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(111,602)</w:t>
            </w:r>
          </w:p>
        </w:tc>
        <w:tc>
          <w:tcPr>
            <w:tcW w:w="0" w:type="dxa"/>
            <w:vAlign w:val="bottom"/>
          </w:tcPr>
          <w:p>
            <w:pPr>
              <w:spacing w:after="0"/>
              <w:rPr>
                <w:sz w:val="1"/>
                <w:szCs w:val="1"/>
                <w:color w:val="auto"/>
              </w:rPr>
            </w:pPr>
          </w:p>
        </w:tc>
      </w:tr>
      <w:tr>
        <w:trPr>
          <w:trHeight w:val="192"/>
        </w:trPr>
        <w:tc>
          <w:tcPr>
            <w:tcW w:w="2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w:t>
            </w:r>
          </w:p>
        </w:tc>
        <w:tc>
          <w:tcPr>
            <w:tcW w:w="7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gridSpan w:val="2"/>
            <w:vMerge w:val="continue"/>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gridSpan w:val="2"/>
            <w:vMerge w:val="continue"/>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gridSpan w:val="2"/>
            <w:vMerge w:val="continue"/>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vMerge w:val="continue"/>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($15.95 per preferred share)</w:t>
            </w:r>
          </w:p>
        </w:tc>
        <w:tc>
          <w:tcPr>
            <w:tcW w:w="740" w:type="dxa"/>
            <w:vAlign w:val="bottom"/>
          </w:tcPr>
          <w:p>
            <w:pPr>
              <w:spacing w:after="0"/>
              <w:rPr>
                <w:sz w:val="17"/>
                <w:szCs w:val="17"/>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7"/>
                <w:szCs w:val="17"/>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7"/>
                <w:szCs w:val="17"/>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203"/>
        </w:trPr>
        <w:tc>
          <w:tcPr>
            <w:tcW w:w="2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March 31, 2022</w:t>
            </w:r>
          </w:p>
        </w:tc>
        <w:tc>
          <w:tcPr>
            <w:tcW w:w="740" w:type="dxa"/>
            <w:vAlign w:val="bottom"/>
            <w:tcBorders>
              <w:top w:val="single" w:sz="8" w:color="auto"/>
              <w:bottom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ind w:right="576"/>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ind w:right="576"/>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(61,298)</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2,037,845</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1,169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(753,957)</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1,223,861</w:t>
            </w:r>
          </w:p>
        </w:tc>
        <w:tc>
          <w:tcPr>
            <w:tcW w:w="0" w:type="dxa"/>
            <w:vAlign w:val="bottom"/>
          </w:tcPr>
          <w:p>
            <w:pPr>
              <w:spacing w:after="0"/>
              <w:rPr>
                <w:sz w:val="1"/>
                <w:szCs w:val="1"/>
                <w:color w:val="auto"/>
              </w:rPr>
            </w:pPr>
          </w:p>
        </w:tc>
      </w:tr>
      <w:tr>
        <w:trPr>
          <w:trHeight w:val="189"/>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Non-cash compensation</w:t>
            </w:r>
          </w:p>
        </w:tc>
        <w:tc>
          <w:tcPr>
            <w:tcW w:w="740" w:type="dxa"/>
            <w:vAlign w:val="bottom"/>
          </w:tcPr>
          <w:p>
            <w:pPr>
              <w:spacing w:after="0"/>
              <w:rPr>
                <w:sz w:val="16"/>
                <w:szCs w:val="16"/>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1,356</w:t>
            </w:r>
          </w:p>
        </w:tc>
        <w:tc>
          <w:tcPr>
            <w:tcW w:w="0" w:type="dxa"/>
            <w:vAlign w:val="bottom"/>
          </w:tcPr>
          <w:p>
            <w:pPr>
              <w:spacing w:after="0"/>
              <w:rPr>
                <w:sz w:val="1"/>
                <w:szCs w:val="1"/>
                <w:color w:val="auto"/>
              </w:rPr>
            </w:pPr>
          </w:p>
        </w:tc>
      </w:tr>
      <w:tr>
        <w:trPr>
          <w:trHeight w:val="142"/>
        </w:trPr>
        <w:tc>
          <w:tcPr>
            <w:tcW w:w="24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Issuance of 7,197 shares of common</w:t>
            </w:r>
          </w:p>
        </w:tc>
        <w:tc>
          <w:tcPr>
            <w:tcW w:w="74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 through stock awards</w:t>
            </w:r>
          </w:p>
        </w:tc>
        <w:tc>
          <w:tcPr>
            <w:tcW w:w="740" w:type="dxa"/>
            <w:vAlign w:val="bottom"/>
            <w:shd w:val="clear" w:color="auto" w:fill="CCEEFF"/>
          </w:tcPr>
          <w:p>
            <w:pPr>
              <w:spacing w:after="0"/>
              <w:rPr>
                <w:sz w:val="17"/>
                <w:szCs w:val="17"/>
                <w:color w:val="auto"/>
              </w:rPr>
            </w:pPr>
          </w:p>
        </w:tc>
        <w:tc>
          <w:tcPr>
            <w:tcW w:w="340" w:type="dxa"/>
            <w:vAlign w:val="bottom"/>
            <w:gridSpan w:val="2"/>
            <w:vMerge w:val="continue"/>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Exercise of 13,131 shares of stock</w:t>
            </w:r>
          </w:p>
        </w:tc>
        <w:tc>
          <w:tcPr>
            <w:tcW w:w="740" w:type="dxa"/>
            <w:vAlign w:val="bottom"/>
          </w:tcPr>
          <w:p>
            <w:pPr>
              <w:spacing w:after="0"/>
              <w:rPr>
                <w:sz w:val="11"/>
                <w:szCs w:val="11"/>
                <w:color w:val="auto"/>
              </w:rPr>
            </w:pPr>
          </w:p>
        </w:tc>
        <w:tc>
          <w:tcPr>
            <w:tcW w:w="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1"/>
                <w:szCs w:val="11"/>
                <w:color w:val="auto"/>
              </w:rPr>
            </w:pPr>
          </w:p>
        </w:tc>
        <w:tc>
          <w:tcPr>
            <w:tcW w:w="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1"/>
                <w:szCs w:val="11"/>
                <w:color w:val="auto"/>
              </w:rPr>
            </w:pPr>
          </w:p>
        </w:tc>
        <w:tc>
          <w:tcPr>
            <w:tcW w:w="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92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599</w:t>
            </w:r>
          </w:p>
        </w:tc>
        <w:tc>
          <w:tcPr>
            <w:tcW w:w="0" w:type="dxa"/>
            <w:vAlign w:val="bottom"/>
          </w:tcPr>
          <w:p>
            <w:pPr>
              <w:spacing w:after="0"/>
              <w:rPr>
                <w:sz w:val="1"/>
                <w:szCs w:val="1"/>
                <w:color w:val="auto"/>
              </w:rPr>
            </w:pPr>
          </w:p>
        </w:tc>
      </w:tr>
      <w:tr>
        <w:trPr>
          <w:trHeight w:val="195"/>
        </w:trPr>
        <w:tc>
          <w:tcPr>
            <w:tcW w:w="2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options</w:t>
            </w:r>
          </w:p>
        </w:tc>
        <w:tc>
          <w:tcPr>
            <w:tcW w:w="74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4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Issuance of 32,172 shares of common</w:t>
            </w:r>
          </w:p>
        </w:tc>
        <w:tc>
          <w:tcPr>
            <w:tcW w:w="74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2,406</w:t>
            </w: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 through employee purchase plan</w:t>
            </w:r>
          </w:p>
        </w:tc>
        <w:tc>
          <w:tcPr>
            <w:tcW w:w="740" w:type="dxa"/>
            <w:vAlign w:val="bottom"/>
            <w:shd w:val="clear" w:color="auto" w:fill="CCEEFF"/>
          </w:tcPr>
          <w:p>
            <w:pPr>
              <w:spacing w:after="0"/>
              <w:rPr>
                <w:sz w:val="17"/>
                <w:szCs w:val="17"/>
                <w:color w:val="auto"/>
              </w:rPr>
            </w:pPr>
          </w:p>
        </w:tc>
        <w:tc>
          <w:tcPr>
            <w:tcW w:w="340" w:type="dxa"/>
            <w:vAlign w:val="bottom"/>
            <w:gridSpan w:val="2"/>
            <w:vMerge w:val="continue"/>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740" w:type="dxa"/>
            <w:vAlign w:val="bottom"/>
          </w:tcPr>
          <w:p>
            <w:pPr>
              <w:spacing w:after="0"/>
              <w:rPr>
                <w:sz w:val="16"/>
                <w:szCs w:val="16"/>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w:t>
            </w:r>
          </w:p>
        </w:tc>
        <w:tc>
          <w:tcPr>
            <w:tcW w:w="0" w:type="dxa"/>
            <w:vAlign w:val="bottom"/>
          </w:tcPr>
          <w:p>
            <w:pPr>
              <w:spacing w:after="0"/>
              <w:rPr>
                <w:sz w:val="1"/>
                <w:szCs w:val="1"/>
                <w:color w:val="auto"/>
              </w:rPr>
            </w:pPr>
          </w:p>
        </w:tc>
      </w:tr>
      <w:tr>
        <w:trPr>
          <w:trHeight w:val="210"/>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7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134,205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134,205</w:t>
            </w: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Dividends/distributions to common</w:t>
            </w: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460" w:type="dxa"/>
            <w:vAlign w:val="bottom"/>
          </w:tcPr>
          <w:p>
            <w:pPr>
              <w:ind w:left="180"/>
              <w:spacing w:after="0" w:line="139" w:lineRule="exact"/>
              <w:rPr>
                <w:sz w:val="20"/>
                <w:szCs w:val="20"/>
                <w:color w:val="auto"/>
              </w:rPr>
            </w:pPr>
            <w:r>
              <w:rPr>
                <w:rFonts w:ascii="Times New Roman" w:cs="Times New Roman" w:eastAsia="Times New Roman" w:hAnsi="Times New Roman"/>
                <w:sz w:val="14"/>
                <w:szCs w:val="14"/>
                <w:color w:val="auto"/>
              </w:rPr>
              <w:t>shareholders ($1.20 per common</w:t>
            </w:r>
          </w:p>
        </w:tc>
        <w:tc>
          <w:tcPr>
            <w:tcW w:w="740" w:type="dxa"/>
            <w:vAlign w:val="bottom"/>
          </w:tcPr>
          <w:p>
            <w:pPr>
              <w:spacing w:after="0"/>
              <w:rPr>
                <w:sz w:val="12"/>
                <w:szCs w:val="12"/>
                <w:color w:val="auto"/>
              </w:rPr>
            </w:pPr>
          </w:p>
        </w:tc>
        <w:tc>
          <w:tcPr>
            <w:tcW w:w="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2"/>
                <w:szCs w:val="12"/>
                <w:color w:val="auto"/>
              </w:rPr>
            </w:pPr>
          </w:p>
        </w:tc>
        <w:tc>
          <w:tcPr>
            <w:tcW w:w="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2"/>
                <w:szCs w:val="12"/>
                <w:color w:val="auto"/>
              </w:rPr>
            </w:pPr>
          </w:p>
        </w:tc>
        <w:tc>
          <w:tcPr>
            <w:tcW w:w="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2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(121,808)</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(121,808)</w:t>
            </w:r>
          </w:p>
        </w:tc>
        <w:tc>
          <w:tcPr>
            <w:tcW w:w="0" w:type="dxa"/>
            <w:vAlign w:val="bottom"/>
          </w:tcPr>
          <w:p>
            <w:pPr>
              <w:spacing w:after="0"/>
              <w:rPr>
                <w:sz w:val="1"/>
                <w:szCs w:val="1"/>
                <w:color w:val="auto"/>
              </w:rPr>
            </w:pPr>
          </w:p>
        </w:tc>
      </w:tr>
      <w:tr>
        <w:trPr>
          <w:trHeight w:val="188"/>
        </w:trPr>
        <w:tc>
          <w:tcPr>
            <w:tcW w:w="2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w:t>
            </w:r>
          </w:p>
        </w:tc>
        <w:tc>
          <w:tcPr>
            <w:tcW w:w="74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($15.95 per preferred share)</w:t>
            </w:r>
          </w:p>
        </w:tc>
        <w:tc>
          <w:tcPr>
            <w:tcW w:w="7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189"/>
        </w:trPr>
        <w:tc>
          <w:tcPr>
            <w:tcW w:w="24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Balance, June 30, 2022</w:t>
            </w:r>
          </w:p>
        </w:tc>
        <w:tc>
          <w:tcPr>
            <w:tcW w:w="740" w:type="dxa"/>
            <w:vAlign w:val="bottom"/>
            <w:tcBorders>
              <w:top w:val="single" w:sz="8" w:color="auto"/>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Borders>
              <w:bottom w:val="single" w:sz="8" w:color="CFF0FC"/>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FF0FC"/>
            </w:tcBorders>
          </w:tcPr>
          <w:p>
            <w:pPr>
              <w:spacing w:after="0"/>
              <w:rPr>
                <w:sz w:val="16"/>
                <w:szCs w:val="16"/>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(61,298)</w:t>
            </w:r>
          </w:p>
        </w:tc>
        <w:tc>
          <w:tcPr>
            <w:tcW w:w="100" w:type="dxa"/>
            <w:vAlign w:val="bottom"/>
            <w:tcBorders>
              <w:bottom w:val="single" w:sz="8" w:color="CFF0FC"/>
            </w:tcBorders>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2,042,427</w:t>
            </w:r>
          </w:p>
        </w:tc>
        <w:tc>
          <w:tcPr>
            <w:tcW w:w="120" w:type="dxa"/>
            <w:vAlign w:val="bottom"/>
            <w:tcBorders>
              <w:bottom w:val="single" w:sz="8" w:color="CFF0FC"/>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486</w:t>
            </w:r>
          </w:p>
        </w:tc>
        <w:tc>
          <w:tcPr>
            <w:tcW w:w="100" w:type="dxa"/>
            <w:vAlign w:val="bottom"/>
            <w:tcBorders>
              <w:bottom w:val="single" w:sz="8" w:color="CFF0FC"/>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(741,651)</w:t>
            </w:r>
          </w:p>
        </w:tc>
        <w:tc>
          <w:tcPr>
            <w:tcW w:w="100" w:type="dxa"/>
            <w:vAlign w:val="bottom"/>
            <w:tcBorders>
              <w:bottom w:val="single" w:sz="8" w:color="CFF0FC"/>
            </w:tcBorders>
          </w:tcPr>
          <w:p>
            <w:pPr>
              <w:spacing w:after="0"/>
              <w:rPr>
                <w:sz w:val="16"/>
                <w:szCs w:val="16"/>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1,240,066</w:t>
            </w:r>
          </w:p>
        </w:tc>
        <w:tc>
          <w:tcPr>
            <w:tcW w:w="0" w:type="dxa"/>
            <w:vAlign w:val="bottom"/>
          </w:tcPr>
          <w:p>
            <w:pPr>
              <w:spacing w:after="0"/>
              <w:rPr>
                <w:sz w:val="1"/>
                <w:szCs w:val="1"/>
                <w:color w:val="auto"/>
              </w:rPr>
            </w:pPr>
          </w:p>
        </w:tc>
      </w:tr>
      <w:tr>
        <w:trPr>
          <w:trHeight w:val="203"/>
        </w:trPr>
        <w:tc>
          <w:tcPr>
            <w:tcW w:w="2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Non-cash compensation</w:t>
            </w:r>
          </w:p>
        </w:tc>
        <w:tc>
          <w:tcPr>
            <w:tcW w:w="740" w:type="dxa"/>
            <w:vAlign w:val="bottom"/>
            <w:shd w:val="clear" w:color="auto" w:fill="CFF0FC"/>
          </w:tcPr>
          <w:p>
            <w:pPr>
              <w:spacing w:after="0"/>
              <w:rPr>
                <w:sz w:val="17"/>
                <w:szCs w:val="17"/>
                <w:color w:val="auto"/>
              </w:rPr>
            </w:pPr>
          </w:p>
        </w:tc>
        <w:tc>
          <w:tcPr>
            <w:tcW w:w="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4,283</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4,283</w:t>
            </w: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Exercise of 114,440 shares of stock</w:t>
            </w:r>
          </w:p>
        </w:tc>
        <w:tc>
          <w:tcPr>
            <w:tcW w:w="740" w:type="dxa"/>
            <w:vAlign w:val="bottom"/>
          </w:tcPr>
          <w:p>
            <w:pPr>
              <w:spacing w:after="0"/>
              <w:rPr>
                <w:sz w:val="11"/>
                <w:szCs w:val="11"/>
                <w:color w:val="auto"/>
              </w:rPr>
            </w:pPr>
          </w:p>
        </w:tc>
        <w:tc>
          <w:tcPr>
            <w:tcW w:w="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1"/>
                <w:szCs w:val="11"/>
                <w:color w:val="auto"/>
              </w:rPr>
            </w:pPr>
          </w:p>
        </w:tc>
        <w:tc>
          <w:tcPr>
            <w:tcW w:w="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1"/>
                <w:szCs w:val="11"/>
                <w:color w:val="auto"/>
              </w:rPr>
            </w:pPr>
          </w:p>
        </w:tc>
        <w:tc>
          <w:tcPr>
            <w:tcW w:w="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92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4,945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4,945</w:t>
            </w:r>
          </w:p>
        </w:tc>
        <w:tc>
          <w:tcPr>
            <w:tcW w:w="0" w:type="dxa"/>
            <w:vAlign w:val="bottom"/>
          </w:tcPr>
          <w:p>
            <w:pPr>
              <w:spacing w:after="0"/>
              <w:rPr>
                <w:sz w:val="1"/>
                <w:szCs w:val="1"/>
                <w:color w:val="auto"/>
              </w:rPr>
            </w:pPr>
          </w:p>
        </w:tc>
      </w:tr>
      <w:tr>
        <w:trPr>
          <w:trHeight w:val="195"/>
        </w:trPr>
        <w:tc>
          <w:tcPr>
            <w:tcW w:w="2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options</w:t>
            </w:r>
          </w:p>
        </w:tc>
        <w:tc>
          <w:tcPr>
            <w:tcW w:w="74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4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Issuance of shares 35,016 of common</w:t>
            </w:r>
          </w:p>
        </w:tc>
        <w:tc>
          <w:tcPr>
            <w:tcW w:w="74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2,455</w:t>
            </w: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 through employee purchase plan</w:t>
            </w:r>
          </w:p>
        </w:tc>
        <w:tc>
          <w:tcPr>
            <w:tcW w:w="740" w:type="dxa"/>
            <w:vAlign w:val="bottom"/>
            <w:shd w:val="clear" w:color="auto" w:fill="CCEEFF"/>
          </w:tcPr>
          <w:p>
            <w:pPr>
              <w:spacing w:after="0"/>
              <w:rPr>
                <w:sz w:val="17"/>
                <w:szCs w:val="17"/>
                <w:color w:val="auto"/>
              </w:rPr>
            </w:pPr>
          </w:p>
        </w:tc>
        <w:tc>
          <w:tcPr>
            <w:tcW w:w="340" w:type="dxa"/>
            <w:vAlign w:val="bottom"/>
            <w:gridSpan w:val="2"/>
            <w:vMerge w:val="continue"/>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of 588 shares of treasury stock</w:t>
            </w:r>
          </w:p>
        </w:tc>
        <w:tc>
          <w:tcPr>
            <w:tcW w:w="740" w:type="dxa"/>
            <w:vAlign w:val="bottom"/>
          </w:tcPr>
          <w:p>
            <w:pPr>
              <w:spacing w:after="0"/>
              <w:rPr>
                <w:sz w:val="16"/>
                <w:szCs w:val="16"/>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210"/>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7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(1,401)</w:t>
            </w:r>
          </w:p>
        </w:tc>
        <w:tc>
          <w:tcPr>
            <w:tcW w:w="0" w:type="dxa"/>
            <w:vAlign w:val="bottom"/>
          </w:tcPr>
          <w:p>
            <w:pPr>
              <w:spacing w:after="0"/>
              <w:rPr>
                <w:sz w:val="1"/>
                <w:szCs w:val="1"/>
                <w:color w:val="auto"/>
              </w:rPr>
            </w:pPr>
          </w:p>
        </w:tc>
      </w:tr>
      <w:tr>
        <w:trPr>
          <w:trHeight w:val="195"/>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740" w:type="dxa"/>
            <w:vAlign w:val="bottom"/>
          </w:tcPr>
          <w:p>
            <w:pPr>
              <w:spacing w:after="0"/>
              <w:rPr>
                <w:sz w:val="16"/>
                <w:szCs w:val="16"/>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146,188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146,188</w:t>
            </w:r>
          </w:p>
        </w:tc>
        <w:tc>
          <w:tcPr>
            <w:tcW w:w="0" w:type="dxa"/>
            <w:vAlign w:val="bottom"/>
          </w:tcPr>
          <w:p>
            <w:pPr>
              <w:spacing w:after="0"/>
              <w:rPr>
                <w:sz w:val="1"/>
                <w:szCs w:val="1"/>
                <w:color w:val="auto"/>
              </w:rPr>
            </w:pPr>
          </w:p>
        </w:tc>
      </w:tr>
      <w:tr>
        <w:trPr>
          <w:trHeight w:val="142"/>
        </w:trPr>
        <w:tc>
          <w:tcPr>
            <w:tcW w:w="24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Dividends/distributions to common</w:t>
            </w: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460" w:type="dxa"/>
            <w:vAlign w:val="bottom"/>
            <w:shd w:val="clear" w:color="auto" w:fill="CCEEFF"/>
          </w:tcPr>
          <w:p>
            <w:pPr>
              <w:ind w:left="180"/>
              <w:spacing w:after="0" w:line="139" w:lineRule="exact"/>
              <w:rPr>
                <w:sz w:val="20"/>
                <w:szCs w:val="20"/>
                <w:color w:val="auto"/>
              </w:rPr>
            </w:pPr>
            <w:r>
              <w:rPr>
                <w:rFonts w:ascii="Times New Roman" w:cs="Times New Roman" w:eastAsia="Times New Roman" w:hAnsi="Times New Roman"/>
                <w:sz w:val="14"/>
                <w:szCs w:val="14"/>
                <w:color w:val="auto"/>
              </w:rPr>
              <w:t>shareholders ($1.20 per common</w:t>
            </w:r>
          </w:p>
        </w:tc>
        <w:tc>
          <w:tcPr>
            <w:tcW w:w="74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(122,100)</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(122,100)</w:t>
            </w:r>
          </w:p>
        </w:tc>
        <w:tc>
          <w:tcPr>
            <w:tcW w:w="0" w:type="dxa"/>
            <w:vAlign w:val="bottom"/>
          </w:tcPr>
          <w:p>
            <w:pPr>
              <w:spacing w:after="0"/>
              <w:rPr>
                <w:sz w:val="1"/>
                <w:szCs w:val="1"/>
                <w:color w:val="auto"/>
              </w:rPr>
            </w:pPr>
          </w:p>
        </w:tc>
      </w:tr>
      <w:tr>
        <w:trPr>
          <w:trHeight w:val="192"/>
        </w:trPr>
        <w:tc>
          <w:tcPr>
            <w:tcW w:w="2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w:t>
            </w:r>
          </w:p>
        </w:tc>
        <w:tc>
          <w:tcPr>
            <w:tcW w:w="7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gridSpan w:val="2"/>
            <w:vMerge w:val="continue"/>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gridSpan w:val="2"/>
            <w:vMerge w:val="continue"/>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gridSpan w:val="2"/>
            <w:vMerge w:val="continue"/>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vMerge w:val="continue"/>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($15.95 per preferred share)</w:t>
            </w:r>
          </w:p>
        </w:tc>
        <w:tc>
          <w:tcPr>
            <w:tcW w:w="740" w:type="dxa"/>
            <w:vAlign w:val="bottom"/>
          </w:tcPr>
          <w:p>
            <w:pPr>
              <w:spacing w:after="0"/>
              <w:rPr>
                <w:sz w:val="17"/>
                <w:szCs w:val="17"/>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7"/>
                <w:szCs w:val="17"/>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7"/>
                <w:szCs w:val="17"/>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228"/>
        </w:trPr>
        <w:tc>
          <w:tcPr>
            <w:tcW w:w="2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September 30, 2022</w:t>
            </w:r>
          </w:p>
        </w:tc>
        <w:tc>
          <w:tcPr>
            <w:tcW w:w="740" w:type="dxa"/>
            <w:vAlign w:val="bottom"/>
            <w:tcBorders>
              <w:top w:val="single" w:sz="8" w:color="auto"/>
              <w:bottom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ind w:right="576"/>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ind w:right="576"/>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2,054,110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(717,654)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1,274,285</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8" w:lineRule="exact"/>
        <w:rPr>
          <w:sz w:val="20"/>
          <w:szCs w:val="20"/>
          <w:color w:val="auto"/>
        </w:rPr>
      </w:pPr>
    </w:p>
    <w:tbl>
      <w:tblPr>
        <w:tblLayout w:type="fixed"/>
        <w:tblInd w:w="60" w:type="dxa"/>
        <w:tblCellMar>
          <w:top w:w="0" w:type="dxa"/>
          <w:left w:w="0" w:type="dxa"/>
          <w:bottom w:w="0" w:type="dxa"/>
          <w:right w:w="0" w:type="dxa"/>
        </w:tblCellMar>
      </w:tblPr>
      <w:tr>
        <w:trPr>
          <w:trHeight w:val="126"/>
        </w:trPr>
        <w:tc>
          <w:tcPr>
            <w:tcW w:w="2460" w:type="dxa"/>
            <w:vAlign w:val="bottom"/>
          </w:tcPr>
          <w:p>
            <w:pPr>
              <w:spacing w:after="0"/>
              <w:rPr>
                <w:sz w:val="11"/>
                <w:szCs w:val="11"/>
                <w:color w:val="auto"/>
              </w:rPr>
            </w:pPr>
          </w:p>
        </w:tc>
        <w:tc>
          <w:tcPr>
            <w:tcW w:w="740" w:type="dxa"/>
            <w:vAlign w:val="bottom"/>
          </w:tcPr>
          <w:p>
            <w:pPr>
              <w:jc w:val="center"/>
              <w:ind w:left="176"/>
              <w:spacing w:after="0"/>
              <w:rPr>
                <w:sz w:val="20"/>
                <w:szCs w:val="20"/>
                <w:color w:val="auto"/>
              </w:rPr>
            </w:pPr>
            <w:r>
              <w:rPr>
                <w:rFonts w:ascii="Times New Roman" w:cs="Times New Roman" w:eastAsia="Times New Roman" w:hAnsi="Times New Roman"/>
                <w:sz w:val="11"/>
                <w:szCs w:val="11"/>
                <w:b w:val="1"/>
                <w:bCs w:val="1"/>
                <w:color w:val="auto"/>
                <w:w w:val="98"/>
              </w:rPr>
              <w:t>Series AA</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Treasury</w:t>
            </w:r>
          </w:p>
        </w:tc>
        <w:tc>
          <w:tcPr>
            <w:tcW w:w="220" w:type="dxa"/>
            <w:vAlign w:val="bottom"/>
          </w:tcPr>
          <w:p>
            <w:pPr>
              <w:spacing w:after="0"/>
              <w:rPr>
                <w:sz w:val="11"/>
                <w:szCs w:val="11"/>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6"/>
              </w:rPr>
              <w:t>Add’l</w:t>
            </w:r>
          </w:p>
        </w:tc>
        <w:tc>
          <w:tcPr>
            <w:tcW w:w="100" w:type="dxa"/>
            <w:vAlign w:val="bottom"/>
          </w:tcPr>
          <w:p>
            <w:pPr>
              <w:spacing w:after="0"/>
              <w:rPr>
                <w:sz w:val="11"/>
                <w:szCs w:val="11"/>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40" w:type="dxa"/>
            <w:vAlign w:val="bottom"/>
          </w:tcPr>
          <w:p>
            <w:pPr>
              <w:spacing w:after="0"/>
              <w:rPr>
                <w:sz w:val="11"/>
                <w:szCs w:val="11"/>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460" w:type="dxa"/>
            <w:vAlign w:val="bottom"/>
          </w:tcPr>
          <w:p>
            <w:pPr>
              <w:spacing w:after="0"/>
              <w:rPr>
                <w:sz w:val="9"/>
                <w:szCs w:val="9"/>
                <w:color w:val="auto"/>
              </w:rPr>
            </w:pPr>
          </w:p>
        </w:tc>
        <w:tc>
          <w:tcPr>
            <w:tcW w:w="740" w:type="dxa"/>
            <w:vAlign w:val="bottom"/>
          </w:tcPr>
          <w:p>
            <w:pPr>
              <w:jc w:val="center"/>
              <w:ind w:left="156"/>
              <w:spacing w:after="0" w:line="108" w:lineRule="exact"/>
              <w:rPr>
                <w:sz w:val="20"/>
                <w:szCs w:val="20"/>
                <w:color w:val="auto"/>
              </w:rPr>
            </w:pPr>
            <w:r>
              <w:rPr>
                <w:rFonts w:ascii="Times New Roman" w:cs="Times New Roman" w:eastAsia="Times New Roman" w:hAnsi="Times New Roman"/>
                <w:sz w:val="11"/>
                <w:szCs w:val="11"/>
                <w:b w:val="1"/>
                <w:bCs w:val="1"/>
                <w:color w:val="auto"/>
                <w:w w:val="97"/>
              </w:rPr>
              <w:t>PREF</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jc w:val="right"/>
              <w:ind w:right="37"/>
              <w:spacing w:after="0" w:line="108" w:lineRule="exact"/>
              <w:rPr>
                <w:sz w:val="20"/>
                <w:szCs w:val="20"/>
                <w:color w:val="auto"/>
              </w:rPr>
            </w:pPr>
            <w:r>
              <w:rPr>
                <w:rFonts w:ascii="Times New Roman" w:cs="Times New Roman" w:eastAsia="Times New Roman" w:hAnsi="Times New Roman"/>
                <w:sz w:val="11"/>
                <w:szCs w:val="11"/>
                <w:b w:val="1"/>
                <w:bCs w:val="1"/>
                <w:color w:val="auto"/>
              </w:rPr>
              <w:t>CMN</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jc w:val="right"/>
              <w:ind w:right="37"/>
              <w:spacing w:after="0" w:line="108" w:lineRule="exact"/>
              <w:rPr>
                <w:sz w:val="20"/>
                <w:szCs w:val="20"/>
                <w:color w:val="auto"/>
              </w:rPr>
            </w:pPr>
            <w:r>
              <w:rPr>
                <w:rFonts w:ascii="Times New Roman" w:cs="Times New Roman" w:eastAsia="Times New Roman" w:hAnsi="Times New Roman"/>
                <w:sz w:val="11"/>
                <w:szCs w:val="11"/>
                <w:b w:val="1"/>
                <w:bCs w:val="1"/>
                <w:color w:val="auto"/>
              </w:rPr>
              <w:t>CMN</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gridSpan w:val="2"/>
          </w:tcPr>
          <w:p>
            <w:pPr>
              <w:jc w:val="center"/>
              <w:ind w:right="340"/>
              <w:spacing w:after="0" w:line="108" w:lineRule="exact"/>
              <w:rPr>
                <w:sz w:val="20"/>
                <w:szCs w:val="20"/>
                <w:color w:val="auto"/>
              </w:rPr>
            </w:pPr>
            <w:r>
              <w:rPr>
                <w:rFonts w:ascii="Times New Roman" w:cs="Times New Roman" w:eastAsia="Times New Roman" w:hAnsi="Times New Roman"/>
                <w:sz w:val="11"/>
                <w:szCs w:val="11"/>
                <w:b w:val="1"/>
                <w:bCs w:val="1"/>
                <w:color w:val="auto"/>
                <w:w w:val="95"/>
              </w:rPr>
              <w:t>Paid in</w:t>
            </w:r>
          </w:p>
        </w:tc>
        <w:tc>
          <w:tcPr>
            <w:tcW w:w="100" w:type="dxa"/>
            <w:vAlign w:val="bottom"/>
          </w:tcPr>
          <w:p>
            <w:pPr>
              <w:spacing w:after="0"/>
              <w:rPr>
                <w:sz w:val="9"/>
                <w:szCs w:val="9"/>
                <w:color w:val="auto"/>
              </w:rPr>
            </w:pPr>
          </w:p>
        </w:tc>
        <w:tc>
          <w:tcPr>
            <w:tcW w:w="100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4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vMerge w:val="restart"/>
          </w:tcPr>
          <w:p>
            <w:pPr>
              <w:jc w:val="right"/>
              <w:ind w:right="309"/>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5"/>
        </w:trPr>
        <w:tc>
          <w:tcPr>
            <w:tcW w:w="2460" w:type="dxa"/>
            <w:vAlign w:val="bottom"/>
          </w:tcPr>
          <w:p>
            <w:pPr>
              <w:spacing w:after="0"/>
              <w:rPr>
                <w:sz w:val="13"/>
                <w:szCs w:val="13"/>
                <w:color w:val="auto"/>
              </w:rPr>
            </w:pPr>
          </w:p>
        </w:tc>
        <w:tc>
          <w:tcPr>
            <w:tcW w:w="740" w:type="dxa"/>
            <w:vAlign w:val="bottom"/>
          </w:tcPr>
          <w:p>
            <w:pPr>
              <w:jc w:val="center"/>
              <w:ind w:left="176"/>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37"/>
              <w:spacing w:after="0"/>
              <w:rPr>
                <w:sz w:val="20"/>
                <w:szCs w:val="20"/>
                <w:color w:val="auto"/>
              </w:rPr>
            </w:pPr>
            <w:r>
              <w:rPr>
                <w:rFonts w:ascii="Times New Roman" w:cs="Times New Roman" w:eastAsia="Times New Roman" w:hAnsi="Times New Roman"/>
                <w:sz w:val="11"/>
                <w:szCs w:val="11"/>
                <w:b w:val="1"/>
                <w:bCs w:val="1"/>
                <w:color w:val="auto"/>
              </w:rPr>
              <w:t>Stock</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37"/>
              <w:spacing w:after="0"/>
              <w:rPr>
                <w:sz w:val="20"/>
                <w:szCs w:val="20"/>
                <w:color w:val="auto"/>
              </w:rPr>
            </w:pPr>
            <w:r>
              <w:rPr>
                <w:rFonts w:ascii="Times New Roman" w:cs="Times New Roman" w:eastAsia="Times New Roman" w:hAnsi="Times New Roman"/>
                <w:sz w:val="11"/>
                <w:szCs w:val="11"/>
                <w:b w:val="1"/>
                <w:bCs w:val="1"/>
                <w:color w:val="auto"/>
              </w:rPr>
              <w:t>Stock</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Stock</w:t>
            </w:r>
          </w:p>
        </w:tc>
        <w:tc>
          <w:tcPr>
            <w:tcW w:w="220" w:type="dxa"/>
            <w:vAlign w:val="bottom"/>
          </w:tcPr>
          <w:p>
            <w:pPr>
              <w:spacing w:after="0"/>
              <w:rPr>
                <w:sz w:val="13"/>
                <w:szCs w:val="13"/>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0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Income</w:t>
            </w:r>
          </w:p>
        </w:tc>
        <w:tc>
          <w:tcPr>
            <w:tcW w:w="140" w:type="dxa"/>
            <w:vAlign w:val="bottom"/>
          </w:tcPr>
          <w:p>
            <w:pPr>
              <w:spacing w:after="0"/>
              <w:rPr>
                <w:sz w:val="13"/>
                <w:szCs w:val="13"/>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2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2020</w:t>
            </w:r>
          </w:p>
        </w:tc>
        <w:tc>
          <w:tcPr>
            <w:tcW w:w="740" w:type="dxa"/>
            <w:vAlign w:val="bottom"/>
            <w:tcBorders>
              <w:top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577"/>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577"/>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(44,786)</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1,963,850</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934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(717,331)</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1,202,768</w:t>
            </w:r>
          </w:p>
        </w:tc>
        <w:tc>
          <w:tcPr>
            <w:tcW w:w="0" w:type="dxa"/>
            <w:vAlign w:val="bottom"/>
          </w:tcPr>
          <w:p>
            <w:pPr>
              <w:spacing w:after="0"/>
              <w:rPr>
                <w:sz w:val="1"/>
                <w:szCs w:val="1"/>
                <w:color w:val="auto"/>
              </w:rPr>
            </w:pPr>
          </w:p>
        </w:tc>
      </w:tr>
      <w:tr>
        <w:trPr>
          <w:trHeight w:val="195"/>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Non-cash compensation</w:t>
            </w:r>
          </w:p>
        </w:tc>
        <w:tc>
          <w:tcPr>
            <w:tcW w:w="740" w:type="dxa"/>
            <w:vAlign w:val="bottom"/>
          </w:tcPr>
          <w:p>
            <w:pPr>
              <w:spacing w:after="0"/>
              <w:rPr>
                <w:sz w:val="16"/>
                <w:szCs w:val="16"/>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1,060</w:t>
            </w:r>
          </w:p>
        </w:tc>
        <w:tc>
          <w:tcPr>
            <w:tcW w:w="0" w:type="dxa"/>
            <w:vAlign w:val="bottom"/>
          </w:tcPr>
          <w:p>
            <w:pPr>
              <w:spacing w:after="0"/>
              <w:rPr>
                <w:sz w:val="1"/>
                <w:szCs w:val="1"/>
                <w:color w:val="auto"/>
              </w:rPr>
            </w:pPr>
          </w:p>
        </w:tc>
      </w:tr>
      <w:tr>
        <w:trPr>
          <w:trHeight w:val="146"/>
        </w:trPr>
        <w:tc>
          <w:tcPr>
            <w:tcW w:w="246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Issuance of 149,000 shares of common</w:t>
            </w:r>
          </w:p>
        </w:tc>
        <w:tc>
          <w:tcPr>
            <w:tcW w:w="74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13,376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13,376</w:t>
            </w:r>
          </w:p>
        </w:tc>
        <w:tc>
          <w:tcPr>
            <w:tcW w:w="0" w:type="dxa"/>
            <w:vAlign w:val="bottom"/>
          </w:tcPr>
          <w:p>
            <w:pPr>
              <w:spacing w:after="0"/>
              <w:rPr>
                <w:sz w:val="1"/>
                <w:szCs w:val="1"/>
                <w:color w:val="auto"/>
              </w:rPr>
            </w:pPr>
          </w:p>
        </w:tc>
      </w:tr>
      <w:tr>
        <w:trPr>
          <w:trHeight w:val="198"/>
        </w:trPr>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 through stock awards</w:t>
            </w:r>
          </w:p>
        </w:tc>
        <w:tc>
          <w:tcPr>
            <w:tcW w:w="740" w:type="dxa"/>
            <w:vAlign w:val="bottom"/>
            <w:shd w:val="clear" w:color="auto" w:fill="CCEEFF"/>
          </w:tcPr>
          <w:p>
            <w:pPr>
              <w:spacing w:after="0"/>
              <w:rPr>
                <w:sz w:val="17"/>
                <w:szCs w:val="17"/>
                <w:color w:val="auto"/>
              </w:rPr>
            </w:pPr>
          </w:p>
        </w:tc>
        <w:tc>
          <w:tcPr>
            <w:tcW w:w="340" w:type="dxa"/>
            <w:vAlign w:val="bottom"/>
            <w:gridSpan w:val="2"/>
            <w:vMerge w:val="continue"/>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4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Exercise of 82,101 shares of stock</w:t>
            </w:r>
          </w:p>
        </w:tc>
        <w:tc>
          <w:tcPr>
            <w:tcW w:w="740" w:type="dxa"/>
            <w:vAlign w:val="bottom"/>
          </w:tcPr>
          <w:p>
            <w:pPr>
              <w:spacing w:after="0"/>
              <w:rPr>
                <w:sz w:val="12"/>
                <w:szCs w:val="12"/>
                <w:color w:val="auto"/>
              </w:rPr>
            </w:pPr>
          </w:p>
        </w:tc>
        <w:tc>
          <w:tcPr>
            <w:tcW w:w="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2"/>
                <w:szCs w:val="12"/>
                <w:color w:val="auto"/>
              </w:rPr>
            </w:pPr>
          </w:p>
        </w:tc>
        <w:tc>
          <w:tcPr>
            <w:tcW w:w="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2"/>
                <w:szCs w:val="12"/>
                <w:color w:val="auto"/>
              </w:rPr>
            </w:pPr>
          </w:p>
        </w:tc>
        <w:tc>
          <w:tcPr>
            <w:tcW w:w="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2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5,224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5,224</w:t>
            </w:r>
          </w:p>
        </w:tc>
        <w:tc>
          <w:tcPr>
            <w:tcW w:w="0" w:type="dxa"/>
            <w:vAlign w:val="bottom"/>
          </w:tcPr>
          <w:p>
            <w:pPr>
              <w:spacing w:after="0"/>
              <w:rPr>
                <w:sz w:val="1"/>
                <w:szCs w:val="1"/>
                <w:color w:val="auto"/>
              </w:rPr>
            </w:pPr>
          </w:p>
        </w:tc>
      </w:tr>
      <w:tr>
        <w:trPr>
          <w:trHeight w:val="193"/>
        </w:trPr>
        <w:tc>
          <w:tcPr>
            <w:tcW w:w="2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options</w:t>
            </w:r>
          </w:p>
        </w:tc>
        <w:tc>
          <w:tcPr>
            <w:tcW w:w="74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46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Issuance of 31,824 shares of common</w:t>
            </w:r>
          </w:p>
        </w:tc>
        <w:tc>
          <w:tcPr>
            <w:tcW w:w="74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2,172</w:t>
            </w:r>
          </w:p>
        </w:tc>
        <w:tc>
          <w:tcPr>
            <w:tcW w:w="0" w:type="dxa"/>
            <w:vAlign w:val="bottom"/>
          </w:tcPr>
          <w:p>
            <w:pPr>
              <w:spacing w:after="0"/>
              <w:rPr>
                <w:sz w:val="1"/>
                <w:szCs w:val="1"/>
                <w:color w:val="auto"/>
              </w:rPr>
            </w:pPr>
          </w:p>
        </w:tc>
      </w:tr>
      <w:tr>
        <w:trPr>
          <w:trHeight w:val="198"/>
        </w:trPr>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 through employee purchase plan</w:t>
            </w:r>
          </w:p>
        </w:tc>
        <w:tc>
          <w:tcPr>
            <w:tcW w:w="740" w:type="dxa"/>
            <w:vAlign w:val="bottom"/>
            <w:shd w:val="clear" w:color="auto" w:fill="CCEEFF"/>
          </w:tcPr>
          <w:p>
            <w:pPr>
              <w:spacing w:after="0"/>
              <w:rPr>
                <w:sz w:val="17"/>
                <w:szCs w:val="17"/>
                <w:color w:val="auto"/>
              </w:rPr>
            </w:pPr>
          </w:p>
        </w:tc>
        <w:tc>
          <w:tcPr>
            <w:tcW w:w="340" w:type="dxa"/>
            <w:vAlign w:val="bottom"/>
            <w:gridSpan w:val="2"/>
            <w:vMerge w:val="continue"/>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4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Purchase of 65,290 shares of treasury</w:t>
            </w:r>
          </w:p>
        </w:tc>
        <w:tc>
          <w:tcPr>
            <w:tcW w:w="740" w:type="dxa"/>
            <w:vAlign w:val="bottom"/>
          </w:tcPr>
          <w:p>
            <w:pPr>
              <w:spacing w:after="0"/>
              <w:rPr>
                <w:sz w:val="12"/>
                <w:szCs w:val="12"/>
                <w:color w:val="auto"/>
              </w:rPr>
            </w:pPr>
          </w:p>
        </w:tc>
        <w:tc>
          <w:tcPr>
            <w:tcW w:w="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2"/>
                <w:szCs w:val="12"/>
                <w:color w:val="auto"/>
              </w:rPr>
            </w:pPr>
          </w:p>
        </w:tc>
        <w:tc>
          <w:tcPr>
            <w:tcW w:w="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(5,717)</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(5,717)</w:t>
            </w:r>
          </w:p>
        </w:tc>
        <w:tc>
          <w:tcPr>
            <w:tcW w:w="0" w:type="dxa"/>
            <w:vAlign w:val="bottom"/>
          </w:tcPr>
          <w:p>
            <w:pPr>
              <w:spacing w:after="0"/>
              <w:rPr>
                <w:sz w:val="1"/>
                <w:szCs w:val="1"/>
                <w:color w:val="auto"/>
              </w:rPr>
            </w:pPr>
          </w:p>
        </w:tc>
      </w:tr>
      <w:tr>
        <w:trPr>
          <w:trHeight w:val="193"/>
        </w:trPr>
        <w:tc>
          <w:tcPr>
            <w:tcW w:w="2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w:t>
            </w:r>
          </w:p>
        </w:tc>
        <w:tc>
          <w:tcPr>
            <w:tcW w:w="74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7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0" w:type="dxa"/>
            <w:vAlign w:val="bottom"/>
          </w:tcPr>
          <w:p>
            <w:pPr>
              <w:spacing w:after="0"/>
              <w:rPr>
                <w:sz w:val="1"/>
                <w:szCs w:val="1"/>
                <w:color w:val="auto"/>
              </w:rPr>
            </w:pPr>
          </w:p>
        </w:tc>
      </w:tr>
      <w:tr>
        <w:trPr>
          <w:trHeight w:val="195"/>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740" w:type="dxa"/>
            <w:vAlign w:val="bottom"/>
          </w:tcPr>
          <w:p>
            <w:pPr>
              <w:spacing w:after="0"/>
              <w:rPr>
                <w:sz w:val="16"/>
                <w:szCs w:val="16"/>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38,329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38,329</w:t>
            </w:r>
          </w:p>
        </w:tc>
        <w:tc>
          <w:tcPr>
            <w:tcW w:w="0" w:type="dxa"/>
            <w:vAlign w:val="bottom"/>
          </w:tcPr>
          <w:p>
            <w:pPr>
              <w:spacing w:after="0"/>
              <w:rPr>
                <w:sz w:val="1"/>
                <w:szCs w:val="1"/>
                <w:color w:val="auto"/>
              </w:rPr>
            </w:pPr>
          </w:p>
        </w:tc>
      </w:tr>
      <w:tr>
        <w:trPr>
          <w:trHeight w:val="146"/>
        </w:trPr>
        <w:tc>
          <w:tcPr>
            <w:tcW w:w="246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Dividends/distributions to common</w:t>
            </w: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6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shareholders ($0.75 per common</w:t>
            </w:r>
          </w:p>
        </w:tc>
        <w:tc>
          <w:tcPr>
            <w:tcW w:w="74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(75,818)</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(75,818)</w:t>
            </w: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w:t>
            </w:r>
          </w:p>
        </w:tc>
        <w:tc>
          <w:tcPr>
            <w:tcW w:w="740" w:type="dxa"/>
            <w:vAlign w:val="bottom"/>
            <w:shd w:val="clear" w:color="auto" w:fill="CCEEFF"/>
          </w:tcPr>
          <w:p>
            <w:pPr>
              <w:spacing w:after="0"/>
              <w:rPr>
                <w:sz w:val="17"/>
                <w:szCs w:val="17"/>
                <w:color w:val="auto"/>
              </w:rPr>
            </w:pPr>
          </w:p>
        </w:tc>
        <w:tc>
          <w:tcPr>
            <w:tcW w:w="340" w:type="dxa"/>
            <w:vAlign w:val="bottom"/>
            <w:gridSpan w:val="2"/>
            <w:vMerge w:val="continue"/>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($15.95 per preferred share)</w:t>
            </w:r>
          </w:p>
        </w:tc>
        <w:tc>
          <w:tcPr>
            <w:tcW w:w="740" w:type="dxa"/>
            <w:vAlign w:val="bottom"/>
          </w:tcPr>
          <w:p>
            <w:pPr>
              <w:spacing w:after="0"/>
              <w:rPr>
                <w:sz w:val="17"/>
                <w:szCs w:val="17"/>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7"/>
                <w:szCs w:val="17"/>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7"/>
                <w:szCs w:val="17"/>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203"/>
        </w:trPr>
        <w:tc>
          <w:tcPr>
            <w:tcW w:w="2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March 31, 2021</w:t>
            </w:r>
          </w:p>
        </w:tc>
        <w:tc>
          <w:tcPr>
            <w:tcW w:w="740" w:type="dxa"/>
            <w:vAlign w:val="bottom"/>
            <w:tcBorders>
              <w:top w:val="single" w:sz="8" w:color="auto"/>
              <w:bottom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ind w:right="577"/>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ind w:right="577"/>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(50,503)</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1,985,682</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1,138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(754,911)</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1,181,507</w:t>
            </w:r>
          </w:p>
        </w:tc>
        <w:tc>
          <w:tcPr>
            <w:tcW w:w="0" w:type="dxa"/>
            <w:vAlign w:val="bottom"/>
          </w:tcPr>
          <w:p>
            <w:pPr>
              <w:spacing w:after="0"/>
              <w:rPr>
                <w:sz w:val="1"/>
                <w:szCs w:val="1"/>
                <w:color w:val="auto"/>
              </w:rPr>
            </w:pPr>
          </w:p>
        </w:tc>
      </w:tr>
      <w:tr>
        <w:trPr>
          <w:trHeight w:val="189"/>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Non-cash compensation</w:t>
            </w:r>
          </w:p>
        </w:tc>
        <w:tc>
          <w:tcPr>
            <w:tcW w:w="740" w:type="dxa"/>
            <w:vAlign w:val="bottom"/>
          </w:tcPr>
          <w:p>
            <w:pPr>
              <w:spacing w:after="0"/>
              <w:rPr>
                <w:sz w:val="16"/>
                <w:szCs w:val="16"/>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917</w:t>
            </w:r>
          </w:p>
        </w:tc>
        <w:tc>
          <w:tcPr>
            <w:tcW w:w="0" w:type="dxa"/>
            <w:vAlign w:val="bottom"/>
          </w:tcPr>
          <w:p>
            <w:pPr>
              <w:spacing w:after="0"/>
              <w:rPr>
                <w:sz w:val="1"/>
                <w:szCs w:val="1"/>
                <w:color w:val="auto"/>
              </w:rPr>
            </w:pPr>
          </w:p>
        </w:tc>
      </w:tr>
      <w:tr>
        <w:trPr>
          <w:trHeight w:val="146"/>
        </w:trPr>
        <w:tc>
          <w:tcPr>
            <w:tcW w:w="246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Issuance of 4,685 shares of common</w:t>
            </w:r>
          </w:p>
        </w:tc>
        <w:tc>
          <w:tcPr>
            <w:tcW w:w="74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0" w:type="dxa"/>
            <w:vAlign w:val="bottom"/>
          </w:tcPr>
          <w:p>
            <w:pPr>
              <w:spacing w:after="0"/>
              <w:rPr>
                <w:sz w:val="1"/>
                <w:szCs w:val="1"/>
                <w:color w:val="auto"/>
              </w:rPr>
            </w:pPr>
          </w:p>
        </w:tc>
      </w:tr>
      <w:tr>
        <w:trPr>
          <w:trHeight w:val="198"/>
        </w:trPr>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 through stock awards</w:t>
            </w:r>
          </w:p>
        </w:tc>
        <w:tc>
          <w:tcPr>
            <w:tcW w:w="740" w:type="dxa"/>
            <w:vAlign w:val="bottom"/>
            <w:shd w:val="clear" w:color="auto" w:fill="CCEEFF"/>
          </w:tcPr>
          <w:p>
            <w:pPr>
              <w:spacing w:after="0"/>
              <w:rPr>
                <w:sz w:val="17"/>
                <w:szCs w:val="17"/>
                <w:color w:val="auto"/>
              </w:rPr>
            </w:pPr>
          </w:p>
        </w:tc>
        <w:tc>
          <w:tcPr>
            <w:tcW w:w="340" w:type="dxa"/>
            <w:vAlign w:val="bottom"/>
            <w:gridSpan w:val="2"/>
            <w:vMerge w:val="continue"/>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4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Exercise of 38,265 shares of stock</w:t>
            </w:r>
          </w:p>
        </w:tc>
        <w:tc>
          <w:tcPr>
            <w:tcW w:w="740" w:type="dxa"/>
            <w:vAlign w:val="bottom"/>
          </w:tcPr>
          <w:p>
            <w:pPr>
              <w:spacing w:after="0"/>
              <w:rPr>
                <w:sz w:val="12"/>
                <w:szCs w:val="12"/>
                <w:color w:val="auto"/>
              </w:rPr>
            </w:pPr>
          </w:p>
        </w:tc>
        <w:tc>
          <w:tcPr>
            <w:tcW w:w="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2"/>
                <w:szCs w:val="12"/>
                <w:color w:val="auto"/>
              </w:rPr>
            </w:pPr>
          </w:p>
        </w:tc>
        <w:tc>
          <w:tcPr>
            <w:tcW w:w="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2"/>
                <w:szCs w:val="12"/>
                <w:color w:val="auto"/>
              </w:rPr>
            </w:pPr>
          </w:p>
        </w:tc>
        <w:tc>
          <w:tcPr>
            <w:tcW w:w="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2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2,575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2,575</w:t>
            </w:r>
          </w:p>
        </w:tc>
        <w:tc>
          <w:tcPr>
            <w:tcW w:w="0" w:type="dxa"/>
            <w:vAlign w:val="bottom"/>
          </w:tcPr>
          <w:p>
            <w:pPr>
              <w:spacing w:after="0"/>
              <w:rPr>
                <w:sz w:val="1"/>
                <w:szCs w:val="1"/>
                <w:color w:val="auto"/>
              </w:rPr>
            </w:pPr>
          </w:p>
        </w:tc>
      </w:tr>
      <w:tr>
        <w:trPr>
          <w:trHeight w:val="193"/>
        </w:trPr>
        <w:tc>
          <w:tcPr>
            <w:tcW w:w="2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options</w:t>
            </w:r>
          </w:p>
        </w:tc>
        <w:tc>
          <w:tcPr>
            <w:tcW w:w="74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46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Issuance of 30,302 shares of common</w:t>
            </w:r>
          </w:p>
        </w:tc>
        <w:tc>
          <w:tcPr>
            <w:tcW w:w="74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2,068</w:t>
            </w:r>
          </w:p>
        </w:tc>
        <w:tc>
          <w:tcPr>
            <w:tcW w:w="0" w:type="dxa"/>
            <w:vAlign w:val="bottom"/>
          </w:tcPr>
          <w:p>
            <w:pPr>
              <w:spacing w:after="0"/>
              <w:rPr>
                <w:sz w:val="1"/>
                <w:szCs w:val="1"/>
                <w:color w:val="auto"/>
              </w:rPr>
            </w:pPr>
          </w:p>
        </w:tc>
      </w:tr>
      <w:tr>
        <w:trPr>
          <w:trHeight w:val="198"/>
        </w:trPr>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 through employee purchase plan</w:t>
            </w:r>
          </w:p>
        </w:tc>
        <w:tc>
          <w:tcPr>
            <w:tcW w:w="740" w:type="dxa"/>
            <w:vAlign w:val="bottom"/>
            <w:shd w:val="clear" w:color="auto" w:fill="CCEEFF"/>
          </w:tcPr>
          <w:p>
            <w:pPr>
              <w:spacing w:after="0"/>
              <w:rPr>
                <w:sz w:val="17"/>
                <w:szCs w:val="17"/>
                <w:color w:val="auto"/>
              </w:rPr>
            </w:pPr>
          </w:p>
        </w:tc>
        <w:tc>
          <w:tcPr>
            <w:tcW w:w="340" w:type="dxa"/>
            <w:vAlign w:val="bottom"/>
            <w:gridSpan w:val="2"/>
            <w:vMerge w:val="continue"/>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740" w:type="dxa"/>
            <w:vAlign w:val="bottom"/>
          </w:tcPr>
          <w:p>
            <w:pPr>
              <w:spacing w:after="0"/>
              <w:rPr>
                <w:sz w:val="16"/>
                <w:szCs w:val="16"/>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0" w:type="dxa"/>
            <w:vAlign w:val="bottom"/>
          </w:tcPr>
          <w:p>
            <w:pPr>
              <w:spacing w:after="0"/>
              <w:rPr>
                <w:sz w:val="1"/>
                <w:szCs w:val="1"/>
                <w:color w:val="auto"/>
              </w:rPr>
            </w:pPr>
          </w:p>
        </w:tc>
      </w:tr>
      <w:tr>
        <w:trPr>
          <w:trHeight w:val="210"/>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7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119,609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119,609</w:t>
            </w:r>
          </w:p>
        </w:tc>
        <w:tc>
          <w:tcPr>
            <w:tcW w:w="0" w:type="dxa"/>
            <w:vAlign w:val="bottom"/>
          </w:tcPr>
          <w:p>
            <w:pPr>
              <w:spacing w:after="0"/>
              <w:rPr>
                <w:sz w:val="1"/>
                <w:szCs w:val="1"/>
                <w:color w:val="auto"/>
              </w:rPr>
            </w:pPr>
          </w:p>
        </w:tc>
      </w:tr>
      <w:tr>
        <w:trPr>
          <w:trHeight w:val="139"/>
        </w:trPr>
        <w:tc>
          <w:tcPr>
            <w:tcW w:w="24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Dividends/distributions to common</w:t>
            </w: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60" w:type="dxa"/>
            <w:vAlign w:val="bottom"/>
          </w:tcPr>
          <w:p>
            <w:pPr>
              <w:ind w:left="180"/>
              <w:spacing w:after="0" w:line="145" w:lineRule="exact"/>
              <w:rPr>
                <w:sz w:val="20"/>
                <w:szCs w:val="20"/>
                <w:color w:val="auto"/>
              </w:rPr>
            </w:pPr>
            <w:r>
              <w:rPr>
                <w:rFonts w:ascii="Times New Roman" w:cs="Times New Roman" w:eastAsia="Times New Roman" w:hAnsi="Times New Roman"/>
                <w:sz w:val="14"/>
                <w:szCs w:val="14"/>
                <w:color w:val="auto"/>
              </w:rPr>
              <w:t>shareholders ($0.75 per common</w:t>
            </w:r>
          </w:p>
        </w:tc>
        <w:tc>
          <w:tcPr>
            <w:tcW w:w="740" w:type="dxa"/>
            <w:vAlign w:val="bottom"/>
          </w:tcPr>
          <w:p>
            <w:pPr>
              <w:spacing w:after="0"/>
              <w:rPr>
                <w:sz w:val="12"/>
                <w:szCs w:val="12"/>
                <w:color w:val="auto"/>
              </w:rPr>
            </w:pPr>
          </w:p>
        </w:tc>
        <w:tc>
          <w:tcPr>
            <w:tcW w:w="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2"/>
                <w:szCs w:val="12"/>
                <w:color w:val="auto"/>
              </w:rPr>
            </w:pPr>
          </w:p>
        </w:tc>
        <w:tc>
          <w:tcPr>
            <w:tcW w:w="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2"/>
                <w:szCs w:val="12"/>
                <w:color w:val="auto"/>
              </w:rPr>
            </w:pPr>
          </w:p>
        </w:tc>
        <w:tc>
          <w:tcPr>
            <w:tcW w:w="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2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(75,874)</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(75,874)</w:t>
            </w:r>
          </w:p>
        </w:tc>
        <w:tc>
          <w:tcPr>
            <w:tcW w:w="0" w:type="dxa"/>
            <w:vAlign w:val="bottom"/>
          </w:tcPr>
          <w:p>
            <w:pPr>
              <w:spacing w:after="0"/>
              <w:rPr>
                <w:sz w:val="1"/>
                <w:szCs w:val="1"/>
                <w:color w:val="auto"/>
              </w:rPr>
            </w:pPr>
          </w:p>
        </w:tc>
      </w:tr>
      <w:tr>
        <w:trPr>
          <w:trHeight w:val="195"/>
        </w:trPr>
        <w:tc>
          <w:tcPr>
            <w:tcW w:w="2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w:t>
            </w:r>
          </w:p>
        </w:tc>
        <w:tc>
          <w:tcPr>
            <w:tcW w:w="74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($15.95 per preferred share)</w:t>
            </w:r>
          </w:p>
        </w:tc>
        <w:tc>
          <w:tcPr>
            <w:tcW w:w="7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190"/>
        </w:trPr>
        <w:tc>
          <w:tcPr>
            <w:tcW w:w="2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Balance, June 30, 2021</w:t>
            </w:r>
          </w:p>
        </w:tc>
        <w:tc>
          <w:tcPr>
            <w:tcW w:w="740" w:type="dxa"/>
            <w:vAlign w:val="bottom"/>
            <w:tcBorders>
              <w:top w:val="single" w:sz="8" w:color="auto"/>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Borders>
              <w:bottom w:val="single" w:sz="8" w:color="CCEEFF"/>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(50,503)</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1,991,836</w:t>
            </w:r>
          </w:p>
        </w:tc>
        <w:tc>
          <w:tcPr>
            <w:tcW w:w="1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1,438</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(711,267)</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1,231,605</w:t>
            </w: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Non-cash compensation</w:t>
            </w: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1,128</w:t>
            </w:r>
          </w:p>
        </w:tc>
        <w:tc>
          <w:tcPr>
            <w:tcW w:w="0" w:type="dxa"/>
            <w:vAlign w:val="bottom"/>
          </w:tcPr>
          <w:p>
            <w:pPr>
              <w:spacing w:after="0"/>
              <w:rPr>
                <w:sz w:val="1"/>
                <w:szCs w:val="1"/>
                <w:color w:val="auto"/>
              </w:rPr>
            </w:pPr>
          </w:p>
        </w:tc>
      </w:tr>
      <w:tr>
        <w:trPr>
          <w:trHeight w:val="139"/>
        </w:trPr>
        <w:tc>
          <w:tcPr>
            <w:tcW w:w="24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5,300 shares of common</w:t>
            </w:r>
          </w:p>
        </w:tc>
        <w:tc>
          <w:tcPr>
            <w:tcW w:w="740" w:type="dxa"/>
            <w:vAlign w:val="bottom"/>
          </w:tcPr>
          <w:p>
            <w:pPr>
              <w:spacing w:after="0"/>
              <w:rPr>
                <w:sz w:val="12"/>
                <w:szCs w:val="12"/>
                <w:color w:val="auto"/>
              </w:rPr>
            </w:pPr>
          </w:p>
        </w:tc>
        <w:tc>
          <w:tcPr>
            <w:tcW w:w="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2"/>
                <w:szCs w:val="12"/>
                <w:color w:val="auto"/>
              </w:rPr>
            </w:pPr>
          </w:p>
        </w:tc>
        <w:tc>
          <w:tcPr>
            <w:tcW w:w="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2"/>
                <w:szCs w:val="12"/>
                <w:color w:val="auto"/>
              </w:rPr>
            </w:pPr>
          </w:p>
        </w:tc>
        <w:tc>
          <w:tcPr>
            <w:tcW w:w="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2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0" w:type="dxa"/>
            <w:vAlign w:val="bottom"/>
          </w:tcPr>
          <w:p>
            <w:pPr>
              <w:spacing w:after="0"/>
              <w:rPr>
                <w:sz w:val="1"/>
                <w:szCs w:val="1"/>
                <w:color w:val="auto"/>
              </w:rPr>
            </w:pPr>
          </w:p>
        </w:tc>
      </w:tr>
      <w:tr>
        <w:trPr>
          <w:trHeight w:val="193"/>
        </w:trPr>
        <w:tc>
          <w:tcPr>
            <w:tcW w:w="2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 through stock awards</w:t>
            </w:r>
          </w:p>
        </w:tc>
        <w:tc>
          <w:tcPr>
            <w:tcW w:w="74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46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Exercise of 26,880 shares of stock</w:t>
            </w:r>
          </w:p>
        </w:tc>
        <w:tc>
          <w:tcPr>
            <w:tcW w:w="74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1,749</w:t>
            </w:r>
          </w:p>
        </w:tc>
        <w:tc>
          <w:tcPr>
            <w:tcW w:w="0" w:type="dxa"/>
            <w:vAlign w:val="bottom"/>
          </w:tcPr>
          <w:p>
            <w:pPr>
              <w:spacing w:after="0"/>
              <w:rPr>
                <w:sz w:val="1"/>
                <w:szCs w:val="1"/>
                <w:color w:val="auto"/>
              </w:rPr>
            </w:pPr>
          </w:p>
        </w:tc>
      </w:tr>
      <w:tr>
        <w:trPr>
          <w:trHeight w:val="198"/>
        </w:trPr>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options</w:t>
            </w:r>
          </w:p>
        </w:tc>
        <w:tc>
          <w:tcPr>
            <w:tcW w:w="740" w:type="dxa"/>
            <w:vAlign w:val="bottom"/>
            <w:shd w:val="clear" w:color="auto" w:fill="CCEEFF"/>
          </w:tcPr>
          <w:p>
            <w:pPr>
              <w:spacing w:after="0"/>
              <w:rPr>
                <w:sz w:val="17"/>
                <w:szCs w:val="17"/>
                <w:color w:val="auto"/>
              </w:rPr>
            </w:pPr>
          </w:p>
        </w:tc>
        <w:tc>
          <w:tcPr>
            <w:tcW w:w="340" w:type="dxa"/>
            <w:vAlign w:val="bottom"/>
            <w:gridSpan w:val="2"/>
            <w:vMerge w:val="continue"/>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4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shares 25,347 of common</w:t>
            </w:r>
          </w:p>
        </w:tc>
        <w:tc>
          <w:tcPr>
            <w:tcW w:w="740" w:type="dxa"/>
            <w:vAlign w:val="bottom"/>
          </w:tcPr>
          <w:p>
            <w:pPr>
              <w:spacing w:after="0"/>
              <w:rPr>
                <w:sz w:val="12"/>
                <w:szCs w:val="12"/>
                <w:color w:val="auto"/>
              </w:rPr>
            </w:pPr>
          </w:p>
        </w:tc>
        <w:tc>
          <w:tcPr>
            <w:tcW w:w="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2"/>
                <w:szCs w:val="12"/>
                <w:color w:val="auto"/>
              </w:rPr>
            </w:pPr>
          </w:p>
        </w:tc>
        <w:tc>
          <w:tcPr>
            <w:tcW w:w="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2"/>
                <w:szCs w:val="12"/>
                <w:color w:val="auto"/>
              </w:rPr>
            </w:pPr>
          </w:p>
        </w:tc>
        <w:tc>
          <w:tcPr>
            <w:tcW w:w="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2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2,262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2,262</w:t>
            </w:r>
          </w:p>
        </w:tc>
        <w:tc>
          <w:tcPr>
            <w:tcW w:w="0" w:type="dxa"/>
            <w:vAlign w:val="bottom"/>
          </w:tcPr>
          <w:p>
            <w:pPr>
              <w:spacing w:after="0"/>
              <w:rPr>
                <w:sz w:val="1"/>
                <w:szCs w:val="1"/>
                <w:color w:val="auto"/>
              </w:rPr>
            </w:pPr>
          </w:p>
        </w:tc>
      </w:tr>
      <w:tr>
        <w:trPr>
          <w:trHeight w:val="193"/>
        </w:trPr>
        <w:tc>
          <w:tcPr>
            <w:tcW w:w="2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 through employee purchase plan</w:t>
            </w:r>
          </w:p>
        </w:tc>
        <w:tc>
          <w:tcPr>
            <w:tcW w:w="74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of 665 shares of treasury stock</w:t>
            </w:r>
          </w:p>
        </w:tc>
        <w:tc>
          <w:tcPr>
            <w:tcW w:w="7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95"/>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740" w:type="dxa"/>
            <w:vAlign w:val="bottom"/>
          </w:tcPr>
          <w:p>
            <w:pPr>
              <w:spacing w:after="0"/>
              <w:rPr>
                <w:sz w:val="16"/>
                <w:szCs w:val="16"/>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w:t>
            </w:r>
          </w:p>
        </w:tc>
        <w:tc>
          <w:tcPr>
            <w:tcW w:w="0" w:type="dxa"/>
            <w:vAlign w:val="bottom"/>
          </w:tcPr>
          <w:p>
            <w:pPr>
              <w:spacing w:after="0"/>
              <w:rPr>
                <w:sz w:val="1"/>
                <w:szCs w:val="1"/>
                <w:color w:val="auto"/>
              </w:rPr>
            </w:pPr>
          </w:p>
        </w:tc>
      </w:tr>
      <w:tr>
        <w:trPr>
          <w:trHeight w:val="210"/>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7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106,838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106,838</w:t>
            </w:r>
          </w:p>
        </w:tc>
        <w:tc>
          <w:tcPr>
            <w:tcW w:w="0" w:type="dxa"/>
            <w:vAlign w:val="bottom"/>
          </w:tcPr>
          <w:p>
            <w:pPr>
              <w:spacing w:after="0"/>
              <w:rPr>
                <w:sz w:val="1"/>
                <w:szCs w:val="1"/>
                <w:color w:val="auto"/>
              </w:rPr>
            </w:pPr>
          </w:p>
        </w:tc>
      </w:tr>
      <w:tr>
        <w:trPr>
          <w:trHeight w:val="139"/>
        </w:trPr>
        <w:tc>
          <w:tcPr>
            <w:tcW w:w="24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Dividends/distributions to common</w:t>
            </w: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60" w:type="dxa"/>
            <w:vAlign w:val="bottom"/>
          </w:tcPr>
          <w:p>
            <w:pPr>
              <w:ind w:left="180"/>
              <w:spacing w:after="0" w:line="145" w:lineRule="exact"/>
              <w:rPr>
                <w:sz w:val="20"/>
                <w:szCs w:val="20"/>
                <w:color w:val="auto"/>
              </w:rPr>
            </w:pPr>
            <w:r>
              <w:rPr>
                <w:rFonts w:ascii="Times New Roman" w:cs="Times New Roman" w:eastAsia="Times New Roman" w:hAnsi="Times New Roman"/>
                <w:sz w:val="14"/>
                <w:szCs w:val="14"/>
                <w:color w:val="auto"/>
              </w:rPr>
              <w:t>shareholders ($1.00 per common</w:t>
            </w:r>
          </w:p>
        </w:tc>
        <w:tc>
          <w:tcPr>
            <w:tcW w:w="740" w:type="dxa"/>
            <w:vAlign w:val="bottom"/>
          </w:tcPr>
          <w:p>
            <w:pPr>
              <w:spacing w:after="0"/>
              <w:rPr>
                <w:sz w:val="12"/>
                <w:szCs w:val="12"/>
                <w:color w:val="auto"/>
              </w:rPr>
            </w:pPr>
          </w:p>
        </w:tc>
        <w:tc>
          <w:tcPr>
            <w:tcW w:w="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2"/>
                <w:szCs w:val="12"/>
                <w:color w:val="auto"/>
              </w:rPr>
            </w:pPr>
          </w:p>
        </w:tc>
        <w:tc>
          <w:tcPr>
            <w:tcW w:w="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2"/>
                <w:szCs w:val="12"/>
                <w:color w:val="auto"/>
              </w:rPr>
            </w:pPr>
          </w:p>
        </w:tc>
        <w:tc>
          <w:tcPr>
            <w:tcW w:w="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2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(101,225)</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(101,225)</w:t>
            </w:r>
          </w:p>
        </w:tc>
        <w:tc>
          <w:tcPr>
            <w:tcW w:w="0" w:type="dxa"/>
            <w:vAlign w:val="bottom"/>
          </w:tcPr>
          <w:p>
            <w:pPr>
              <w:spacing w:after="0"/>
              <w:rPr>
                <w:sz w:val="1"/>
                <w:szCs w:val="1"/>
                <w:color w:val="auto"/>
              </w:rPr>
            </w:pPr>
          </w:p>
        </w:tc>
      </w:tr>
      <w:tr>
        <w:trPr>
          <w:trHeight w:val="195"/>
        </w:trPr>
        <w:tc>
          <w:tcPr>
            <w:tcW w:w="2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w:t>
            </w:r>
          </w:p>
        </w:tc>
        <w:tc>
          <w:tcPr>
            <w:tcW w:w="74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($15.95 per preferred share)</w:t>
            </w:r>
          </w:p>
        </w:tc>
        <w:tc>
          <w:tcPr>
            <w:tcW w:w="7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190"/>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September 30, 2021</w:t>
            </w:r>
          </w:p>
        </w:tc>
        <w:tc>
          <w:tcPr>
            <w:tcW w:w="740" w:type="dxa"/>
            <w:vAlign w:val="bottom"/>
            <w:tcBorders>
              <w:top w:val="single" w:sz="8" w:color="auto"/>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Pr>
          <w:p>
            <w:pPr>
              <w:spacing w:after="0"/>
              <w:rPr>
                <w:sz w:val="16"/>
                <w:szCs w:val="16"/>
                <w:color w:val="auto"/>
              </w:rPr>
            </w:pPr>
          </w:p>
        </w:tc>
        <w:tc>
          <w:tcPr>
            <w:tcW w:w="72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(50,573)</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1,997,162</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850</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(705,745)</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1,241,796</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7"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3"/>
          <w:szCs w:val="13"/>
          <w:b w:val="1"/>
          <w:bCs w:val="1"/>
          <w:color w:val="auto"/>
        </w:rPr>
        <w:t>Nine Months Ended</w:t>
      </w:r>
    </w:p>
    <w:p>
      <w:pPr>
        <w:jc w:val="center"/>
        <w:ind w:left="8420"/>
        <w:spacing w:after="0"/>
        <w:rPr>
          <w:sz w:val="20"/>
          <w:szCs w:val="20"/>
          <w:color w:val="auto"/>
        </w:rPr>
      </w:pPr>
      <w:r>
        <w:rPr>
          <w:rFonts w:ascii="Times New Roman" w:cs="Times New Roman" w:eastAsia="Times New Roman" w:hAnsi="Times New Roman"/>
          <w:sz w:val="13"/>
          <w:szCs w:val="13"/>
          <w:b w:val="1"/>
          <w:bCs w:val="1"/>
          <w:color w:val="auto"/>
        </w:rPr>
        <w:t>September 30,</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8440" w:type="dxa"/>
            <w:vAlign w:val="bottom"/>
            <w:tcBorders>
              <w:bottom w:val="single" w:sz="8" w:color="CCEEFF"/>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5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rPr>
              <w:t>2021</w:t>
            </w:r>
          </w:p>
        </w:tc>
        <w:tc>
          <w:tcPr>
            <w:tcW w:w="0" w:type="dxa"/>
            <w:vAlign w:val="bottom"/>
          </w:tcPr>
          <w:p>
            <w:pPr>
              <w:spacing w:after="0"/>
              <w:rPr>
                <w:sz w:val="1"/>
                <w:szCs w:val="1"/>
                <w:color w:val="auto"/>
              </w:rPr>
            </w:pPr>
          </w:p>
        </w:tc>
      </w:tr>
      <w:tr>
        <w:trPr>
          <w:trHeight w:val="16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flows from operating activities:</w:t>
            </w:r>
          </w:p>
        </w:tc>
        <w:tc>
          <w:tcPr>
            <w:tcW w:w="7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84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Net income</w:t>
            </w:r>
          </w:p>
        </w:tc>
        <w:tc>
          <w:tcPr>
            <w:tcW w:w="780" w:type="dxa"/>
            <w:vAlign w:val="bottom"/>
          </w:tcPr>
          <w:p>
            <w:pPr>
              <w:jc w:val="right"/>
              <w:ind w:right="665"/>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372,544</w:t>
            </w:r>
          </w:p>
        </w:tc>
        <w:tc>
          <w:tcPr>
            <w:tcW w:w="100" w:type="dxa"/>
            <w:vAlign w:val="bottom"/>
          </w:tcPr>
          <w:p>
            <w:pPr>
              <w:spacing w:after="0"/>
              <w:rPr>
                <w:sz w:val="14"/>
                <w:szCs w:val="14"/>
                <w:color w:val="auto"/>
              </w:rPr>
            </w:pPr>
          </w:p>
        </w:tc>
        <w:tc>
          <w:tcPr>
            <w:tcW w:w="3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264,776</w:t>
            </w:r>
          </w:p>
        </w:tc>
        <w:tc>
          <w:tcPr>
            <w:tcW w:w="0" w:type="dxa"/>
            <w:vAlign w:val="bottom"/>
          </w:tcPr>
          <w:p>
            <w:pPr>
              <w:spacing w:after="0"/>
              <w:rPr>
                <w:sz w:val="1"/>
                <w:szCs w:val="1"/>
                <w:color w:val="auto"/>
              </w:rPr>
            </w:pPr>
          </w:p>
        </w:tc>
      </w:tr>
      <w:tr>
        <w:trPr>
          <w:trHeight w:val="181"/>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844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202,210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205,671</w:t>
            </w:r>
          </w:p>
        </w:tc>
        <w:tc>
          <w:tcPr>
            <w:tcW w:w="0" w:type="dxa"/>
            <w:vAlign w:val="bottom"/>
          </w:tcPr>
          <w:p>
            <w:pPr>
              <w:spacing w:after="0"/>
              <w:rPr>
                <w:sz w:val="1"/>
                <w:szCs w:val="1"/>
                <w:color w:val="auto"/>
              </w:rPr>
            </w:pPr>
          </w:p>
        </w:tc>
      </w:tr>
      <w:tr>
        <w:trPr>
          <w:trHeight w:val="181"/>
        </w:trPr>
        <w:tc>
          <w:tcPr>
            <w:tcW w:w="8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Stock-based compensation</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14,331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22,540</w:t>
            </w:r>
          </w:p>
        </w:tc>
        <w:tc>
          <w:tcPr>
            <w:tcW w:w="0" w:type="dxa"/>
            <w:vAlign w:val="bottom"/>
          </w:tcPr>
          <w:p>
            <w:pPr>
              <w:spacing w:after="0"/>
              <w:rPr>
                <w:sz w:val="1"/>
                <w:szCs w:val="1"/>
                <w:color w:val="auto"/>
              </w:rPr>
            </w:pPr>
          </w:p>
        </w:tc>
      </w:tr>
      <w:tr>
        <w:trPr>
          <w:trHeight w:val="170"/>
        </w:trPr>
        <w:tc>
          <w:tcPr>
            <w:tcW w:w="844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Amortization included in interest expense</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4,527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4,405</w:t>
            </w:r>
          </w:p>
        </w:tc>
        <w:tc>
          <w:tcPr>
            <w:tcW w:w="0" w:type="dxa"/>
            <w:vAlign w:val="bottom"/>
          </w:tcPr>
          <w:p>
            <w:pPr>
              <w:spacing w:after="0"/>
              <w:rPr>
                <w:sz w:val="1"/>
                <w:szCs w:val="1"/>
                <w:color w:val="auto"/>
              </w:rPr>
            </w:pPr>
          </w:p>
        </w:tc>
      </w:tr>
      <w:tr>
        <w:trPr>
          <w:trHeight w:val="181"/>
        </w:trPr>
        <w:tc>
          <w:tcPr>
            <w:tcW w:w="8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Gain on disposition of assets and investments</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(1,922)</w:t>
            </w:r>
          </w:p>
        </w:tc>
        <w:tc>
          <w:tcPr>
            <w:tcW w:w="0" w:type="dxa"/>
            <w:vAlign w:val="bottom"/>
          </w:tcPr>
          <w:p>
            <w:pPr>
              <w:spacing w:after="0"/>
              <w:rPr>
                <w:sz w:val="1"/>
                <w:szCs w:val="1"/>
                <w:color w:val="auto"/>
              </w:rPr>
            </w:pPr>
          </w:p>
        </w:tc>
      </w:tr>
      <w:tr>
        <w:trPr>
          <w:trHeight w:val="170"/>
        </w:trPr>
        <w:tc>
          <w:tcPr>
            <w:tcW w:w="844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Loss on extinguishment of debt</w:t>
            </w:r>
          </w:p>
        </w:tc>
        <w:tc>
          <w:tcPr>
            <w:tcW w:w="7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21,604</w:t>
            </w:r>
          </w:p>
        </w:tc>
        <w:tc>
          <w:tcPr>
            <w:tcW w:w="0" w:type="dxa"/>
            <w:vAlign w:val="bottom"/>
          </w:tcPr>
          <w:p>
            <w:pPr>
              <w:spacing w:after="0"/>
              <w:rPr>
                <w:sz w:val="1"/>
                <w:szCs w:val="1"/>
                <w:color w:val="auto"/>
              </w:rPr>
            </w:pPr>
          </w:p>
        </w:tc>
      </w:tr>
      <w:tr>
        <w:trPr>
          <w:trHeight w:val="181"/>
        </w:trPr>
        <w:tc>
          <w:tcPr>
            <w:tcW w:w="8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Equity in earnings of investee</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(1,141)</w:t>
            </w:r>
          </w:p>
        </w:tc>
        <w:tc>
          <w:tcPr>
            <w:tcW w:w="0" w:type="dxa"/>
            <w:vAlign w:val="bottom"/>
          </w:tcPr>
          <w:p>
            <w:pPr>
              <w:spacing w:after="0"/>
              <w:rPr>
                <w:sz w:val="1"/>
                <w:szCs w:val="1"/>
                <w:color w:val="auto"/>
              </w:rPr>
            </w:pPr>
          </w:p>
        </w:tc>
      </w:tr>
      <w:tr>
        <w:trPr>
          <w:trHeight w:val="170"/>
        </w:trPr>
        <w:tc>
          <w:tcPr>
            <w:tcW w:w="844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Deferred tax expense</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1,178</w:t>
            </w:r>
          </w:p>
        </w:tc>
        <w:tc>
          <w:tcPr>
            <w:tcW w:w="0" w:type="dxa"/>
            <w:vAlign w:val="bottom"/>
          </w:tcPr>
          <w:p>
            <w:pPr>
              <w:spacing w:after="0"/>
              <w:rPr>
                <w:sz w:val="1"/>
                <w:szCs w:val="1"/>
                <w:color w:val="auto"/>
              </w:rPr>
            </w:pPr>
          </w:p>
        </w:tc>
      </w:tr>
      <w:tr>
        <w:trPr>
          <w:trHeight w:val="181"/>
        </w:trPr>
        <w:tc>
          <w:tcPr>
            <w:tcW w:w="8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Provision for doubtful accounts</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5,868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2,711</w:t>
            </w:r>
          </w:p>
        </w:tc>
        <w:tc>
          <w:tcPr>
            <w:tcW w:w="0" w:type="dxa"/>
            <w:vAlign w:val="bottom"/>
          </w:tcPr>
          <w:p>
            <w:pPr>
              <w:spacing w:after="0"/>
              <w:rPr>
                <w:sz w:val="1"/>
                <w:szCs w:val="1"/>
                <w:color w:val="auto"/>
              </w:rPr>
            </w:pPr>
          </w:p>
        </w:tc>
      </w:tr>
      <w:tr>
        <w:trPr>
          <w:trHeight w:val="170"/>
        </w:trPr>
        <w:tc>
          <w:tcPr>
            <w:tcW w:w="84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(Increase) decrease in:</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8440" w:type="dxa"/>
            <w:vAlign w:val="bottom"/>
          </w:tcPr>
          <w:p>
            <w:pPr>
              <w:ind w:left="980"/>
              <w:spacing w:after="0"/>
              <w:rPr>
                <w:sz w:val="20"/>
                <w:szCs w:val="20"/>
                <w:color w:val="auto"/>
              </w:rPr>
            </w:pPr>
            <w:r>
              <w:rPr>
                <w:rFonts w:ascii="Times New Roman" w:cs="Times New Roman" w:eastAsia="Times New Roman" w:hAnsi="Times New Roman"/>
                <w:sz w:val="13"/>
                <w:szCs w:val="13"/>
                <w:color w:val="auto"/>
              </w:rPr>
              <w:t>Receivables</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(29,510)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(24,475)</w:t>
            </w:r>
          </w:p>
        </w:tc>
        <w:tc>
          <w:tcPr>
            <w:tcW w:w="0" w:type="dxa"/>
            <w:vAlign w:val="bottom"/>
          </w:tcPr>
          <w:p>
            <w:pPr>
              <w:spacing w:after="0"/>
              <w:rPr>
                <w:sz w:val="1"/>
                <w:szCs w:val="1"/>
                <w:color w:val="auto"/>
              </w:rPr>
            </w:pPr>
          </w:p>
        </w:tc>
      </w:tr>
      <w:tr>
        <w:trPr>
          <w:trHeight w:val="181"/>
        </w:trPr>
        <w:tc>
          <w:tcPr>
            <w:tcW w:w="84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3"/>
                <w:szCs w:val="13"/>
                <w:color w:val="auto"/>
              </w:rPr>
              <w:t>Prepaid expenses</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(1,953)</w:t>
            </w:r>
          </w:p>
        </w:tc>
        <w:tc>
          <w:tcPr>
            <w:tcW w:w="0" w:type="dxa"/>
            <w:vAlign w:val="bottom"/>
          </w:tcPr>
          <w:p>
            <w:pPr>
              <w:spacing w:after="0"/>
              <w:rPr>
                <w:sz w:val="1"/>
                <w:szCs w:val="1"/>
                <w:color w:val="auto"/>
              </w:rPr>
            </w:pPr>
          </w:p>
        </w:tc>
      </w:tr>
      <w:tr>
        <w:trPr>
          <w:trHeight w:val="170"/>
        </w:trPr>
        <w:tc>
          <w:tcPr>
            <w:tcW w:w="8440" w:type="dxa"/>
            <w:vAlign w:val="bottom"/>
          </w:tcPr>
          <w:p>
            <w:pPr>
              <w:ind w:left="980"/>
              <w:spacing w:after="0"/>
              <w:rPr>
                <w:sz w:val="20"/>
                <w:szCs w:val="20"/>
                <w:color w:val="auto"/>
              </w:rPr>
            </w:pPr>
            <w:r>
              <w:rPr>
                <w:rFonts w:ascii="Times New Roman" w:cs="Times New Roman" w:eastAsia="Times New Roman" w:hAnsi="Times New Roman"/>
                <w:sz w:val="13"/>
                <w:szCs w:val="13"/>
                <w:color w:val="auto"/>
              </w:rPr>
              <w:t>Other assets</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(444)</w:t>
            </w:r>
          </w:p>
        </w:tc>
        <w:tc>
          <w:tcPr>
            <w:tcW w:w="0" w:type="dxa"/>
            <w:vAlign w:val="bottom"/>
          </w:tcPr>
          <w:p>
            <w:pPr>
              <w:spacing w:after="0"/>
              <w:rPr>
                <w:sz w:val="1"/>
                <w:szCs w:val="1"/>
                <w:color w:val="auto"/>
              </w:rPr>
            </w:pPr>
          </w:p>
        </w:tc>
      </w:tr>
      <w:tr>
        <w:trPr>
          <w:trHeight w:val="181"/>
        </w:trPr>
        <w:tc>
          <w:tcPr>
            <w:tcW w:w="8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(Decrease) increase in:</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8440" w:type="dxa"/>
            <w:vAlign w:val="bottom"/>
          </w:tcPr>
          <w:p>
            <w:pPr>
              <w:ind w:left="980"/>
              <w:spacing w:after="0"/>
              <w:rPr>
                <w:sz w:val="20"/>
                <w:szCs w:val="20"/>
                <w:color w:val="auto"/>
              </w:rPr>
            </w:pPr>
            <w:r>
              <w:rPr>
                <w:rFonts w:ascii="Times New Roman" w:cs="Times New Roman" w:eastAsia="Times New Roman" w:hAnsi="Times New Roman"/>
                <w:sz w:val="13"/>
                <w:szCs w:val="13"/>
                <w:color w:val="auto"/>
              </w:rPr>
              <w:t>Trade accounts payable</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0" w:type="dxa"/>
            <w:vAlign w:val="bottom"/>
          </w:tcPr>
          <w:p>
            <w:pPr>
              <w:spacing w:after="0"/>
              <w:rPr>
                <w:sz w:val="1"/>
                <w:szCs w:val="1"/>
                <w:color w:val="auto"/>
              </w:rPr>
            </w:pPr>
          </w:p>
        </w:tc>
      </w:tr>
      <w:tr>
        <w:trPr>
          <w:trHeight w:val="181"/>
        </w:trPr>
        <w:tc>
          <w:tcPr>
            <w:tcW w:w="84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3"/>
                <w:szCs w:val="13"/>
                <w:color w:val="auto"/>
              </w:rPr>
              <w:t>Accrued expenses</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(12,773)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3,610</w:t>
            </w:r>
          </w:p>
        </w:tc>
        <w:tc>
          <w:tcPr>
            <w:tcW w:w="0" w:type="dxa"/>
            <w:vAlign w:val="bottom"/>
          </w:tcPr>
          <w:p>
            <w:pPr>
              <w:spacing w:after="0"/>
              <w:rPr>
                <w:sz w:val="1"/>
                <w:szCs w:val="1"/>
                <w:color w:val="auto"/>
              </w:rPr>
            </w:pPr>
          </w:p>
        </w:tc>
      </w:tr>
      <w:tr>
        <w:trPr>
          <w:trHeight w:val="170"/>
        </w:trPr>
        <w:tc>
          <w:tcPr>
            <w:tcW w:w="8440" w:type="dxa"/>
            <w:vAlign w:val="bottom"/>
          </w:tcPr>
          <w:p>
            <w:pPr>
              <w:ind w:left="98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(18,881)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(22,560)</w:t>
            </w:r>
          </w:p>
        </w:tc>
        <w:tc>
          <w:tcPr>
            <w:tcW w:w="0" w:type="dxa"/>
            <w:vAlign w:val="bottom"/>
          </w:tcPr>
          <w:p>
            <w:pPr>
              <w:spacing w:after="0"/>
              <w:rPr>
                <w:sz w:val="1"/>
                <w:szCs w:val="1"/>
                <w:color w:val="auto"/>
              </w:rPr>
            </w:pPr>
          </w:p>
        </w:tc>
      </w:tr>
      <w:tr>
        <w:trPr>
          <w:trHeight w:val="181"/>
        </w:trPr>
        <w:tc>
          <w:tcPr>
            <w:tcW w:w="84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3"/>
                <w:szCs w:val="13"/>
                <w:color w:val="auto"/>
              </w:rPr>
              <w:t>Other liabilities</w:t>
            </w:r>
          </w:p>
        </w:tc>
        <w:tc>
          <w:tcPr>
            <w:tcW w:w="7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1,649</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14,303</w:t>
            </w:r>
          </w:p>
        </w:tc>
        <w:tc>
          <w:tcPr>
            <w:tcW w:w="0" w:type="dxa"/>
            <w:vAlign w:val="bottom"/>
          </w:tcPr>
          <w:p>
            <w:pPr>
              <w:spacing w:after="0"/>
              <w:rPr>
                <w:sz w:val="1"/>
                <w:szCs w:val="1"/>
                <w:color w:val="auto"/>
              </w:rPr>
            </w:pPr>
          </w:p>
        </w:tc>
      </w:tr>
      <w:tr>
        <w:trPr>
          <w:trHeight w:val="163"/>
        </w:trPr>
        <w:tc>
          <w:tcPr>
            <w:tcW w:w="8440" w:type="dxa"/>
            <w:vAlign w:val="bottom"/>
            <w:tcBorders>
              <w:bottom w:val="single" w:sz="8" w:color="CCEEFF"/>
            </w:tcBorders>
          </w:tcPr>
          <w:p>
            <w:pPr>
              <w:ind w:left="1180"/>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7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537,105</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488,234</w:t>
            </w:r>
          </w:p>
        </w:tc>
        <w:tc>
          <w:tcPr>
            <w:tcW w:w="0" w:type="dxa"/>
            <w:vAlign w:val="bottom"/>
          </w:tcPr>
          <w:p>
            <w:pPr>
              <w:spacing w:after="0"/>
              <w:rPr>
                <w:sz w:val="1"/>
                <w:szCs w:val="1"/>
                <w:color w:val="auto"/>
              </w:rPr>
            </w:pPr>
          </w:p>
        </w:tc>
      </w:tr>
      <w:tr>
        <w:trPr>
          <w:trHeight w:val="161"/>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flows from investing activities:</w:t>
            </w:r>
          </w:p>
        </w:tc>
        <w:tc>
          <w:tcPr>
            <w:tcW w:w="7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4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Acquisitions</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(287,860)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(107,593)</w:t>
            </w:r>
          </w:p>
        </w:tc>
        <w:tc>
          <w:tcPr>
            <w:tcW w:w="0" w:type="dxa"/>
            <w:vAlign w:val="bottom"/>
          </w:tcPr>
          <w:p>
            <w:pPr>
              <w:spacing w:after="0"/>
              <w:rPr>
                <w:sz w:val="1"/>
                <w:szCs w:val="1"/>
                <w:color w:val="auto"/>
              </w:rPr>
            </w:pPr>
          </w:p>
        </w:tc>
      </w:tr>
      <w:tr>
        <w:trPr>
          <w:trHeight w:val="181"/>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Capital expenditures</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(116,808)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(71,513)</w:t>
            </w:r>
          </w:p>
        </w:tc>
        <w:tc>
          <w:tcPr>
            <w:tcW w:w="0" w:type="dxa"/>
            <w:vAlign w:val="bottom"/>
          </w:tcPr>
          <w:p>
            <w:pPr>
              <w:spacing w:after="0"/>
              <w:rPr>
                <w:sz w:val="1"/>
                <w:szCs w:val="1"/>
                <w:color w:val="auto"/>
              </w:rPr>
            </w:pPr>
          </w:p>
        </w:tc>
      </w:tr>
      <w:tr>
        <w:trPr>
          <w:trHeight w:val="170"/>
        </w:trPr>
        <w:tc>
          <w:tcPr>
            <w:tcW w:w="84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Payment for investments in equity securities</w:t>
            </w:r>
          </w:p>
        </w:tc>
        <w:tc>
          <w:tcPr>
            <w:tcW w:w="7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(30,000)</w:t>
            </w:r>
          </w:p>
        </w:tc>
        <w:tc>
          <w:tcPr>
            <w:tcW w:w="0" w:type="dxa"/>
            <w:vAlign w:val="bottom"/>
          </w:tcPr>
          <w:p>
            <w:pPr>
              <w:spacing w:after="0"/>
              <w:rPr>
                <w:sz w:val="1"/>
                <w:szCs w:val="1"/>
                <w:color w:val="auto"/>
              </w:rPr>
            </w:pPr>
          </w:p>
        </w:tc>
      </w:tr>
      <w:tr>
        <w:trPr>
          <w:trHeight w:val="181"/>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Proceeds from disposition of assets and investments</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5,761</w:t>
            </w:r>
          </w:p>
        </w:tc>
        <w:tc>
          <w:tcPr>
            <w:tcW w:w="0" w:type="dxa"/>
            <w:vAlign w:val="bottom"/>
          </w:tcPr>
          <w:p>
            <w:pPr>
              <w:spacing w:after="0"/>
              <w:rPr>
                <w:sz w:val="1"/>
                <w:szCs w:val="1"/>
                <w:color w:val="auto"/>
              </w:rPr>
            </w:pPr>
          </w:p>
        </w:tc>
      </w:tr>
      <w:tr>
        <w:trPr>
          <w:trHeight w:val="170"/>
        </w:trPr>
        <w:tc>
          <w:tcPr>
            <w:tcW w:w="84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3"/>
                <w:szCs w:val="13"/>
                <w:color w:val="auto"/>
              </w:rPr>
              <w:t>Decrease in notes receivable</w:t>
            </w:r>
          </w:p>
        </w:tc>
        <w:tc>
          <w:tcPr>
            <w:tcW w:w="7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0" w:type="dxa"/>
            <w:vAlign w:val="bottom"/>
          </w:tcPr>
          <w:p>
            <w:pPr>
              <w:spacing w:after="0"/>
              <w:rPr>
                <w:sz w:val="1"/>
                <w:szCs w:val="1"/>
                <w:color w:val="auto"/>
              </w:rPr>
            </w:pPr>
          </w:p>
        </w:tc>
      </w:tr>
      <w:tr>
        <w:trPr>
          <w:trHeight w:val="175"/>
        </w:trPr>
        <w:tc>
          <w:tcPr>
            <w:tcW w:w="844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7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(402,464)</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(203,238)</w:t>
            </w:r>
          </w:p>
        </w:tc>
        <w:tc>
          <w:tcPr>
            <w:tcW w:w="0" w:type="dxa"/>
            <w:vAlign w:val="bottom"/>
          </w:tcPr>
          <w:p>
            <w:pPr>
              <w:spacing w:after="0"/>
              <w:rPr>
                <w:sz w:val="1"/>
                <w:szCs w:val="1"/>
                <w:color w:val="auto"/>
              </w:rPr>
            </w:pPr>
          </w:p>
        </w:tc>
      </w:tr>
      <w:tr>
        <w:trPr>
          <w:trHeight w:val="150"/>
        </w:trPr>
        <w:tc>
          <w:tcPr>
            <w:tcW w:w="844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Cash flows from financing activities:</w:t>
            </w: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Cash used for purchase of treasury stock</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(10,506)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(5,787)</w:t>
            </w:r>
          </w:p>
        </w:tc>
        <w:tc>
          <w:tcPr>
            <w:tcW w:w="0" w:type="dxa"/>
            <w:vAlign w:val="bottom"/>
          </w:tcPr>
          <w:p>
            <w:pPr>
              <w:spacing w:after="0"/>
              <w:rPr>
                <w:sz w:val="1"/>
                <w:szCs w:val="1"/>
                <w:color w:val="auto"/>
              </w:rPr>
            </w:pPr>
          </w:p>
        </w:tc>
      </w:tr>
      <w:tr>
        <w:trPr>
          <w:trHeight w:val="170"/>
        </w:trPr>
        <w:tc>
          <w:tcPr>
            <w:tcW w:w="84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Net proceeds from issuance of common stock</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15,301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16,050</w:t>
            </w:r>
          </w:p>
        </w:tc>
        <w:tc>
          <w:tcPr>
            <w:tcW w:w="0" w:type="dxa"/>
            <w:vAlign w:val="bottom"/>
          </w:tcPr>
          <w:p>
            <w:pPr>
              <w:spacing w:after="0"/>
              <w:rPr>
                <w:sz w:val="1"/>
                <w:szCs w:val="1"/>
                <w:color w:val="auto"/>
              </w:rPr>
            </w:pPr>
          </w:p>
        </w:tc>
      </w:tr>
      <w:tr>
        <w:trPr>
          <w:trHeight w:val="181"/>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Principal payments on long-term debt</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w:t>
            </w:r>
          </w:p>
        </w:tc>
        <w:tc>
          <w:tcPr>
            <w:tcW w:w="0" w:type="dxa"/>
            <w:vAlign w:val="bottom"/>
          </w:tcPr>
          <w:p>
            <w:pPr>
              <w:spacing w:after="0"/>
              <w:rPr>
                <w:sz w:val="1"/>
                <w:szCs w:val="1"/>
                <w:color w:val="auto"/>
              </w:rPr>
            </w:pPr>
          </w:p>
        </w:tc>
      </w:tr>
      <w:tr>
        <w:trPr>
          <w:trHeight w:val="170"/>
        </w:trPr>
        <w:tc>
          <w:tcPr>
            <w:tcW w:w="84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Principal payments on financing leases</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(998)</w:t>
            </w:r>
          </w:p>
        </w:tc>
        <w:tc>
          <w:tcPr>
            <w:tcW w:w="0" w:type="dxa"/>
            <w:vAlign w:val="bottom"/>
          </w:tcPr>
          <w:p>
            <w:pPr>
              <w:spacing w:after="0"/>
              <w:rPr>
                <w:sz w:val="1"/>
                <w:szCs w:val="1"/>
                <w:color w:val="auto"/>
              </w:rPr>
            </w:pPr>
          </w:p>
        </w:tc>
      </w:tr>
      <w:tr>
        <w:trPr>
          <w:trHeight w:val="181"/>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Payments on revolving credit facility</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(575,000)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(25,000)</w:t>
            </w:r>
          </w:p>
        </w:tc>
        <w:tc>
          <w:tcPr>
            <w:tcW w:w="0" w:type="dxa"/>
            <w:vAlign w:val="bottom"/>
          </w:tcPr>
          <w:p>
            <w:pPr>
              <w:spacing w:after="0"/>
              <w:rPr>
                <w:sz w:val="1"/>
                <w:szCs w:val="1"/>
                <w:color w:val="auto"/>
              </w:rPr>
            </w:pPr>
          </w:p>
        </w:tc>
      </w:tr>
      <w:tr>
        <w:trPr>
          <w:trHeight w:val="170"/>
        </w:trPr>
        <w:tc>
          <w:tcPr>
            <w:tcW w:w="84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Proceeds received from revolving credit facility</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400,000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25,000</w:t>
            </w:r>
          </w:p>
        </w:tc>
        <w:tc>
          <w:tcPr>
            <w:tcW w:w="0" w:type="dxa"/>
            <w:vAlign w:val="bottom"/>
          </w:tcPr>
          <w:p>
            <w:pPr>
              <w:spacing w:after="0"/>
              <w:rPr>
                <w:sz w:val="1"/>
                <w:szCs w:val="1"/>
                <w:color w:val="auto"/>
              </w:rPr>
            </w:pPr>
          </w:p>
        </w:tc>
      </w:tr>
      <w:tr>
        <w:trPr>
          <w:trHeight w:val="181"/>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Redemption of senior notes and senior subordinated notes</w:t>
            </w:r>
          </w:p>
        </w:tc>
        <w:tc>
          <w:tcPr>
            <w:tcW w:w="7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(668,688)</w:t>
            </w:r>
          </w:p>
        </w:tc>
        <w:tc>
          <w:tcPr>
            <w:tcW w:w="0" w:type="dxa"/>
            <w:vAlign w:val="bottom"/>
          </w:tcPr>
          <w:p>
            <w:pPr>
              <w:spacing w:after="0"/>
              <w:rPr>
                <w:sz w:val="1"/>
                <w:szCs w:val="1"/>
                <w:color w:val="auto"/>
              </w:rPr>
            </w:pPr>
          </w:p>
        </w:tc>
      </w:tr>
      <w:tr>
        <w:trPr>
          <w:trHeight w:val="170"/>
        </w:trPr>
        <w:tc>
          <w:tcPr>
            <w:tcW w:w="84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Proceeds received from note offering</w:t>
            </w:r>
          </w:p>
        </w:tc>
        <w:tc>
          <w:tcPr>
            <w:tcW w:w="7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550,000</w:t>
            </w:r>
          </w:p>
        </w:tc>
        <w:tc>
          <w:tcPr>
            <w:tcW w:w="0" w:type="dxa"/>
            <w:vAlign w:val="bottom"/>
          </w:tcPr>
          <w:p>
            <w:pPr>
              <w:spacing w:after="0"/>
              <w:rPr>
                <w:sz w:val="1"/>
                <w:szCs w:val="1"/>
                <w:color w:val="auto"/>
              </w:rPr>
            </w:pPr>
          </w:p>
        </w:tc>
      </w:tr>
      <w:tr>
        <w:trPr>
          <w:trHeight w:val="181"/>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Proceeds received from accounts receivable securitization program</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140,000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120,000</w:t>
            </w:r>
          </w:p>
        </w:tc>
        <w:tc>
          <w:tcPr>
            <w:tcW w:w="0" w:type="dxa"/>
            <w:vAlign w:val="bottom"/>
          </w:tcPr>
          <w:p>
            <w:pPr>
              <w:spacing w:after="0"/>
              <w:rPr>
                <w:sz w:val="1"/>
                <w:szCs w:val="1"/>
                <w:color w:val="auto"/>
              </w:rPr>
            </w:pPr>
          </w:p>
        </w:tc>
      </w:tr>
      <w:tr>
        <w:trPr>
          <w:trHeight w:val="170"/>
        </w:trPr>
        <w:tc>
          <w:tcPr>
            <w:tcW w:w="84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Payments on accounts receivable securitization program</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(115,000)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(67,500)</w:t>
            </w:r>
          </w:p>
        </w:tc>
        <w:tc>
          <w:tcPr>
            <w:tcW w:w="0" w:type="dxa"/>
            <w:vAlign w:val="bottom"/>
          </w:tcPr>
          <w:p>
            <w:pPr>
              <w:spacing w:after="0"/>
              <w:rPr>
                <w:sz w:val="1"/>
                <w:szCs w:val="1"/>
                <w:color w:val="auto"/>
              </w:rPr>
            </w:pPr>
          </w:p>
        </w:tc>
      </w:tr>
      <w:tr>
        <w:trPr>
          <w:trHeight w:val="181"/>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Proceeds received from senior credit facility term loans</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350,000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84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Debt issuance costs</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(8,662)</w:t>
            </w:r>
          </w:p>
        </w:tc>
        <w:tc>
          <w:tcPr>
            <w:tcW w:w="0" w:type="dxa"/>
            <w:vAlign w:val="bottom"/>
          </w:tcPr>
          <w:p>
            <w:pPr>
              <w:spacing w:after="0"/>
              <w:rPr>
                <w:sz w:val="1"/>
                <w:szCs w:val="1"/>
                <w:color w:val="auto"/>
              </w:rPr>
            </w:pPr>
          </w:p>
        </w:tc>
      </w:tr>
      <w:tr>
        <w:trPr>
          <w:trHeight w:val="181"/>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Distributions to non-controlling interest</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0" w:type="dxa"/>
            <w:vAlign w:val="bottom"/>
          </w:tcPr>
          <w:p>
            <w:pPr>
              <w:spacing w:after="0"/>
              <w:rPr>
                <w:sz w:val="1"/>
                <w:szCs w:val="1"/>
                <w:color w:val="auto"/>
              </w:rPr>
            </w:pPr>
          </w:p>
        </w:tc>
      </w:tr>
      <w:tr>
        <w:trPr>
          <w:trHeight w:val="170"/>
        </w:trPr>
        <w:tc>
          <w:tcPr>
            <w:tcW w:w="84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3"/>
                <w:szCs w:val="13"/>
                <w:color w:val="auto"/>
              </w:rPr>
              <w:t>Dividends/distributions</w:t>
            </w:r>
          </w:p>
        </w:tc>
        <w:tc>
          <w:tcPr>
            <w:tcW w:w="7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(355,783)</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(253,190)</w:t>
            </w:r>
          </w:p>
        </w:tc>
        <w:tc>
          <w:tcPr>
            <w:tcW w:w="0" w:type="dxa"/>
            <w:vAlign w:val="bottom"/>
          </w:tcPr>
          <w:p>
            <w:pPr>
              <w:spacing w:after="0"/>
              <w:rPr>
                <w:sz w:val="1"/>
                <w:szCs w:val="1"/>
                <w:color w:val="auto"/>
              </w:rPr>
            </w:pPr>
          </w:p>
        </w:tc>
      </w:tr>
      <w:tr>
        <w:trPr>
          <w:trHeight w:val="175"/>
        </w:trPr>
        <w:tc>
          <w:tcPr>
            <w:tcW w:w="844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3"/>
                <w:szCs w:val="13"/>
                <w:color w:val="auto"/>
              </w:rPr>
              <w:t>Net cash used in financing activities</w:t>
            </w:r>
          </w:p>
        </w:tc>
        <w:tc>
          <w:tcPr>
            <w:tcW w:w="7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(154,842)</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(319,139)</w:t>
            </w:r>
          </w:p>
        </w:tc>
        <w:tc>
          <w:tcPr>
            <w:tcW w:w="0" w:type="dxa"/>
            <w:vAlign w:val="bottom"/>
          </w:tcPr>
          <w:p>
            <w:pPr>
              <w:spacing w:after="0"/>
              <w:rPr>
                <w:sz w:val="1"/>
                <w:szCs w:val="1"/>
                <w:color w:val="auto"/>
              </w:rPr>
            </w:pPr>
          </w:p>
        </w:tc>
      </w:tr>
      <w:tr>
        <w:trPr>
          <w:trHeight w:val="163"/>
        </w:trPr>
        <w:tc>
          <w:tcPr>
            <w:tcW w:w="84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3"/>
                <w:szCs w:val="13"/>
                <w:color w:val="auto"/>
              </w:rPr>
              <w:t>Effect of exchange rate changes in cash and cash equivalents</w:t>
            </w:r>
          </w:p>
        </w:tc>
        <w:tc>
          <w:tcPr>
            <w:tcW w:w="7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(232)</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143</w:t>
            </w:r>
          </w:p>
        </w:tc>
        <w:tc>
          <w:tcPr>
            <w:tcW w:w="0" w:type="dxa"/>
            <w:vAlign w:val="bottom"/>
          </w:tcPr>
          <w:p>
            <w:pPr>
              <w:spacing w:after="0"/>
              <w:rPr>
                <w:sz w:val="1"/>
                <w:szCs w:val="1"/>
                <w:color w:val="auto"/>
              </w:rPr>
            </w:pPr>
          </w:p>
        </w:tc>
      </w:tr>
      <w:tr>
        <w:trPr>
          <w:trHeight w:val="175"/>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Net decrease in cash and cash equivalents</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(20,433)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(34,000)</w:t>
            </w:r>
          </w:p>
        </w:tc>
        <w:tc>
          <w:tcPr>
            <w:tcW w:w="0" w:type="dxa"/>
            <w:vAlign w:val="bottom"/>
          </w:tcPr>
          <w:p>
            <w:pPr>
              <w:spacing w:after="0"/>
              <w:rPr>
                <w:sz w:val="1"/>
                <w:szCs w:val="1"/>
                <w:color w:val="auto"/>
              </w:rPr>
            </w:pPr>
          </w:p>
        </w:tc>
      </w:tr>
      <w:tr>
        <w:trPr>
          <w:trHeight w:val="170"/>
        </w:trPr>
        <w:tc>
          <w:tcPr>
            <w:tcW w:w="84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3"/>
                <w:szCs w:val="13"/>
                <w:color w:val="auto"/>
              </w:rPr>
              <w:t>Cash and cash equivalents at beginning of period</w:t>
            </w:r>
          </w:p>
        </w:tc>
        <w:tc>
          <w:tcPr>
            <w:tcW w:w="7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99,788</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121,569</w:t>
            </w:r>
          </w:p>
        </w:tc>
        <w:tc>
          <w:tcPr>
            <w:tcW w:w="0" w:type="dxa"/>
            <w:vAlign w:val="bottom"/>
          </w:tcPr>
          <w:p>
            <w:pPr>
              <w:spacing w:after="0"/>
              <w:rPr>
                <w:sz w:val="1"/>
                <w:szCs w:val="1"/>
                <w:color w:val="auto"/>
              </w:rPr>
            </w:pPr>
          </w:p>
        </w:tc>
      </w:tr>
      <w:tr>
        <w:trPr>
          <w:trHeight w:val="200"/>
        </w:trPr>
        <w:tc>
          <w:tcPr>
            <w:tcW w:w="84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Cash and cash equivalents at end of period</w:t>
            </w:r>
          </w:p>
        </w:tc>
        <w:tc>
          <w:tcPr>
            <w:tcW w:w="780" w:type="dxa"/>
            <w:vAlign w:val="bottom"/>
            <w:tcBorders>
              <w:bottom w:val="single" w:sz="8" w:color="auto"/>
            </w:tcBorders>
            <w:shd w:val="clear" w:color="auto" w:fill="CCEEFF"/>
          </w:tcPr>
          <w:p>
            <w:pPr>
              <w:jc w:val="right"/>
              <w:ind w:right="665"/>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79,355</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87,569</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3"/>
                <w:szCs w:val="13"/>
                <w:color w:val="auto"/>
              </w:rPr>
              <w:t>Supplemental disclosures of cash flow information:</w:t>
            </w: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844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6"/>
        </w:trPr>
        <w:tc>
          <w:tcPr>
            <w:tcW w:w="84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Cash paid for interest</w:t>
            </w:r>
          </w:p>
        </w:tc>
        <w:tc>
          <w:tcPr>
            <w:tcW w:w="780" w:type="dxa"/>
            <w:vAlign w:val="bottom"/>
            <w:tcBorders>
              <w:bottom w:val="single" w:sz="8" w:color="auto"/>
            </w:tcBorders>
            <w:shd w:val="clear" w:color="auto" w:fill="CCEEFF"/>
          </w:tcPr>
          <w:p>
            <w:pPr>
              <w:jc w:val="right"/>
              <w:ind w:right="665"/>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84,611</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87,729</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4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Cash paid for foreign, state and federal income taxes</w:t>
            </w:r>
          </w:p>
        </w:tc>
        <w:tc>
          <w:tcPr>
            <w:tcW w:w="780" w:type="dxa"/>
            <w:vAlign w:val="bottom"/>
            <w:tcBorders>
              <w:bottom w:val="single" w:sz="8" w:color="auto"/>
            </w:tcBorders>
          </w:tcPr>
          <w:p>
            <w:pPr>
              <w:jc w:val="right"/>
              <w:ind w:right="665"/>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8,254</w:t>
            </w:r>
          </w:p>
        </w:tc>
        <w:tc>
          <w:tcPr>
            <w:tcW w:w="100" w:type="dxa"/>
            <w:vAlign w:val="bottom"/>
          </w:tcPr>
          <w:p>
            <w:pPr>
              <w:spacing w:after="0"/>
              <w:rPr>
                <w:sz w:val="13"/>
                <w:szCs w:val="13"/>
                <w:color w:val="auto"/>
              </w:rPr>
            </w:pPr>
          </w:p>
        </w:tc>
        <w:tc>
          <w:tcPr>
            <w:tcW w:w="3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7,231</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80" w:hanging="172"/>
        <w:spacing w:after="0"/>
        <w:tabs>
          <w:tab w:leader="none" w:pos="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Significant Accounting Policies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information included in the foregoing interim condensed consolidated financial statements is unaudited. In the opinion of management, all adjustments, consisting of normal recurring adjustments, necessary for a fair presentation of the Company’s financial position and results of operations for the interim periods presented have been reflected herein. The results of operations for interim periods are not necessarily indicative of the results to be expected for the entire year. These interim condensed consolidated financial statements should be read in conjunction with the Company’s consolidated financial statements and the notes thereto included in the 2021 Combined Form 10-K. Subsequent events, if any, are evaluated through the date on which the financial statements are issued.</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1, 2022, the Company's direct wholly owned subsidiary Lamar Media Corp. (“Lamar Media”) entered into the Amended and Restated Limited Partnership Agreement (the “Partnership Agreement”) of Lamar Advertising Limited Partnership (the “OP”) as the initial limited partner, along with its wholly owned subsidiary, Lamar Advertising General Partner, LLC, as the general partner of the OP (the “General Partner”). Lamar Media formed the OP and contributed all of its assets to the OP in connection with the Company’s reorganization (the "Reorganization") as a specific type of real estate investment trust (“REIT”) known as an Umbrella Partnership Real Estate Investment Trust (“UPREIT”). The Company completed the Reorganization to facilitate tax-deferred contributions of properties to the OP in exchange for limited partnership interests in the OP. The Reorganization did not have a material impact on our condensed consolidated financial statements.</w:t>
      </w:r>
    </w:p>
    <w:p>
      <w:pPr>
        <w:spacing w:after="0" w:line="297" w:lineRule="exact"/>
        <w:rPr>
          <w:sz w:val="20"/>
          <w:szCs w:val="20"/>
          <w:color w:val="auto"/>
        </w:rPr>
      </w:pPr>
    </w:p>
    <w:p>
      <w:pPr>
        <w:ind w:left="180" w:hanging="172"/>
        <w:spacing w:after="0"/>
        <w:tabs>
          <w:tab w:leader="none" w:pos="1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Revenues</w:t>
      </w:r>
    </w:p>
    <w:p>
      <w:pPr>
        <w:spacing w:after="0" w:line="11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Advertising revenues</w:t>
      </w:r>
      <w:r>
        <w:rPr>
          <w:rFonts w:ascii="Times New Roman" w:cs="Times New Roman" w:eastAsia="Times New Roman" w:hAnsi="Times New Roman"/>
          <w:sz w:val="18"/>
          <w:szCs w:val="18"/>
          <w:color w:val="auto"/>
        </w:rPr>
        <w:t>: The majority of our revenues are derived from contracts for advertising space on billboard, logo and transit displays. Contracts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do not meet the criteria of a lease under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are accounted for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majority of our advertising space contracts do not meet the definition of a lease under ASC 842 and are therefore accounted for under ASC 606. The contract revenues are recognized ratably over their contract life. Costs to fulfill a contract, which include our costs to install advertising copy onto billboards, are capitalized and amortized to direct advertising expenses (exclusive of depreciation and amortization) in the Condensed Consolidated Statements of Income and Comprehensive Income.</w:t>
      </w:r>
    </w:p>
    <w:p>
      <w:pPr>
        <w:spacing w:after="0" w:line="18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revenues: </w:t>
      </w:r>
      <w:r>
        <w:rPr>
          <w:rFonts w:ascii="Times New Roman" w:cs="Times New Roman" w:eastAsia="Times New Roman" w:hAnsi="Times New Roman"/>
          <w:sz w:val="18"/>
          <w:szCs w:val="18"/>
          <w:color w:val="auto"/>
        </w:rPr>
        <w:t>Our other component of revenue primarily consists of production services which includes creating and printing the advertising copy.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for production contracts is recognized under ASC 606. Contract revenues for production services are recognized upon satisfaction of the contract which is typically less than one week.</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Arrangements with multiple performance obligations: </w:t>
      </w:r>
      <w:r>
        <w:rPr>
          <w:rFonts w:ascii="Times New Roman" w:cs="Times New Roman" w:eastAsia="Times New Roman" w:hAnsi="Times New Roman"/>
          <w:sz w:val="18"/>
          <w:szCs w:val="18"/>
          <w:color w:val="auto"/>
        </w:rPr>
        <w:t>Our contracts with customers may include multiple performance obligations. For such arrangements,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allocate revenue to each performance obligation based on the relative standalone selling price. We determine standalone selling prices based on the prices charged to customers using expected cost plus margin.</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Deferred revenues: </w:t>
      </w:r>
      <w:r>
        <w:rPr>
          <w:rFonts w:ascii="Times New Roman" w:cs="Times New Roman" w:eastAsia="Times New Roman" w:hAnsi="Times New Roman"/>
          <w:sz w:val="18"/>
          <w:szCs w:val="18"/>
          <w:color w:val="auto"/>
        </w:rPr>
        <w:t>We record deferred revenues when cash payments are received or due in advance of our performance obligation. The term between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invoicing and when a payment is due is not significant. For certain services we require payment before the product or services are delivered to the customer. The balance of deferred income is considered short-term and will be recognized in revenue within twelve months.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Practical expedients and exemptions: </w:t>
      </w:r>
      <w:r>
        <w:rPr>
          <w:rFonts w:ascii="Times New Roman" w:cs="Times New Roman" w:eastAsia="Times New Roman" w:hAnsi="Times New Roman"/>
          <w:sz w:val="18"/>
          <w:szCs w:val="18"/>
          <w:color w:val="auto"/>
        </w:rPr>
        <w:t>The Company is utilizing the following practical expedients and exemptions from ASC 606. We generally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commissions when incurred because the amortization period is one year or less. These costs are recorded within direct advertising expenses (exclusive of depreciation and amortization). We do not disclose the value of unsatisfied performance obligations as the majority of our contracts with customers have an original expected length of less than one year. For contracts with customers which exceed one year, the future amount to be invoiced to the customer corresponds directly with the value to be received by the customer.</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disaggregated revenue by source for the three and nine months ended September 30, 2022 and 2021.</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4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2440" w:type="dxa"/>
            <w:vAlign w:val="bottom"/>
            <w:gridSpan w:val="4"/>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6"/>
        </w:trPr>
        <w:tc>
          <w:tcPr>
            <w:tcW w:w="56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r>
      <w:tr>
        <w:trPr>
          <w:trHeight w:val="196"/>
        </w:trPr>
        <w:tc>
          <w:tcPr>
            <w:tcW w:w="562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FF0FC"/>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FF0FC"/>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Billboard advertising</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471,450</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430,103</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1,337,015</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1,169,426</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Logo advertising</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60,137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58,820</w:t>
            </w:r>
          </w:p>
        </w:tc>
      </w:tr>
      <w:tr>
        <w:trPr>
          <w:trHeight w:val="229"/>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Transit advertising</w:t>
            </w: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36,308</w:t>
            </w:r>
          </w:p>
        </w:tc>
        <w:tc>
          <w:tcPr>
            <w:tcW w:w="1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27,071</w:t>
            </w: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99,478</w:t>
            </w:r>
          </w:p>
        </w:tc>
        <w:tc>
          <w:tcPr>
            <w:tcW w:w="1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64,581</w:t>
            </w: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527,390</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476,894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1,496,630</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1,292,827</w:t>
            </w:r>
          </w:p>
        </w:tc>
      </w:tr>
      <w:tr>
        <w:trPr>
          <w:trHeight w:val="21"/>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80" w:hanging="172"/>
        <w:spacing w:after="0"/>
        <w:tabs>
          <w:tab w:leader="none" w:pos="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Leases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three months ended September 30, 2022 and 2021, we had operating lease costs of $74,927 and $72,789, respectively, and variable lease costs of $17,910 and $22,514, respectively. During the nine months ended September 30, 2022 and 2021, we had operating lease costs of $227,129 and $218,139, respectively, and variable lease costs of $45,785 and $56,507, respectively. These operating lease costs are recorded in direct advertising expenses (exclusive of depreciation and amortization). For the three months ended September 30, 2022 and 2021, we recorded a (gain) loss of ($106) and $349, respectively, in gain on disposition of assets related to the amendment and termination of lease agreements. For the nine months ended September 30, 2022 and 2021, we recorded a (gain) loss of ($576) and $296, respectively, in gain on disposition of assets related to the amendment and termination of lease agreements. Cash payments of $255,436 and $243,690 were made reducing our operating lease liabilities for the nine months ended September 30, 2022 and 2021, respectively, and are included in cash flows provided by operating activities in the Condensed Consolidated Statements of Cash Flows.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elected the short-term lease exemption which applies to certain of our vehicle agreements. This election allows the Company to not recognize lease right of use assets ("ROU assets") or lease liabilities for agreements with a term of twelve months or less. We recorded $1,943 and $1,579 in direct advertising expenses (exclusive of depreciation and amortization) for these agreements during the three months ended September 30, 2022 and 2021, respectively. We recorded $5,494 and $4,471 in direct advertising expenses (exclusive of depreciation and amortization) for these agreements during the nine months ended September 30, 2022 and 2021, respectively.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operating leases have a weighted-average remaining lease term of 12.3 years. The weighted-average discount rate of our operating leases is 4.6%. Also, during the periods ended September 30, 2022 and 2021, we obtained $37,518 and $25,401, respectively, of leased assets in exchange for new operating lease liabilities, which includes liabilities obtained through acquisitions.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is a summary of the maturities of our operating lease liabilities as of September 30, 2022:</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121"/>
        </w:trPr>
        <w:tc>
          <w:tcPr>
            <w:tcW w:w="99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230"/>
        </w:trPr>
        <w:tc>
          <w:tcPr>
            <w:tcW w:w="9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38,728</w:t>
            </w:r>
          </w:p>
        </w:tc>
      </w:tr>
      <w:tr>
        <w:trPr>
          <w:trHeight w:val="229"/>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214,565</w:t>
            </w:r>
          </w:p>
        </w:tc>
      </w:tr>
      <w:tr>
        <w:trPr>
          <w:trHeight w:val="230"/>
        </w:trPr>
        <w:tc>
          <w:tcPr>
            <w:tcW w:w="9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182,568</w:t>
            </w: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155,303</w:t>
            </w:r>
          </w:p>
        </w:tc>
      </w:tr>
      <w:tr>
        <w:trPr>
          <w:trHeight w:val="230"/>
        </w:trPr>
        <w:tc>
          <w:tcPr>
            <w:tcW w:w="9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130,949</w:t>
            </w:r>
          </w:p>
        </w:tc>
      </w:tr>
      <w:tr>
        <w:trPr>
          <w:trHeight w:val="229"/>
        </w:trPr>
        <w:tc>
          <w:tcPr>
            <w:tcW w:w="99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868,615</w:t>
            </w:r>
          </w:p>
        </w:tc>
      </w:tr>
      <w:tr>
        <w:trPr>
          <w:trHeight w:val="223"/>
        </w:trPr>
        <w:tc>
          <w:tcPr>
            <w:tcW w:w="9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undiscounted operating lease payments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1,590,728</w:t>
            </w:r>
          </w:p>
        </w:tc>
      </w:tr>
      <w:tr>
        <w:trPr>
          <w:trHeight w:val="229"/>
        </w:trPr>
        <w:tc>
          <w:tcPr>
            <w:tcW w:w="99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(402,633)</w:t>
            </w:r>
          </w:p>
        </w:tc>
      </w:tr>
      <w:tr>
        <w:trPr>
          <w:trHeight w:val="248"/>
        </w:trPr>
        <w:tc>
          <w:tcPr>
            <w:tcW w:w="9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1,188,095</w:t>
            </w:r>
          </w:p>
        </w:tc>
      </w:tr>
      <w:tr>
        <w:trPr>
          <w:trHeight w:val="20"/>
        </w:trPr>
        <w:tc>
          <w:tcPr>
            <w:tcW w:w="99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2022 and 2021, $713 of amortization expense for each period and $135 and $145 of interest expense relating to our financing lease liabilities were recorded in depreciation and amortization and interest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3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expense, respectively, in the Condensed Consolidated Statements of Income and Comprehensive Income. During the nine months ended September 30, 2022 and 2021, $2,140 of amortization expense for each period and $412 and $443 of interest expense relating to our financing lease liabilities were recorded in depreciation and amortization and interest expense, respectively, in the Condensed Consolidated Statements of Income and Comprehensive Income. Cash payments of $998 were made reducing our financing lease liabilities for each of the nine months ended September 30, 2022 and 2021 and are included in cash flows used in financing activities in the Condensed Consolidated Statements of Cash Flows. Our financing leases have a weighted-average remaining lease term of 5.2 years and a weighted-average discount rate of 3.1%.</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Due to our election not to reassess conclusions about lease identification as part of the adoption of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our transit agreements were accounted for as leases on January 1, 2019. As we enter into new or renew current transit agreements, those agreements do not meet the criteria of a lease under ASC 842, therefore they are no longer accounted for as a lease. For the three months ended September 30, 2022 and 2021, non-lease variable transit payments were $22,019 and $8,625, respectively. For the nine months ended September 30, 2022 and 2021, non-lease variable transit payments were $63,538 and $19,213, respectively. These transit expenses are recorded in direct advertising expenses (exclusive of depreciation and amortization) on the Condensed Consolidated Statements of Income and Comprehensive Income.</w:t>
      </w:r>
    </w:p>
    <w:p>
      <w:pPr>
        <w:spacing w:after="0" w:line="184" w:lineRule="exact"/>
        <w:rPr>
          <w:sz w:val="20"/>
          <w:szCs w:val="20"/>
          <w:color w:val="auto"/>
        </w:rPr>
      </w:pPr>
    </w:p>
    <w:p>
      <w:pPr>
        <w:ind w:left="180" w:hanging="172"/>
        <w:spacing w:after="0"/>
        <w:tabs>
          <w:tab w:leader="none" w:pos="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Acquisitions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2022, the Company completed over 50 acquisitions of outdoor advertising assets for a total purchase price of $287,860.</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of these acquisitions was accounted for under the acquisition method of accounting, and, accordingly, the accompanying condensed consolidated financial statements include the results of operations of each acquired entity from the date of acquisition. The acquisition purchase price has been allocated to assets acquired and liabilities assumed based on preliminary fair market value estimates at the dates of acquisition.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allocation of the purchase price in the above transactions, which includes the preliminary values for the acquisition of Burkhart Advertising Inc., which was completed on May 4, 2022 for an aggregate purchase price of $130,000.</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41,876</w:t>
            </w:r>
          </w:p>
        </w:tc>
      </w:tr>
      <w:tr>
        <w:trPr>
          <w:trHeight w:val="230"/>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5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66,514</w:t>
            </w:r>
          </w:p>
        </w:tc>
      </w:tr>
      <w:tr>
        <w:trPr>
          <w:trHeight w:val="23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Site locations</w:t>
            </w: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156,154</w:t>
            </w:r>
          </w:p>
        </w:tc>
      </w:tr>
      <w:tr>
        <w:trPr>
          <w:trHeight w:val="230"/>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5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r>
      <w:tr>
        <w:trPr>
          <w:trHeight w:val="22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lists and contracts</w:t>
            </w: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21,646</w:t>
            </w:r>
          </w:p>
        </w:tc>
      </w:tr>
      <w:tr>
        <w:trPr>
          <w:trHeight w:val="230"/>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acquisition costs</w:t>
            </w:r>
          </w:p>
        </w:tc>
        <w:tc>
          <w:tcPr>
            <w:tcW w:w="5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r>
      <w:tr>
        <w:trPr>
          <w:trHeight w:val="23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w:t>
            </w:r>
          </w:p>
        </w:tc>
      </w:tr>
      <w:tr>
        <w:trPr>
          <w:trHeight w:val="230"/>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5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(6,367)</w:t>
            </w:r>
          </w:p>
        </w:tc>
      </w:tr>
      <w:tr>
        <w:trPr>
          <w:trHeight w:val="22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32,184</w:t>
            </w:r>
          </w:p>
        </w:tc>
      </w:tr>
      <w:tr>
        <w:trPr>
          <w:trHeight w:val="230"/>
        </w:trPr>
        <w:tc>
          <w:tcPr>
            <w:tcW w:w="9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(28,631)</w:t>
            </w:r>
          </w:p>
        </w:tc>
      </w:tr>
      <w:tr>
        <w:trPr>
          <w:trHeight w:val="248"/>
        </w:trPr>
        <w:tc>
          <w:tcPr>
            <w:tcW w:w="90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287,860</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acquired intangible assets for the nine months ended September 30, 2022 were $246,941, of which $66,514 was assigned to goodwill. Goodwill is not amortized for financial statement purposes and $456 of goodwill related to 2022 acquisitions is expected to be deductible for tax purposes. The acquired intangible assets have a weighted average useful life of approximately 14 years. The intangible assets include customer lists and contracts of $21,646 (7 year weighted average useful life) and site locations of $156,154 (15 year weighted average useful life). The aggregate amortization expense related to the 2022 acquisitions for the nine months ended September 30, 2022 was $9,234.</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unaudited pro forma financial information for the Company gives effect to the 2022 and 2021 acquisitions as if they had occurred on January 1, 2021. These pro forma results do not purport to be indicative of the results of operations which actually would have resulted had the acquisitions occurred on such date or to project the Company's results of operations for any future period.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4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2340" w:type="dxa"/>
            <w:vAlign w:val="bottom"/>
            <w:gridSpan w:val="3"/>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95"/>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5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6"/>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527,648</w:t>
            </w:r>
          </w:p>
        </w:tc>
        <w:tc>
          <w:tcPr>
            <w:tcW w:w="5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496,342</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1,506,087</w:t>
            </w:r>
          </w:p>
        </w:tc>
        <w:tc>
          <w:tcPr>
            <w:tcW w:w="5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1,346,542</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applicable to common stock</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146,155</w:t>
            </w:r>
          </w:p>
        </w:tc>
        <w:tc>
          <w:tcPr>
            <w:tcW w:w="5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111,907</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370,122</w:t>
            </w:r>
          </w:p>
        </w:tc>
        <w:tc>
          <w:tcPr>
            <w:tcW w:w="5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265,214</w:t>
            </w: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common share- basic</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1.44</w:t>
            </w:r>
          </w:p>
        </w:tc>
        <w:tc>
          <w:tcPr>
            <w:tcW w:w="5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3.65</w:t>
            </w:r>
          </w:p>
        </w:tc>
        <w:tc>
          <w:tcPr>
            <w:tcW w:w="5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34"/>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common share- diluted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1.44</w:t>
            </w:r>
          </w:p>
        </w:tc>
        <w:tc>
          <w:tcPr>
            <w:tcW w:w="5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3.64</w:t>
            </w:r>
          </w:p>
        </w:tc>
        <w:tc>
          <w:tcPr>
            <w:tcW w:w="5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r>
    </w:tbl>
    <w:p>
      <w:pPr>
        <w:spacing w:after="0" w:line="395" w:lineRule="exact"/>
        <w:rPr>
          <w:sz w:val="20"/>
          <w:szCs w:val="20"/>
          <w:color w:val="auto"/>
        </w:rPr>
      </w:pPr>
    </w:p>
    <w:p>
      <w:pPr>
        <w:ind w:left="180" w:hanging="172"/>
        <w:spacing w:after="0"/>
        <w:tabs>
          <w:tab w:leader="none" w:pos="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Stock-Based Compensation</w:t>
      </w:r>
    </w:p>
    <w:p>
      <w:pPr>
        <w:spacing w:after="0" w:line="11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Equity Incentive Plan. </w:t>
      </w:r>
      <w:r>
        <w:rPr>
          <w:rFonts w:ascii="Times New Roman" w:cs="Times New Roman" w:eastAsia="Times New Roman" w:hAnsi="Times New Roman"/>
          <w:sz w:val="18"/>
          <w:szCs w:val="18"/>
          <w:color w:val="auto"/>
        </w:rPr>
        <w:t>Lamar Advertising’s 1996 Equity Incentive Plan, as amended, (the “Incentive Plan”) has reserved 17.5 million shares of Class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for issuance to directors and employees, including shares underlying granted options and common stock reserved for issuance under its performance-based incentive program. Options granted under the plan expire ten years from the grant date with vesting terms ranging from three to five years and include 1) options that vest in one-fifth increments beginning on the grant date and continuing on each of the first four anniversaries of the grant date and 2) options that cliff-vest on the fifth anniversary of the grant date. All grants are made at fair market value based on the closing price of our Class A common stock as reported on the Nasdaq Global Select Market on the date of grant.</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 a Black-Scholes-Merton option pricing model to estimate the fair value of share-based awards. The Black-Scholes-Merton option pricing model incorporates various and highly subjective assumptions, including expected term and expected volatility. The Company granted options for an aggregate of 151,500 shares of its Class A common stock during the nine months ended September 30, 2022. At September 30, 2022 a total of 1,963,413 shares were available for future grant.</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Stock Purchase Plan. </w:t>
      </w:r>
      <w:r>
        <w:rPr>
          <w:rFonts w:ascii="Times New Roman" w:cs="Times New Roman" w:eastAsia="Times New Roman" w:hAnsi="Times New Roman"/>
          <w:sz w:val="18"/>
          <w:szCs w:val="18"/>
          <w:color w:val="auto"/>
        </w:rPr>
        <w:t>On May 30, 2019, our shareholders approved Lamar Advertising’s 2019 Employee Stock Purchase Plan (the “2019 ESPP”).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number of shares of Class A common stock available under the 2019 ESPP was automatically increased by 86,853 shares on January 1, 2022 pursuant to the automatic increase provisions of the 2019 ESPP.</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2019 ESPP share activity for the nine months ended September 30, 2022:</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80" w:type="dxa"/>
            <w:vAlign w:val="bottom"/>
          </w:tcPr>
          <w:p>
            <w:pPr>
              <w:spacing w:after="0"/>
              <w:rPr>
                <w:sz w:val="16"/>
                <w:szCs w:val="16"/>
                <w:color w:val="auto"/>
              </w:rPr>
            </w:pPr>
          </w:p>
        </w:tc>
        <w:tc>
          <w:tcPr>
            <w:tcW w:w="134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23"/>
        </w:trPr>
        <w:tc>
          <w:tcPr>
            <w:tcW w:w="9880" w:type="dxa"/>
            <w:vAlign w:val="bottom"/>
            <w:tcBorders>
              <w:bottom w:val="single" w:sz="8" w:color="CFF0FC"/>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9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Available for future purchases, January 1, 2022</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342,226</w:t>
            </w:r>
          </w:p>
        </w:tc>
      </w:tr>
      <w:tr>
        <w:trPr>
          <w:trHeight w:val="230"/>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shares reserved under 2019 ESPP</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86,853</w:t>
            </w:r>
          </w:p>
        </w:tc>
      </w:tr>
      <w:tr>
        <w:trPr>
          <w:trHeight w:val="230"/>
        </w:trPr>
        <w:tc>
          <w:tcPr>
            <w:tcW w:w="9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Purchases</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(103,535)</w:t>
            </w:r>
          </w:p>
        </w:tc>
      </w:tr>
      <w:tr>
        <w:trPr>
          <w:trHeight w:val="223"/>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 for future purchases, September 30, 2022</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325,544</w:t>
            </w:r>
          </w:p>
        </w:tc>
      </w:tr>
      <w:tr>
        <w:trPr>
          <w:trHeight w:val="20"/>
        </w:trPr>
        <w:tc>
          <w:tcPr>
            <w:tcW w:w="98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Performance-based stock compensation. </w:t>
      </w:r>
      <w:r>
        <w:rPr>
          <w:rFonts w:ascii="Times New Roman" w:cs="Times New Roman" w:eastAsia="Times New Roman" w:hAnsi="Times New Roman"/>
          <w:sz w:val="18"/>
          <w:szCs w:val="18"/>
          <w:color w:val="auto"/>
        </w:rPr>
        <w:t>Unrestricted shares of our Class A common stock may be awarded to key officers, employees and directors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Incentive Plan. The number of shares to be issued, if any, will be dependent on the level of achievement of performance measures for key officers and employees, as determined by the Company’s Compensation Committee based on our 2022 results. Any shares issued based on the achievement of performance goals will be issued in the first quarter of 2023. The shares subject to these awards can range from a minimum of 0% to a maximum of 100% of the target number of shares depending on the level at which the goals are attained. For the three months ended September 30, 2022 and 2021, the Company recorded $3,830 and $11,521, respectively, as stock-based compensation expense related to performance-based awards. For the nine months ended September 30, 2022 and 2021, the Company recorded $9,789 and $18,379, respectively, as stock-based compensation expense related to performance-based awards.</w:t>
      </w:r>
    </w:p>
    <w:p>
      <w:pPr>
        <w:sectPr>
          <w:pgSz w:w="11900" w:h="16838" w:orient="portrait"/>
          <w:cols w:equalWidth="0" w:num="1">
            <w:col w:w="11240"/>
          </w:cols>
          <w:pgMar w:left="320" w:top="445"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LTIP Units</w:t>
      </w:r>
      <w:r>
        <w:rPr>
          <w:rFonts w:ascii="Times New Roman" w:cs="Times New Roman" w:eastAsia="Times New Roman" w:hAnsi="Times New Roman"/>
          <w:sz w:val="18"/>
          <w:szCs w:val="18"/>
          <w:color w:val="auto"/>
        </w:rPr>
        <w:t>. In addition to performance-based stock compensation, the Company may issue LTIP Units of the OP, a subsidiary of the Company, to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officers, employees and directors under the Incentive Plan of the Company. Such LTIP Units are subject to vesting and forfeiture conditions based on performance criteria approved by the Compensation Committee, which mirrors the performance criteria applicable to the Company's performance-based stock compensation, as described above. LTIP Units are a class of units intended to qualify as “profits interests” of the OP. The LTIP Units convert into Common Units of the OP upon the occurrence of certain events. Common Units are redeemable by the holder for cash, or at the option of the general partner of the OP, shares of the Company’s Class A common stock after a holding period of twelve months. On July 1, 2022, the OP issued a total of 88,000 LTIP Units to the Company’s executive officers.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Restricted stock compensation. </w:t>
      </w:r>
      <w:r>
        <w:rPr>
          <w:rFonts w:ascii="Times New Roman" w:cs="Times New Roman" w:eastAsia="Times New Roman" w:hAnsi="Times New Roman"/>
          <w:sz w:val="18"/>
          <w:szCs w:val="18"/>
          <w:color w:val="auto"/>
        </w:rPr>
        <w:t>Annually, each non-employee director automatically receives a restricted stock award of our Class A common stock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election or re-election. The awards vest 50% on grant date and 50% on the last day of the directors' one year term. For the three months ended September 30, 2022 and 2021, the Company recorded $73 and $70, respectively, in stock-based compensation expense related to these awards. For the nine months ended September 30, 2022 and 2021, the Company recorded $502 and $544, respectively, in stock-based compensation expense related to these awards.</w:t>
      </w:r>
    </w:p>
    <w:p>
      <w:pPr>
        <w:spacing w:after="0" w:line="290" w:lineRule="exact"/>
        <w:rPr>
          <w:sz w:val="20"/>
          <w:szCs w:val="20"/>
          <w:color w:val="auto"/>
        </w:rPr>
      </w:pPr>
    </w:p>
    <w:p>
      <w:pPr>
        <w:ind w:left="180" w:hanging="172"/>
        <w:spacing w:after="0"/>
        <w:tabs>
          <w:tab w:leader="none" w:pos="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Depreciation and Amortization</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includes all categories of depreciation and amortization on a separate line in its Condensed Consolidated Statements of Income and Comprehensive Income. The amounts of depreciation and amortization expense excluded from the following operating expenses in its Condensed Consolidated Statements of Income and Comprehensive Income are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4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2440" w:type="dxa"/>
            <w:vAlign w:val="bottom"/>
            <w:gridSpan w:val="4"/>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6"/>
        </w:trPr>
        <w:tc>
          <w:tcPr>
            <w:tcW w:w="56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r>
      <w:tr>
        <w:trPr>
          <w:trHeight w:val="196"/>
        </w:trPr>
        <w:tc>
          <w:tcPr>
            <w:tcW w:w="564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FF0FC"/>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FF0FC"/>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Direct advertising expenses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60,842</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80,068</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187,992</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192,816</w:t>
            </w:r>
          </w:p>
        </w:tc>
      </w:tr>
      <w:tr>
        <w:trPr>
          <w:trHeight w:val="22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3,338</w:t>
            </w:r>
          </w:p>
        </w:tc>
      </w:tr>
      <w:tr>
        <w:trPr>
          <w:trHeight w:val="230"/>
        </w:trPr>
        <w:tc>
          <w:tcPr>
            <w:tcW w:w="5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expenses</w:t>
            </w: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1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3,164</w:t>
            </w: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10,234</w:t>
            </w:r>
          </w:p>
        </w:tc>
        <w:tc>
          <w:tcPr>
            <w:tcW w:w="1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9,517</w:t>
            </w:r>
          </w:p>
        </w:tc>
      </w:tr>
      <w:tr>
        <w:trPr>
          <w:trHeight w:val="223"/>
        </w:trPr>
        <w:tc>
          <w:tcPr>
            <w:tcW w:w="56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65,833</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84,300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202,210</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205,671</w:t>
            </w:r>
          </w:p>
        </w:tc>
      </w:tr>
      <w:tr>
        <w:trPr>
          <w:trHeight w:val="20"/>
        </w:trPr>
        <w:tc>
          <w:tcPr>
            <w:tcW w:w="5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ind w:left="180" w:hanging="172"/>
        <w:spacing w:after="0"/>
        <w:tabs>
          <w:tab w:leader="none" w:pos="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Goodwill and Other Intangible Assets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intangible assets at September 30, 2022 and December 31, 2021: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40" w:type="dxa"/>
            <w:vAlign w:val="bottom"/>
          </w:tcPr>
          <w:p>
            <w:pPr>
              <w:spacing w:after="0"/>
              <w:rPr>
                <w:sz w:val="16"/>
                <w:szCs w:val="16"/>
                <w:color w:val="auto"/>
              </w:rPr>
            </w:pPr>
          </w:p>
        </w:tc>
        <w:tc>
          <w:tcPr>
            <w:tcW w:w="272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60" w:type="dxa"/>
            <w:vAlign w:val="bottom"/>
          </w:tcPr>
          <w:p>
            <w:pPr>
              <w:spacing w:after="0"/>
              <w:rPr>
                <w:sz w:val="16"/>
                <w:szCs w:val="16"/>
                <w:color w:val="auto"/>
              </w:rPr>
            </w:pPr>
          </w:p>
        </w:tc>
        <w:tc>
          <w:tcPr>
            <w:tcW w:w="2600" w:type="dxa"/>
            <w:vAlign w:val="bottom"/>
            <w:gridSpan w:val="4"/>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4200" w:type="dxa"/>
            <w:vAlign w:val="bottom"/>
          </w:tcPr>
          <w:p>
            <w:pPr>
              <w:spacing w:after="0"/>
              <w:rPr>
                <w:sz w:val="2"/>
                <w:szCs w:val="2"/>
                <w:color w:val="auto"/>
              </w:rPr>
            </w:pPr>
          </w:p>
        </w:tc>
        <w:tc>
          <w:tcPr>
            <w:tcW w:w="1420" w:type="dxa"/>
            <w:vAlign w:val="bottom"/>
            <w:gridSpan w:val="2"/>
            <w:vMerge w:val="continue"/>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4200" w:type="dxa"/>
            <w:vAlign w:val="bottom"/>
          </w:tcPr>
          <w:p>
            <w:pPr>
              <w:spacing w:after="0"/>
              <w:rPr>
                <w:sz w:val="13"/>
                <w:szCs w:val="13"/>
                <w:color w:val="auto"/>
              </w:rPr>
            </w:pPr>
          </w:p>
        </w:tc>
        <w:tc>
          <w:tcPr>
            <w:tcW w:w="1560" w:type="dxa"/>
            <w:vAlign w:val="bottom"/>
            <w:gridSpan w:val="3"/>
          </w:tcPr>
          <w:p>
            <w:pPr>
              <w:jc w:val="center"/>
              <w:ind w:right="150"/>
              <w:spacing w:after="0" w:line="155"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130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Pr>
          <w:p>
            <w:pPr>
              <w:spacing w:after="0"/>
              <w:rPr>
                <w:sz w:val="13"/>
                <w:szCs w:val="13"/>
                <w:color w:val="auto"/>
              </w:rPr>
            </w:pPr>
          </w:p>
        </w:tc>
        <w:tc>
          <w:tcPr>
            <w:tcW w:w="1240" w:type="dxa"/>
            <w:vAlign w:val="bottom"/>
            <w:gridSpan w:val="2"/>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1280" w:type="dxa"/>
            <w:vAlign w:val="bottom"/>
            <w:gridSpan w:val="2"/>
          </w:tcPr>
          <w:p>
            <w:pPr>
              <w:jc w:val="center"/>
              <w:ind w:right="280"/>
              <w:spacing w:after="0" w:line="155"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Pr>
          <w:p>
            <w:pPr>
              <w:spacing w:after="0"/>
              <w:rPr>
                <w:sz w:val="13"/>
                <w:szCs w:val="13"/>
                <w:color w:val="auto"/>
              </w:rPr>
            </w:pPr>
          </w:p>
        </w:tc>
        <w:tc>
          <w:tcPr>
            <w:tcW w:w="1140" w:type="dxa"/>
            <w:vAlign w:val="bottom"/>
          </w:tcPr>
          <w:p>
            <w:pPr>
              <w:jc w:val="right"/>
              <w:ind w:right="175"/>
              <w:spacing w:after="0" w:line="15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98"/>
        </w:trPr>
        <w:tc>
          <w:tcPr>
            <w:tcW w:w="4200" w:type="dxa"/>
            <w:vAlign w:val="bottom"/>
          </w:tcPr>
          <w:p>
            <w:pPr>
              <w:spacing w:after="0"/>
              <w:rPr>
                <w:sz w:val="17"/>
                <w:szCs w:val="17"/>
                <w:color w:val="auto"/>
              </w:rPr>
            </w:pPr>
          </w:p>
        </w:tc>
        <w:tc>
          <w:tcPr>
            <w:tcW w:w="1560" w:type="dxa"/>
            <w:vAlign w:val="bottom"/>
            <w:gridSpan w:val="3"/>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11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214"/>
        </w:trPr>
        <w:tc>
          <w:tcPr>
            <w:tcW w:w="420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13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lists and contracts</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7—10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698,330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607,675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676,846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587,056</w:t>
            </w: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1560" w:type="dxa"/>
            <w:vAlign w:val="bottom"/>
            <w:gridSpan w:val="3"/>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3—15</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71,293</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65,449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69,276</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64,941</w:t>
            </w: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Site locations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2,774,518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1,754,384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2,619,531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1,680,333</w:t>
            </w: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560" w:type="dxa"/>
            <w:vAlign w:val="bottom"/>
            <w:gridSpan w:val="3"/>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2—15</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51,866</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40,141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51,261</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39,407</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3,596,007</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2,467,649</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3,416,914</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2,371,737</w:t>
            </w: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Unamortizable intangible assets:</w:t>
            </w: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2,256,283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253,536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2,189,962</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253,536</w:t>
            </w:r>
          </w:p>
        </w:tc>
        <w:tc>
          <w:tcPr>
            <w:tcW w:w="0" w:type="dxa"/>
            <w:vAlign w:val="bottom"/>
          </w:tcPr>
          <w:p>
            <w:pPr>
              <w:spacing w:after="0"/>
              <w:rPr>
                <w:sz w:val="1"/>
                <w:szCs w:val="1"/>
                <w:color w:val="auto"/>
              </w:rPr>
            </w:pPr>
          </w:p>
        </w:tc>
      </w:tr>
      <w:tr>
        <w:trPr>
          <w:trHeight w:val="900"/>
        </w:trPr>
        <w:tc>
          <w:tcPr>
            <w:tcW w:w="4200" w:type="dxa"/>
            <w:vAlign w:val="bottom"/>
          </w:tcPr>
          <w:p>
            <w:pPr>
              <w:spacing w:after="0"/>
              <w:rPr>
                <w:sz w:val="24"/>
                <w:szCs w:val="24"/>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80" w:hanging="172"/>
        <w:spacing w:after="0"/>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Asset Retirement Obligations</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asset retirement obligations include the costs associated with the removal of its structures, resurfacing of the land and retirement cost, if applicable, related to the Company’s outdoor advertising portfolio. The following table reflects information related to our asset retirement obligations: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4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269,367</w:t>
            </w:r>
          </w:p>
        </w:tc>
      </w:tr>
      <w:tr>
        <w:trPr>
          <w:trHeight w:val="229"/>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asset retirement obligations</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4,593</w:t>
            </w:r>
          </w:p>
        </w:tc>
      </w:tr>
      <w:tr>
        <w:trPr>
          <w:trHeight w:val="230"/>
        </w:trPr>
        <w:tc>
          <w:tcPr>
            <w:tcW w:w="9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Revision in estimates</w:t>
            </w:r>
          </w:p>
        </w:tc>
        <w:tc>
          <w:tcPr>
            <w:tcW w:w="4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3,524</w:t>
            </w:r>
          </w:p>
        </w:tc>
      </w:tr>
      <w:tr>
        <w:trPr>
          <w:trHeight w:val="229"/>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 expense</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w:t>
            </w:r>
          </w:p>
        </w:tc>
      </w:tr>
      <w:tr>
        <w:trPr>
          <w:trHeight w:val="229"/>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settled</w:t>
            </w: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w:t>
            </w:r>
          </w:p>
        </w:tc>
      </w:tr>
      <w:tr>
        <w:trPr>
          <w:trHeight w:val="223"/>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278,092</w:t>
            </w:r>
          </w:p>
        </w:tc>
      </w:tr>
      <w:tr>
        <w:trPr>
          <w:trHeight w:val="21"/>
        </w:trPr>
        <w:tc>
          <w:tcPr>
            <w:tcW w:w="98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ind w:left="180" w:hanging="172"/>
        <w:spacing w:after="0"/>
        <w:tabs>
          <w:tab w:leader="none" w:pos="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Distribution Restrictions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Lamar Media’s ability to make distributions to Lamar Advertising is restricted under both the terms of the indentures relating to Lamar Media’s outstanding notes and by the terms of its senior credit facility. As of September 30, 2022 and December 31, 2021, Lamar Media was permitted under the terms of its outstanding notes to make transfers to Lamar Advertising in the form of cash dividends, loans or advances in amounts up to $4,134,731 and $3,921,979, respectively.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September 30, 2022, Lamar Media’s senior credit facility allows it to make transfers to Lamar Advertising in any taxable year up to the amount of Lamar Advertising’s taxable income (without any deduction for dividends paid). In addition, as of September 30, 2022, transfers to Lamar Advertising are permitted under Lamar Media’s senior credit facility and as defined therein up to the available cumulative credit, as long as no default has occurred and is continuing and, after giving effect to such distributions, (i) the total debt ratio is less than 7.0 to 1 and (ii) the secured debt ratio does not exceed 4.5 to 1. As of September 30, 2022, the total debt ratio was less than 7.0 to 1 and Lamar Media’s secured debt ratio was less than 4.5 to 1, and the available cumulative credit was $2,885,210.</w:t>
      </w:r>
    </w:p>
    <w:p>
      <w:pPr>
        <w:spacing w:after="0" w:line="295" w:lineRule="exact"/>
        <w:rPr>
          <w:sz w:val="20"/>
          <w:szCs w:val="20"/>
          <w:color w:val="auto"/>
        </w:rPr>
      </w:pPr>
    </w:p>
    <w:p>
      <w:pPr>
        <w:ind w:left="280" w:hanging="272"/>
        <w:spacing w:after="0"/>
        <w:tabs>
          <w:tab w:leader="none" w:pos="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Earnings Per Share</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calculation of basic earnings per share excludes any dilutive effect of stock options, while diluted earnings per share includes the dilutive effect of stock options. There were no dilutive shares excluded from this calculation resulting from their anti-dilutive effect for the three and nine months ended September 30, 2022 or 2021.</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80" w:hanging="272"/>
        <w:spacing w:after="0"/>
        <w:tabs>
          <w:tab w:leader="none" w:pos="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Long-term Debt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consists of the following at September 30, 2022 and December 31, 2021: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0" w:type="dxa"/>
            <w:vAlign w:val="bottom"/>
          </w:tcPr>
          <w:p>
            <w:pPr>
              <w:spacing w:after="0"/>
              <w:rPr>
                <w:sz w:val="16"/>
                <w:szCs w:val="16"/>
                <w:color w:val="auto"/>
              </w:rPr>
            </w:pPr>
          </w:p>
        </w:tc>
        <w:tc>
          <w:tcPr>
            <w:tcW w:w="6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40" w:type="dxa"/>
            <w:vAlign w:val="bottom"/>
          </w:tcPr>
          <w:p>
            <w:pPr>
              <w:spacing w:after="0"/>
              <w:rPr>
                <w:sz w:val="2"/>
                <w:szCs w:val="2"/>
                <w:color w:val="auto"/>
              </w:rPr>
            </w:pPr>
          </w:p>
        </w:tc>
        <w:tc>
          <w:tcPr>
            <w:tcW w:w="68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140" w:type="dxa"/>
            <w:vAlign w:val="bottom"/>
          </w:tcPr>
          <w:p>
            <w:pPr>
              <w:spacing w:after="0"/>
              <w:rPr>
                <w:sz w:val="11"/>
                <w:szCs w:val="11"/>
                <w:color w:val="auto"/>
              </w:rPr>
            </w:pPr>
          </w:p>
        </w:tc>
        <w:tc>
          <w:tcPr>
            <w:tcW w:w="6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160" w:type="dxa"/>
            <w:vAlign w:val="bottom"/>
          </w:tcPr>
          <w:p>
            <w:pPr>
              <w:spacing w:after="0"/>
              <w:rPr>
                <w:sz w:val="11"/>
                <w:szCs w:val="11"/>
                <w:color w:val="auto"/>
              </w:rPr>
            </w:pPr>
          </w:p>
        </w:tc>
        <w:tc>
          <w:tcPr>
            <w:tcW w:w="1160" w:type="dxa"/>
            <w:vAlign w:val="bottom"/>
          </w:tcPr>
          <w:p>
            <w:pPr>
              <w:jc w:val="center"/>
              <w:ind w:right="74"/>
              <w:spacing w:after="0" w:line="129" w:lineRule="exact"/>
              <w:rPr>
                <w:sz w:val="20"/>
                <w:szCs w:val="20"/>
                <w:color w:val="auto"/>
              </w:rPr>
            </w:pPr>
            <w:r>
              <w:rPr>
                <w:rFonts w:ascii="Times New Roman" w:cs="Times New Roman" w:eastAsia="Times New Roman" w:hAnsi="Times New Roman"/>
                <w:sz w:val="14"/>
                <w:szCs w:val="14"/>
                <w:b w:val="1"/>
                <w:bCs w:val="1"/>
                <w:color w:val="auto"/>
              </w:rPr>
              <w:t>Debt, net of</w:t>
            </w:r>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Debt</w:t>
            </w:r>
          </w:p>
        </w:tc>
        <w:tc>
          <w:tcPr>
            <w:tcW w:w="1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ind w:right="74"/>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6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160" w:type="dxa"/>
            <w:vAlign w:val="bottom"/>
          </w:tcPr>
          <w:p>
            <w:pPr>
              <w:spacing w:after="0"/>
              <w:rPr>
                <w:sz w:val="17"/>
                <w:szCs w:val="17"/>
                <w:color w:val="auto"/>
              </w:rPr>
            </w:pPr>
          </w:p>
        </w:tc>
        <w:tc>
          <w:tcPr>
            <w:tcW w:w="116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0" w:type="dxa"/>
            <w:vAlign w:val="bottom"/>
          </w:tcPr>
          <w:p>
            <w:pPr>
              <w:spacing w:after="0"/>
              <w:rPr>
                <w:sz w:val="1"/>
                <w:szCs w:val="1"/>
                <w:color w:val="auto"/>
              </w:rPr>
            </w:pPr>
          </w:p>
        </w:tc>
      </w:tr>
      <w:tr>
        <w:trPr>
          <w:trHeight w:val="229"/>
        </w:trPr>
        <w:tc>
          <w:tcPr>
            <w:tcW w:w="70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Credit Facility</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948,907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940,056</w:t>
            </w:r>
          </w:p>
        </w:tc>
        <w:tc>
          <w:tcPr>
            <w:tcW w:w="0" w:type="dxa"/>
            <w:vAlign w:val="bottom"/>
          </w:tcPr>
          <w:p>
            <w:pPr>
              <w:spacing w:after="0"/>
              <w:rPr>
                <w:sz w:val="1"/>
                <w:szCs w:val="1"/>
                <w:color w:val="auto"/>
              </w:rPr>
            </w:pPr>
          </w:p>
        </w:tc>
      </w:tr>
      <w:tr>
        <w:trPr>
          <w:trHeight w:val="230"/>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Receivable Securitization Program</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199,349</w:t>
            </w:r>
          </w:p>
        </w:tc>
        <w:tc>
          <w:tcPr>
            <w:tcW w:w="0" w:type="dxa"/>
            <w:vAlign w:val="bottom"/>
          </w:tcPr>
          <w:p>
            <w:pPr>
              <w:spacing w:after="0"/>
              <w:rPr>
                <w:sz w:val="1"/>
                <w:szCs w:val="1"/>
                <w:color w:val="auto"/>
              </w:rPr>
            </w:pPr>
          </w:p>
        </w:tc>
      </w:tr>
      <w:tr>
        <w:trPr>
          <w:trHeight w:val="229"/>
        </w:trPr>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3/4% Senior Notes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593,737</w:t>
            </w:r>
          </w:p>
        </w:tc>
        <w:tc>
          <w:tcPr>
            <w:tcW w:w="0" w:type="dxa"/>
            <w:vAlign w:val="bottom"/>
          </w:tcPr>
          <w:p>
            <w:pPr>
              <w:spacing w:after="0"/>
              <w:rPr>
                <w:sz w:val="1"/>
                <w:szCs w:val="1"/>
                <w:color w:val="auto"/>
              </w:rPr>
            </w:pPr>
          </w:p>
        </w:tc>
      </w:tr>
      <w:tr>
        <w:trPr>
          <w:trHeight w:val="229"/>
        </w:trPr>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5/8% Senior Notes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542,833</w:t>
            </w: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 Senior Notes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549,418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542,768</w:t>
            </w:r>
          </w:p>
        </w:tc>
        <w:tc>
          <w:tcPr>
            <w:tcW w:w="0" w:type="dxa"/>
            <w:vAlign w:val="bottom"/>
          </w:tcPr>
          <w:p>
            <w:pPr>
              <w:spacing w:after="0"/>
              <w:rPr>
                <w:sz w:val="1"/>
                <w:szCs w:val="1"/>
                <w:color w:val="auto"/>
              </w:rPr>
            </w:pPr>
          </w:p>
        </w:tc>
      </w:tr>
      <w:tr>
        <w:trPr>
          <w:trHeight w:val="229"/>
        </w:trPr>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w:t>
            </w:r>
          </w:p>
        </w:tc>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7/8% Senior Notes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395,437</w:t>
            </w: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notes with various rates and terms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68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3,250,430</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34,145</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3,216,285</w:t>
            </w: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(200,373)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(199,722)</w:t>
            </w:r>
          </w:p>
        </w:tc>
        <w:tc>
          <w:tcPr>
            <w:tcW w:w="0" w:type="dxa"/>
            <w:vAlign w:val="bottom"/>
          </w:tcPr>
          <w:p>
            <w:pPr>
              <w:spacing w:after="0"/>
              <w:rPr>
                <w:sz w:val="1"/>
                <w:szCs w:val="1"/>
                <w:color w:val="auto"/>
              </w:rPr>
            </w:pPr>
          </w:p>
        </w:tc>
      </w:tr>
      <w:tr>
        <w:trPr>
          <w:trHeight w:val="223"/>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 excluding current maturities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3,050,057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33,494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3,016,563</w:t>
            </w:r>
          </w:p>
        </w:tc>
        <w:tc>
          <w:tcPr>
            <w:tcW w:w="0" w:type="dxa"/>
            <w:vAlign w:val="bottom"/>
          </w:tcPr>
          <w:p>
            <w:pPr>
              <w:spacing w:after="0"/>
              <w:rPr>
                <w:sz w:val="1"/>
                <w:szCs w:val="1"/>
                <w:color w:val="auto"/>
              </w:rPr>
            </w:pPr>
          </w:p>
        </w:tc>
      </w:tr>
      <w:tr>
        <w:trPr>
          <w:trHeight w:val="21"/>
        </w:trPr>
        <w:tc>
          <w:tcPr>
            <w:tcW w:w="14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8"/>
        </w:trPr>
        <w:tc>
          <w:tcPr>
            <w:tcW w:w="14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40" w:type="dxa"/>
            <w:vAlign w:val="bottom"/>
          </w:tcPr>
          <w:p>
            <w:pPr>
              <w:spacing w:after="0"/>
              <w:rPr>
                <w:sz w:val="2"/>
                <w:szCs w:val="2"/>
                <w:color w:val="auto"/>
              </w:rPr>
            </w:pPr>
          </w:p>
        </w:tc>
        <w:tc>
          <w:tcPr>
            <w:tcW w:w="68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40" w:type="dxa"/>
            <w:vAlign w:val="bottom"/>
          </w:tcPr>
          <w:p>
            <w:pPr>
              <w:spacing w:after="0"/>
              <w:rPr>
                <w:sz w:val="11"/>
                <w:szCs w:val="11"/>
                <w:color w:val="auto"/>
              </w:rPr>
            </w:pPr>
          </w:p>
        </w:tc>
        <w:tc>
          <w:tcPr>
            <w:tcW w:w="6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160" w:type="dxa"/>
            <w:vAlign w:val="bottom"/>
          </w:tcPr>
          <w:p>
            <w:pPr>
              <w:spacing w:after="0"/>
              <w:rPr>
                <w:sz w:val="11"/>
                <w:szCs w:val="11"/>
                <w:color w:val="auto"/>
              </w:rPr>
            </w:pPr>
          </w:p>
        </w:tc>
        <w:tc>
          <w:tcPr>
            <w:tcW w:w="1160" w:type="dxa"/>
            <w:vAlign w:val="bottom"/>
          </w:tcPr>
          <w:p>
            <w:pPr>
              <w:jc w:val="center"/>
              <w:ind w:right="74"/>
              <w:spacing w:after="0" w:line="131" w:lineRule="exact"/>
              <w:rPr>
                <w:sz w:val="20"/>
                <w:szCs w:val="20"/>
                <w:color w:val="auto"/>
              </w:rPr>
            </w:pPr>
            <w:r>
              <w:rPr>
                <w:rFonts w:ascii="Times New Roman" w:cs="Times New Roman" w:eastAsia="Times New Roman" w:hAnsi="Times New Roman"/>
                <w:sz w:val="14"/>
                <w:szCs w:val="14"/>
                <w:b w:val="1"/>
                <w:bCs w:val="1"/>
                <w:color w:val="auto"/>
              </w:rPr>
              <w:t>Debt, net of</w:t>
            </w:r>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Debt</w:t>
            </w:r>
          </w:p>
        </w:tc>
        <w:tc>
          <w:tcPr>
            <w:tcW w:w="1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ind w:right="74"/>
              <w:spacing w:after="0" w:line="146"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0" w:type="dxa"/>
            <w:vAlign w:val="bottom"/>
          </w:tcPr>
          <w:p>
            <w:pPr>
              <w:spacing w:after="0"/>
              <w:rPr>
                <w:sz w:val="1"/>
                <w:szCs w:val="1"/>
                <w:color w:val="auto"/>
              </w:rPr>
            </w:pPr>
          </w:p>
        </w:tc>
      </w:tr>
      <w:tr>
        <w:trPr>
          <w:trHeight w:val="198"/>
        </w:trPr>
        <w:tc>
          <w:tcPr>
            <w:tcW w:w="140" w:type="dxa"/>
            <w:vAlign w:val="bottom"/>
          </w:tcPr>
          <w:p>
            <w:pPr>
              <w:spacing w:after="0"/>
              <w:rPr>
                <w:sz w:val="17"/>
                <w:szCs w:val="17"/>
                <w:color w:val="auto"/>
              </w:rPr>
            </w:pPr>
          </w:p>
        </w:tc>
        <w:tc>
          <w:tcPr>
            <w:tcW w:w="6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160" w:type="dxa"/>
            <w:vAlign w:val="bottom"/>
          </w:tcPr>
          <w:p>
            <w:pPr>
              <w:spacing w:after="0"/>
              <w:rPr>
                <w:sz w:val="17"/>
                <w:szCs w:val="17"/>
                <w:color w:val="auto"/>
              </w:rPr>
            </w:pPr>
          </w:p>
        </w:tc>
        <w:tc>
          <w:tcPr>
            <w:tcW w:w="116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0" w:type="dxa"/>
            <w:vAlign w:val="bottom"/>
          </w:tcPr>
          <w:p>
            <w:pPr>
              <w:spacing w:after="0"/>
              <w:rPr>
                <w:sz w:val="1"/>
                <w:szCs w:val="1"/>
                <w:color w:val="auto"/>
              </w:rPr>
            </w:pPr>
          </w:p>
        </w:tc>
      </w:tr>
      <w:tr>
        <w:trPr>
          <w:trHeight w:val="228"/>
        </w:trPr>
        <w:tc>
          <w:tcPr>
            <w:tcW w:w="70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Credit Facility</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773,717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764,411</w:t>
            </w:r>
          </w:p>
        </w:tc>
        <w:tc>
          <w:tcPr>
            <w:tcW w:w="0" w:type="dxa"/>
            <w:vAlign w:val="bottom"/>
          </w:tcPr>
          <w:p>
            <w:pPr>
              <w:spacing w:after="0"/>
              <w:rPr>
                <w:sz w:val="1"/>
                <w:szCs w:val="1"/>
                <w:color w:val="auto"/>
              </w:rPr>
            </w:pPr>
          </w:p>
        </w:tc>
      </w:tr>
      <w:tr>
        <w:trPr>
          <w:trHeight w:val="230"/>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Receivable Securitization Program</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174,415</w:t>
            </w:r>
          </w:p>
        </w:tc>
        <w:tc>
          <w:tcPr>
            <w:tcW w:w="0" w:type="dxa"/>
            <w:vAlign w:val="bottom"/>
          </w:tcPr>
          <w:p>
            <w:pPr>
              <w:spacing w:after="0"/>
              <w:rPr>
                <w:sz w:val="1"/>
                <w:szCs w:val="1"/>
                <w:color w:val="auto"/>
              </w:rPr>
            </w:pPr>
          </w:p>
        </w:tc>
      </w:tr>
      <w:tr>
        <w:trPr>
          <w:trHeight w:val="229"/>
        </w:trPr>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3/4% Senior Notes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592,964</w:t>
            </w:r>
          </w:p>
        </w:tc>
        <w:tc>
          <w:tcPr>
            <w:tcW w:w="0" w:type="dxa"/>
            <w:vAlign w:val="bottom"/>
          </w:tcPr>
          <w:p>
            <w:pPr>
              <w:spacing w:after="0"/>
              <w:rPr>
                <w:sz w:val="1"/>
                <w:szCs w:val="1"/>
                <w:color w:val="auto"/>
              </w:rPr>
            </w:pPr>
          </w:p>
        </w:tc>
      </w:tr>
      <w:tr>
        <w:trPr>
          <w:trHeight w:val="230"/>
        </w:trPr>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5/8% Senior Notes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542,289</w:t>
            </w: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 Senior Notes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549,359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542,151</w:t>
            </w:r>
          </w:p>
        </w:tc>
        <w:tc>
          <w:tcPr>
            <w:tcW w:w="0" w:type="dxa"/>
            <w:vAlign w:val="bottom"/>
          </w:tcPr>
          <w:p>
            <w:pPr>
              <w:spacing w:after="0"/>
              <w:rPr>
                <w:sz w:val="1"/>
                <w:szCs w:val="1"/>
                <w:color w:val="auto"/>
              </w:rPr>
            </w:pPr>
          </w:p>
        </w:tc>
      </w:tr>
      <w:tr>
        <w:trPr>
          <w:trHeight w:val="230"/>
        </w:trPr>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w:t>
            </w:r>
          </w:p>
        </w:tc>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7/8% Senior Notes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394,987</w:t>
            </w:r>
          </w:p>
        </w:tc>
        <w:tc>
          <w:tcPr>
            <w:tcW w:w="0" w:type="dxa"/>
            <w:vAlign w:val="bottom"/>
          </w:tcPr>
          <w:p>
            <w:pPr>
              <w:spacing w:after="0"/>
              <w:rPr>
                <w:sz w:val="1"/>
                <w:szCs w:val="1"/>
                <w:color w:val="auto"/>
              </w:rPr>
            </w:pPr>
          </w:p>
        </w:tc>
      </w:tr>
      <w:tr>
        <w:trPr>
          <w:trHeight w:val="229"/>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notes with various rates and terms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w:t>
            </w: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68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3,050,454</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36,859</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3,013,595</w:t>
            </w:r>
          </w:p>
        </w:tc>
        <w:tc>
          <w:tcPr>
            <w:tcW w:w="0" w:type="dxa"/>
            <w:vAlign w:val="bottom"/>
          </w:tcPr>
          <w:p>
            <w:pPr>
              <w:spacing w:after="0"/>
              <w:rPr>
                <w:sz w:val="1"/>
                <w:szCs w:val="1"/>
                <w:color w:val="auto"/>
              </w:rPr>
            </w:pPr>
          </w:p>
        </w:tc>
      </w:tr>
      <w:tr>
        <w:trPr>
          <w:trHeight w:val="229"/>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(175,363)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(174,778)</w:t>
            </w:r>
          </w:p>
        </w:tc>
        <w:tc>
          <w:tcPr>
            <w:tcW w:w="0" w:type="dxa"/>
            <w:vAlign w:val="bottom"/>
          </w:tcPr>
          <w:p>
            <w:pPr>
              <w:spacing w:after="0"/>
              <w:rPr>
                <w:sz w:val="1"/>
                <w:szCs w:val="1"/>
                <w:color w:val="auto"/>
              </w:rPr>
            </w:pPr>
          </w:p>
        </w:tc>
      </w:tr>
      <w:tr>
        <w:trPr>
          <w:trHeight w:val="223"/>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 excluding current maturities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2,875,091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36,274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2,838,817</w:t>
            </w:r>
          </w:p>
        </w:tc>
        <w:tc>
          <w:tcPr>
            <w:tcW w:w="0" w:type="dxa"/>
            <w:vAlign w:val="bottom"/>
          </w:tcPr>
          <w:p>
            <w:pPr>
              <w:spacing w:after="0"/>
              <w:rPr>
                <w:sz w:val="1"/>
                <w:szCs w:val="1"/>
                <w:color w:val="auto"/>
              </w:rPr>
            </w:pPr>
          </w:p>
        </w:tc>
      </w:tr>
      <w:tr>
        <w:trPr>
          <w:trHeight w:val="21"/>
        </w:trPr>
        <w:tc>
          <w:tcPr>
            <w:tcW w:w="14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Senior Credit Facility</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6, 2020, Lamar Media entered into a Fourth Amended and Restated Credit Agreement (the “Fourth Amended and Restated Credit Agreement”) with certain of Lamar Media’s subsidiaries as guarantors, JPMorgan Chase Bank, N.A. as administrative agent and the lenders party thereto, under which the parties agreed to amend and restate Lamar Media’s existing senior credit facility. The Fourth Amended and Restated Credit Agreement amended and restated the Third Amended and Restated Credit Agreement dated as of May 15, 2017, as amended (the “Third Amended and Restated Credit Agreement”).</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senior credit facility, as established by the Fourth Amended and Restated Credit Agreement (the “senior credit facility”), consists of (i) a $750,000 senior secured revolving credit facility which will mature on February 6, 2025 (the “revolving credit facility”), (ii) a $600,000 Term B loan facility (the “Term B loans”) which will mature on February 6, 2027, and (iii) an incremental facility (the “Incremental Facility”) pursuant to which Lamar Media may incur additional term loan tranches or increase its revolving credit facility subject to a pro forma secured debt ratio of 4.50 to 1.00, as well as certain other conditions including lender approval. Lamar Media borrowed all $600,000 in Term B loans on February 6, 2020. The entire amount of the Term B loans will be payable at maturity. The net proceeds from the Term B loans, together with borrowings under the</w:t>
      </w:r>
    </w:p>
    <w:p>
      <w:pPr>
        <w:sectPr>
          <w:pgSz w:w="11900" w:h="16838" w:orient="portrait"/>
          <w:cols w:equalWidth="0" w:num="1">
            <w:col w:w="11240"/>
          </w:cols>
          <w:pgMar w:left="320" w:top="445"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revolving portion of the senior credit facility and a portion of the proceeds of the issuance of the 3 3/4% Senior Notes due 2028 and 4% Senior Notes due 2030 (both as described below), were used to repay all outstanding amounts under the Third Amended and Restated Credit Agreement, and all revolving commitments under that facility were terminated.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 B loans mature on February 6, 2027 with no required amortization payments. The Term B loans bear interest at rates based on the Adjusted LIBO Rate (“Eurodollar term loans”) or the Adjusted Base Rate (“Base Rate term loans”), at Lamar Media’s option. Eurodollar term loans bear interest at a rate per annum equal to the Adjusted LIBO Rate plus 1.50%. Base Rate term loans bear interest at a rate per annum equal to the Adjusted Base Rate plus 0.50%.</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revolving credit facility bears interest at rates based on the Adjusted LIBO Rate (“Eurodollar revolving loans”) or the Adjusted Base Rate (“Base Rate revolving loans”), at Lamar Media’s option. Eurodollar revolving loans bear interest at a rate per annum equal to the Adjusted LIBO Rate plus 1.50% (or the Adjusted LIBO Rate plus 1.25% at any time the Total Debt Ratio is less than or equal to 3.25 to 1). Base Rate revolving loans bear interest at a rate per annum equal to the Adjusted Base Rate plus 0.50% (or the Adjusted Base Rate plus 0.25% at any time the total debt ratio is less than or equal to 3.25 to 1). The guarantees, covenants, events of default and other terms of the senior credit facility apply to the Term B loans and revolving credit facility.</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29, 2022, Lamar Media entered into Amendment No. 2 (the "Amendment No. 2") to the Fourth Amended and Restated Credit Agreement with certain of Lamar Media's subsidiaries as guarantors, JPMorgan Chase Bank, N.A. as administrative agent and the lenders party thereto. Amendment No. 2 establishes a new $350,000 Senior Secured Term Loan A loan (the "Term A loans") as a new class of incremental term loans. The Term A loans will mature on February 6, 2025 with no required amortization payments prior to maturity and bear interest at rates based on the Term Secured Overnight Financing Rate ("Term SOFR") plus 1.25% and a credit spread adjustment of 0.10%. The covenants, events of default and other terms of the senior credit facility apply to the Term A loans. Lamar Media borrowed all $350,000 in Term A loans on July 29, 2022. The entire amount of the Term A loans will be payable at maturity. Proceeds from the Term A loans were used to repay outstanding balances on the revolving credit facility and a portion of the outstanding balance on the Accounts Receivable Securitization Program.</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2022, there were no borrowings outstanding under the revolving credit facility. Availability under the revolving credit facility is reduced by the amount of any letters of credit outstanding. Lamar Media had $11,313 in letters of credit outstanding as of September 30, 2022 resulting in $738,687 of availability under its revolving credit facility. Revolving credit loans may be requested under the revolving credit facility at any time prior to its maturity on February 6,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terms of Lamar Media’s senior credit facility and the indentures relating to Lamar Media’s outstanding notes restrict, among other things, the ability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Lamar Advertising and Lamar Media to:</w:t>
      </w:r>
    </w:p>
    <w:p>
      <w:pPr>
        <w:spacing w:after="0" w:line="99" w:lineRule="exact"/>
        <w:rPr>
          <w:sz w:val="20"/>
          <w:szCs w:val="20"/>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dispose of assets;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repay debt;</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and</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senior credit facility contains provisions that allow Lamar Media to conduct its affairs in a manner that allows Lamar Advertising to qualify and remain qualified as a REIT, including by allowing Lamar Media to make distributions to Lamar Advertising required for the Company to qualify and remain qualified for taxation as a REIT, subject to certain restrictions.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Lamar Media’s ability to make distributions to Lamar Advertising is also restricted under the terms of these agreements. Under Lamar Media’s senior credit facility, the Company must maintain a specified secured debt ratio as long as a revolving credit commitment, revolving loan or letter of credit remains outstanding, and in addition, must satisfy a total debt ratio in order to incur debt, make distributions or make certain investments.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Lamar Advertising and Lamar Media were in compliance with all of the terms of their indentures and the senior credit facility provisions during the periods presented.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Securitization Program</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18, 2018, Lamar Media entered into a $175,000 Receivable Financing Agreement (the “Receivable Financing Agreement”) with its wholly-owned special purpose entities, Lamar QRS Receivables, LLC and Lamar TRS Receivables, LLC (the “Special Purpose Subsidiaries”) (the "Accounts Receivable Securitization Program"). The Accounts Receivable Securitization Program is limited to the availability of eligible accounts receivable collateralizing the borrowings under the agreements governing the Accounts Receivable Securitization Program.</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two separate Purchase and Sale Agreements dated December 18, 2018, each of which is among Lamar Media as initial Servicer, certain of Lamar Media’s subsidiaries and a Special Purpose Subsidiary, the subsidiaries sold substantially all of their existing and future accounts receivable balances to the Special Purpose Subsidiaries. The Special Purpose Subsidiaries use the accounts receivable balances to collateralize loans pursuant to the Accounts Receivable Securitization Program. Lamar Media retains the responsibility of servicing the accounts receivable balances pledged as collateral under the Accounts Receivable Securitization Program and provides a performance guaranty.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24, 2022, Lamar Media and the Special Purpose Subsidiaries entered into the Sixth Amendment (the "Sixth Amendment") to the Receivables Financing Agreement. The Sixth Amendment increased the Accounts Receivable Securitization Program from $175,000 to $250,000 and extended the maturity date of the Accounts Receivable Securitization Program to July 21, 2025. Additionally, the Sixth Amendment provides for the replacement of LIBOR-based interest rate mechanics with Term SOFR based interest rate mechanics for the Accounts Receivable Securitization Program.</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2022 there was $200,000 outstanding aggregate borrowings under the Accounts Receivable Securitization Program. Based on the availability of eligible accounts, Lamar Media had an additional $39,200 available for borrowing under the Accounts Receivable Securitization Program as of September 30, 2022. The commitment fees based on the amount of unused commitments under the Accounts Receivable Securitization Program were immaterial during the nine months ended September 30, 2022.</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Accounts Receivable Securitization Program will mature on July 21, 2025. Lamar Media may amend the facility to extend the maturity date, enter into a new securitization facility with a different maturity date, or refinance the indebtedness outstanding under the Accounts Receivable Securitization Program using borrowings under its senior credit facility or from other financing sources.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Accounts Receivable Securitization Program is accounted for as a collateralized financing activity, rather than a sale of assets, and therefore: (i) accounts receivable balances pledged as collateral are presented as assets and the borrowings are presented as liabilities on our Condensed Consolidated Balance Sheets, (ii) our Condensed Consolidated Statements of Income and Comprehensive Income reflect the associated charges for bad debt expense (a component of general and administrative expenses) related to the pledged accounts receivable and interest expense associated with the collateralized borrowings and (iii) receipts from customers related to the underlying accounts receivable are reflected as operating cash flows and borrowings and repayments under the collateralized loans are reflected as financing cash flows within our Condensed Consolidated Statements of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5 3/4% Senior Notes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28, 2016, Lamar Media completed an institutional private placement of $400,000 aggregate principal amount of 5 3/4% Senior Notes due 2026 (the “Original 5 3/4% Notes”). The institutional private placement on January 28, 2016 resulted in net proceeds to Lamar Media of approximately $394,500.</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1, 2019, Lamar Media completed an institutional private placement of an additional $250,000 aggregate principal amount of its 5 3/4% Notes (the “Additional 5 3/4% Notes", and together with the Original 5 3/4% Notes, the "5 3/4% Notes”).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than with respect to the date of issuance, issue price and CUSIP number, the Additional 5 3/4% Notes have the same terms as the Original 5 3/4% Notes. The net proceeds after underwriting fees and expenses, was approximately $251,500.</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3, 2021, Lamar Media redeemed in full all $650,000 aggregate principal amount 5 3/4% Notes. The 5 3/4% Notes redemption was completed using the proceeds received from the 3 5/8% Notes offering completed on January 22, 2021 (as described below), together with cash on hand and borrowings under the revolving credit facility and Accounts Receivable Securitization Program. The 5 3/4% Notes were redeemed at a redemption price equal to 102.875% of the aggregate principal amount of the outstanding notes, plus accrued and unpaid interest to (but not including) the redemption date. During the nine months ended September 30, 2021, the Company recorded a loss on debt extinguishment of approximately $21,604 related to the note redemption, of which $18,700 was in cash.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4% Senior Notes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6, 2020, Lamar Media completed an institutional private placement of $400,000 aggregate principal amount of 4% Senior Notes due 2030 (the “Original 4% Notes”). The institutional private placement on February 6, 2020 resulted in net proceeds to Lamar Media of approximately $395,000.</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19, 2020, Lamar Media completed an institutional private placement of an additional $150,000 aggregate principal amount of its 4% Notes (the “Additional 4% Notes”, and together with the Original 4% Notes, the "4% Notes"). Other than with respect to the date of issuance and issue price, the Additional 4% Notes have the same terms as the Original 4% Notes. The institutional private placement on August 19, 2020 resulted in net proceeds to Lamar Media of approximately $146,900.</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Lamar Media may redeem up to 40% of the aggregate principal amount of the 4% Notes, at any time and from time to time, at a price equal to 104% of the aggregate principal amount redeemed, plus accrued and unpaid interest thereon, with the net cash proceeds of certain public equity offerings completed before February 15, 2023, provided that following the redemption, at least 60% of the 4% Notes that were originally issued remain outstanding and any such redemption occurs within 120 days following the closing of any such public equity offering. At any time prior to February 15, 2025, Lamar Media may redeem some or all of the 4% Notes at a price equal to 100% of the aggregate principal amount, plus accrued and unpaid interest thereon and a make-whole premium. On or after February 15, 2025, Lamar Media may redeem the 4% Notes, in whole or in part, in cash at redemption prices specified in the 4% Notes. In addition, if the Company or Lamar Media undergoes a change of control, Lamar Media may be required to make an offer to purchase each holder’s 4% Notes at a price equal to 101% of the principal amount of the 4% Notes, plus accrued and unpaid interest, up to but not including the repurchase date.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3 3/4% Senior Notes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6, 2020, Lamar Media completed an institutional private placement of $600,000 aggregate principal amount of 3 3/4% Senior Notes due 2028 (the “3 3/4% Notes”). The institutional private placement on February 6, 2020 resulted in net proceeds to Lamar Media of approximately $592,500.</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Lamar Media may redeem up to 40% of the aggregate principal amount of 3 3/4% Notes, at any time and from time to time, at a price equal to 103.75% of the aggregate principal amount redeemed, plus accrued and unpaid interest thereon, with the net cash proceeds of certain public equity offerings completed before February 15, 2023, provided that following the redemption, at least 60% of the 3 3/4% Notes that were originally issued remain outstanding and any such redemption occurs within 120 days following the closing of any such public equity offering. At any time prior to February 15, 2023, Lamar Media may redeem some or all of the 3 3/4% Notes at a price equal to 100% of the aggregate principal amount, plus accrued and unpaid interest thereon and a make-whole premium. On or after February 15, 2023, Lamar Media may redeem the 3 3/4% Notes, in whole or in part, in cash at redemption prices specified in the 3 3/4% Notes. In addition, if the Company or Lamar Media undergoes a change of control, Lamar Media may be required to make an offer to purchase each holder’s 3 3/4% Notes at a price equal to 101% of the principal amount of the 3 3/4% Notes, plus accrued and unpaid interest, up to but not including the repurchase date.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4 7/8% Senior Notes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13, 2020, Lamar Media completed an institutional private placement of $400,000 aggregate principal amount of 4 7/8% Senior Notes due 2029 (the “4 7/8% Notes”). The institutional private placement on May 13, 2020 resulted in net proceeds to Lamar Media of approximately $395,000.</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Lamar Media may redeem up to 40% of the aggregate principal amount of the 4 7/8% Notes, at any time and from time to time, at a price equal to 104.875% of the aggregate principal amount redeemed, plus accrued and unpaid interest thereon, with the net cash proceeds of certain public equity offerings completed before May 15, 2023, provided that following the redemption, at least 60% of the 4 7/8% Notes that were originally issued remain outstanding and any such redemption occurs within 120 days following the closing of any such public equity offering. At any time prior to January 15, 2024, Lamar Media may redeem some or all of the 4 7/8% Notes at a price equal to 100% of the aggregate principal amount, plus accrued and unpaid interest thereon and a make-whole premium. On or after January 15, 2024, Lamar Media may redeem the 4 7/8% Notes, in whole or in part, in cash at redemption prices specified in the 4 7/8% Notes. In addition, if the Company or Lamar Media undergoes a change of control, Lamar Media may be required to make an offer to purchase each holder’s 4 7/8% Notes at a price equal to 101% of the principal amount of the 4 7/8% Notes, plus accrued and unpaid interest, up to but not including the repurchase date.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3 5/8% Senior Notes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22, 2021, Lamar Media completed an institutional private placement of $550,000 aggregate principal amount of 3 5/8% Senior Notes due 2031 (the “3 5/8% Notes”). The institutional private placement on January 22, 2021 resulted in net proceeds to Lamar Media of approximately $542,500.</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Lamar Media may redeem up to 40% of the aggregate principal amount of the 3 5/8% Notes, at any time and from time to time, at a price equal to 103.625% of the aggregate principal amount so redeemed, plus accrued and unpaid interest thereon, with the net cash proceeds of certain public equity offerings completed before January 15, 2024 provided that following the redemption, at least 60% of the 3 5/8% Notes that were originally issued remain outstanding and any such redemption occurs within 120 days following the closing of any such public equity offering. At any time prior to January 15, 2026, Lamar Media may redeem some or all of the 3 5/8% Notes at a price equal to 100% of the aggregate principal amount, plus accrued and unpaid interest thereon and a make-whole premium. On or after January 15, 2026, Lamar Media may redeem the 3 5/8% Notes, in whole or in part, in cash at redemption prices specified in the 3 5/8% Notes. In addition, if the Company or Lamar Media undergoes a change of control, Lamar Media may be required to make an offer to purchase each holder's 3 5/8% Notes at a price equal to 101% of the principal amount of the 3 5/8% Notes, plus accrued and unpaid interest, up to but not including the repurchase date.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Debt Repurchase Program</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16, 2020, the Company’s Board of Directors authorized Lamar Media to repurchase up to $250,000 in outstanding senior or senior subordinated notes and other indebtedness outstanding from time to time under its Fourth Amended and Restated Credit Agreement. On September 20, 2021, the Board of Directors authorized the extension of the repurchase program through March 31, 2023. There were no repurchases under the program as of September 30, 2022.</w:t>
      </w:r>
    </w:p>
    <w:p>
      <w:pPr>
        <w:spacing w:after="0" w:line="288" w:lineRule="exact"/>
        <w:rPr>
          <w:sz w:val="20"/>
          <w:szCs w:val="20"/>
          <w:color w:val="auto"/>
        </w:rPr>
      </w:pPr>
    </w:p>
    <w:p>
      <w:pPr>
        <w:ind w:left="280" w:hanging="272"/>
        <w:spacing w:after="0"/>
        <w:tabs>
          <w:tab w:leader="none" w:pos="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September 30, 2022 and December 31, 2021, the Company’s financial instruments included cash and cash equivalents, marketable securities, accounts receivable, investments, accounts payable and borrowings. The fair values of cash and cash equivalents, accounts receivable, accounts payable and short-term borrowings and current portion of long-term debt approximated carrying values because of the short-term nature of these instruments. Investment contracts are reported at fair values. The estimated fair value of the Company’s long-term debt (including current maturities) was $2,874,199 which does not exceed the carrying amount of $3,250,430 as of September 30, 2022. The majority of the fair value is determined using observed prices of publicly traded debt (level 1 in the fair value hierarchy) and the remaining is valued based on quoted prices for similar debt (level 2 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23" w:lineRule="exact"/>
        <w:rPr>
          <w:sz w:val="20"/>
          <w:szCs w:val="20"/>
          <w:color w:val="auto"/>
        </w:rPr>
      </w:pPr>
    </w:p>
    <w:p>
      <w:pPr>
        <w:ind w:left="280" w:hanging="272"/>
        <w:spacing w:after="0"/>
        <w:tabs>
          <w:tab w:leader="none" w:pos="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12, 2021, Lamar invested $30,000 to acquire a 20% minority interest in Vistar Media, a leading global provider of programmatic technology for the digital out-of-home sector. This investment is accounted for as an equity method investment and is included in other assets on the Condensed Consolidated Balance Sheet. For the three months ended September 30, 2022 and 2021, the Company recorded $1,554 and $1,141, respectively, in equity in earnings of investee on the Condensed Consolidated Statement of Income and Comprehensive Income. For the nine months ended September 30, 2022 and 2021, the Company recorded $2,593 and $1,141, respectively, in equity in earnings of investee on the Condensed Consolidated Statement of Income and Comprehensive Income.</w:t>
      </w:r>
    </w:p>
    <w:p>
      <w:pPr>
        <w:spacing w:after="0" w:line="295" w:lineRule="exact"/>
        <w:rPr>
          <w:sz w:val="20"/>
          <w:szCs w:val="20"/>
          <w:color w:val="auto"/>
        </w:rPr>
      </w:pPr>
    </w:p>
    <w:p>
      <w:pPr>
        <w:ind w:left="280" w:hanging="272"/>
        <w:spacing w:after="0"/>
        <w:tabs>
          <w:tab w:leader="none" w:pos="2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Accounting Pronouncements</w:t>
      </w:r>
    </w:p>
    <w:p>
      <w:pPr>
        <w:spacing w:after="0" w:line="1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March 2020, the FASB issued ASU 2020-04, </w:t>
      </w:r>
      <w:r>
        <w:rPr>
          <w:rFonts w:ascii="Times New Roman" w:cs="Times New Roman" w:eastAsia="Times New Roman" w:hAnsi="Times New Roman"/>
          <w:sz w:val="18"/>
          <w:szCs w:val="18"/>
          <w:i w:val="1"/>
          <w:iCs w:val="1"/>
          <w:color w:val="auto"/>
        </w:rPr>
        <w:t>Reference Rate Reform (Topic 848): Facilitation of the Effects of Reference Rate Reform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Reporting, </w:t>
      </w:r>
      <w:r>
        <w:rPr>
          <w:rFonts w:ascii="Times New Roman" w:cs="Times New Roman" w:eastAsia="Times New Roman" w:hAnsi="Times New Roman"/>
          <w:sz w:val="18"/>
          <w:szCs w:val="18"/>
          <w:color w:val="auto"/>
        </w:rPr>
        <w:t>which provides optional expedients and exceptions to account for contracts, hedging relationships and other transactions that reference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London Interbank Offered Rate (“LIBOR”) or another reference rate if certain criteria are met. In January 2021, the FASB clarified the scope of this guidance with the issuance of ASU 2021-01, </w:t>
      </w:r>
      <w:r>
        <w:rPr>
          <w:rFonts w:ascii="Times New Roman" w:cs="Times New Roman" w:eastAsia="Times New Roman" w:hAnsi="Times New Roman"/>
          <w:sz w:val="18"/>
          <w:szCs w:val="18"/>
          <w:i w:val="1"/>
          <w:iCs w:val="1"/>
          <w:color w:val="auto"/>
        </w:rPr>
        <w:t>Reference Rate Reform: Scope</w:t>
      </w:r>
      <w:r>
        <w:rPr>
          <w:rFonts w:ascii="Times New Roman" w:cs="Times New Roman" w:eastAsia="Times New Roman" w:hAnsi="Times New Roman"/>
          <w:sz w:val="18"/>
          <w:szCs w:val="18"/>
          <w:color w:val="auto"/>
        </w:rPr>
        <w:t>. ASU 2020-04 may be applied prospectively to contract modifications made and hedging relationships entered into or evaluated on or before December 31, 2022. As of September 30, 2022, the Company has modified the Accounts Receivable Securitization Program to provide for the replacement of LIBOR-based interest rates with Term SOFR based interest rates. The Term A loans established July 29, 2022 also bear interest using Term SOFR rates. This modification is not expected to have a material impact on the Company's consolidated financial statements.</w:t>
      </w:r>
    </w:p>
    <w:p>
      <w:pPr>
        <w:spacing w:after="0" w:line="7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October 2021, the FASB issued ASU 2021-08 </w:t>
      </w:r>
      <w:r>
        <w:rPr>
          <w:rFonts w:ascii="Times New Roman" w:cs="Times New Roman" w:eastAsia="Times New Roman" w:hAnsi="Times New Roman"/>
          <w:sz w:val="18"/>
          <w:szCs w:val="18"/>
          <w:i w:val="1"/>
          <w:iCs w:val="1"/>
          <w:color w:val="auto"/>
        </w:rPr>
        <w:t>Business Combinations (Topic 805): Accounting for Contract Assets and Contract Liabilities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with Customers, </w:t>
      </w:r>
      <w:r>
        <w:rPr>
          <w:rFonts w:ascii="Times New Roman" w:cs="Times New Roman" w:eastAsia="Times New Roman" w:hAnsi="Times New Roman"/>
          <w:sz w:val="18"/>
          <w:szCs w:val="18"/>
          <w:color w:val="auto"/>
        </w:rPr>
        <w:t>which provides guidance on the recognition and measurement of contract assets and contract liabilities acquired in a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 At the acquisition date, the acquirer should account for the related revenue contracts as if the acquirer had originated the contracts. The guidance also provides certain practical expedients for acquirers when recognizing and measuring acquired contract assets and contract liabilities from revenue contracts in a business combination. This guidance is effective for public entities as of December 15, 2022. We do not anticipate the adoption of this guidance will have a material impact on the Company's consolidated financial statements.</w:t>
      </w:r>
    </w:p>
    <w:p>
      <w:pPr>
        <w:spacing w:after="0" w:line="292" w:lineRule="exact"/>
        <w:rPr>
          <w:sz w:val="20"/>
          <w:szCs w:val="20"/>
          <w:color w:val="auto"/>
        </w:rPr>
      </w:pPr>
    </w:p>
    <w:p>
      <w:pPr>
        <w:ind w:left="280" w:hanging="272"/>
        <w:spacing w:after="0"/>
        <w:tabs>
          <w:tab w:leader="none" w:pos="2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Dividends/Distributions</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three months ended September 30, 2022 and 2021, the Company declared and paid cash distributions in an aggregate amount of $122,100 or $1.20 per share and $101,225 or $1.00 per share, respectively. During the nine months ended September 30, 2022 and 2021, the Company declared and paid cash distributions in an aggregate amount of $355,510 or $3.50 per share and $252,917 or $2.50 per share, respectively. The amount, timing and frequency of future distributions will be at the sole discretion of the Board of Directors and will be declared based upon various factors, a number of which may be beyond the Company’s control, including financial condition and operating cash flows, the amount required to maintain REIT status and reduce any income and excise taxes that the Company otherwise would be required to pay, limitations on distributions in our existing and future debt instruments, the Company’s ability to utilize net operating losses to offset, in whole or in part, the Company’s distribution requirements, limitations on its ability to fund distributions using cash generated through its taxable REIT subsidiaries (TRSs), the impact of general economic conditions on the Company’s operations and other factors that the Board of Directors may deem relevant. During the three and nine months ended September 30, 2022 and 2021, the Company paid cash dividend distributions to holders of its Series AA Preferred Stock in an aggregate amount of $91 or $15.95 per share and $273 or $47.85 per share for each period, respectively.</w:t>
      </w:r>
    </w:p>
    <w:p>
      <w:pPr>
        <w:spacing w:after="0" w:line="300" w:lineRule="exact"/>
        <w:rPr>
          <w:sz w:val="20"/>
          <w:szCs w:val="20"/>
          <w:color w:val="auto"/>
        </w:rPr>
      </w:pPr>
    </w:p>
    <w:p>
      <w:pPr>
        <w:ind w:left="280" w:hanging="272"/>
        <w:spacing w:after="0"/>
        <w:tabs>
          <w:tab w:leader="none" w:pos="2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 about Geographic Areas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Revenues from external customers attributable to foreign countries totaled $21,721 and $17,568 for the nine months ended September 30, 2022 and 2021, respectively. Net carrying value of long-lived assets located in foreign countries totaled $11,277 and $11,318 as of September 30, 2022 and December 31, 2021, respectively. All other revenues from external customers and long-lived assets relate to domestic operations.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80" w:hanging="272"/>
        <w:spacing w:after="0"/>
        <w:tabs>
          <w:tab w:leader="none" w:pos="2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Stockholders’ Equity</w:t>
      </w:r>
    </w:p>
    <w:p>
      <w:pPr>
        <w:spacing w:after="0" w:line="1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Sales Agreement. </w:t>
      </w:r>
      <w:r>
        <w:rPr>
          <w:rFonts w:ascii="Times New Roman" w:cs="Times New Roman" w:eastAsia="Times New Roman" w:hAnsi="Times New Roman"/>
          <w:sz w:val="18"/>
          <w:szCs w:val="18"/>
          <w:color w:val="auto"/>
        </w:rPr>
        <w:t>On May 1, 2018, the Company entered into an equity distribution agreement (the “Sales Agreement”) with J.P. Morgan Securities LLC,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Wells Fargo Securities LLC, and SunTrust Robinson Humphrey, Inc. as its sales agents. Under the terms of the Sales Agreement, the Company could have, from time to time, issued and sold shares of its Class A common stock, having an aggregate offering price of up to $400,000, through the sales agents party thereto as either agents or principals. The Sales Agreement expired by its terms on May 1, 2021 and as of that date, 842,412 shares of our Class A common stock were sold under the Sales Agreement.</w:t>
      </w:r>
    </w:p>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21, 2021, the Company entered into a new equity distribution agreement (the "2021 Sales Agreement") with J.P. Morgan Securities LLC, Wells Fargo Securities LLC, Truist Securities, Inc., SMBC Nikko Securities America, Inc. and Scotia Capital (USA) Inc. as our sales agents (each a "Sales Agent", and collectively, the "Sales Agents"), which replaced the prior Sales Agreement with substantially similar terms. Under the terms of the 2021 Sales Agreement, the Company may, from time to time, issue and sell shares of its Class A common stock, having an aggregate offering price of up to $400,000, through the Sales Agents as either agents or principals.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of the Class A common stock, if any, may be made in negotiated transactions or transactions that are deemed to be "at-the-market offerings" as defined in Rule 415 under the Securities Act of 1933, as amended, including sales made directly on or through the Nasdaq Global Select Market and any other existing trading market for the Class A common stock, or sales made to or directly through a market maker other than on an exchange. The Company has no obligation to sell any of the Class A Common stock under the 2021 Sales Agreement and may at any time suspend solicitations and offers under the 2021 Sales Agreement.</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September 30, 2022, no shares of our Class A common stock have been sold under the 2021 Sales Agreement and accordingly $400,000 remained available to be sold under the 2021 Sales Agreement as of September 30, 2022.</w:t>
      </w:r>
    </w:p>
    <w:p>
      <w:pPr>
        <w:spacing w:after="0" w:line="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Shelf Registration. </w:t>
      </w:r>
      <w:r>
        <w:rPr>
          <w:rFonts w:ascii="Times New Roman" w:cs="Times New Roman" w:eastAsia="Times New Roman" w:hAnsi="Times New Roman"/>
          <w:sz w:val="18"/>
          <w:szCs w:val="18"/>
          <w:color w:val="auto"/>
        </w:rPr>
        <w:t>On June 21, 2021, the Company filed an automatically effective shelf registration statement that allows Lamar Advertising to offer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sell an indeterminate amount of additional shares of its Class A common stock. During the nine months ended September 30, 2022 and the year ended December 31, 2021, the Company did not issue any shares under this shelf registration.</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Stock Repurchase Program. </w:t>
      </w:r>
      <w:r>
        <w:rPr>
          <w:rFonts w:ascii="Times New Roman" w:cs="Times New Roman" w:eastAsia="Times New Roman" w:hAnsi="Times New Roman"/>
          <w:sz w:val="18"/>
          <w:szCs w:val="18"/>
          <w:color w:val="auto"/>
        </w:rPr>
        <w:t>On March 16, 2020, the Company’s Board of Directors authorized the repurchase of up to $250,000 of the Company’s Class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On September 20, 2021, the Board of Directors authorized the extension of the repurchase program through March 31, 2023. There were no repurchases under the program as of September 30, 2022.</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34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0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5"/>
        </w:trPr>
        <w:tc>
          <w:tcPr>
            <w:tcW w:w="8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000" w:type="dxa"/>
            <w:vAlign w:val="bottom"/>
            <w:shd w:val="clear" w:color="auto" w:fill="CCEEFF"/>
          </w:tcPr>
          <w:p>
            <w:pPr>
              <w:ind w:left="37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78,855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99,288</w:t>
            </w:r>
          </w:p>
        </w:tc>
        <w:tc>
          <w:tcPr>
            <w:tcW w:w="0" w:type="dxa"/>
            <w:vAlign w:val="bottom"/>
          </w:tcPr>
          <w:p>
            <w:pPr>
              <w:spacing w:after="0"/>
              <w:rPr>
                <w:sz w:val="1"/>
                <w:szCs w:val="1"/>
                <w:color w:val="auto"/>
              </w:rPr>
            </w:pPr>
          </w:p>
        </w:tc>
      </w:tr>
      <w:tr>
        <w:trPr>
          <w:trHeight w:val="213"/>
        </w:trPr>
        <w:tc>
          <w:tcPr>
            <w:tcW w:w="80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Receivables, net of allowance for doubtful accounts of $11,388 and $11,195 in 2022 and 2021, respectively</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294,840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269,917</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30,826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18,902</w:t>
            </w:r>
          </w:p>
        </w:tc>
        <w:tc>
          <w:tcPr>
            <w:tcW w:w="0" w:type="dxa"/>
            <w:vAlign w:val="bottom"/>
          </w:tcPr>
          <w:p>
            <w:pPr>
              <w:spacing w:after="0"/>
              <w:rPr>
                <w:sz w:val="1"/>
                <w:szCs w:val="1"/>
                <w:color w:val="auto"/>
              </w:rPr>
            </w:pPr>
          </w:p>
        </w:tc>
      </w:tr>
      <w:tr>
        <w:trPr>
          <w:trHeight w:val="207"/>
        </w:trPr>
        <w:tc>
          <w:tcPr>
            <w:tcW w:w="80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404,521</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388,107</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3,912,020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3,782,288</w:t>
            </w:r>
          </w:p>
        </w:tc>
        <w:tc>
          <w:tcPr>
            <w:tcW w:w="0" w:type="dxa"/>
            <w:vAlign w:val="bottom"/>
          </w:tcPr>
          <w:p>
            <w:pPr>
              <w:spacing w:after="0"/>
              <w:rPr>
                <w:sz w:val="1"/>
                <w:szCs w:val="1"/>
                <w:color w:val="auto"/>
              </w:rPr>
            </w:pPr>
          </w:p>
        </w:tc>
      </w:tr>
      <w:tr>
        <w:trPr>
          <w:trHeight w:val="213"/>
        </w:trPr>
        <w:tc>
          <w:tcPr>
            <w:tcW w:w="8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(2,512,786)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(2,445,014)</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Net property, plant and equipment</w:t>
            </w: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1,399,234</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1,337,274</w:t>
            </w:r>
          </w:p>
        </w:tc>
        <w:tc>
          <w:tcPr>
            <w:tcW w:w="0" w:type="dxa"/>
            <w:vAlign w:val="bottom"/>
          </w:tcPr>
          <w:p>
            <w:pPr>
              <w:spacing w:after="0"/>
              <w:rPr>
                <w:sz w:val="1"/>
                <w:szCs w:val="1"/>
                <w:color w:val="auto"/>
              </w:rPr>
            </w:pPr>
          </w:p>
        </w:tc>
      </w:tr>
      <w:tr>
        <w:trPr>
          <w:trHeight w:val="207"/>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 of use assets</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1,236,201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1,224,672</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lease right of use assets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14,751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16,890</w:t>
            </w:r>
          </w:p>
        </w:tc>
        <w:tc>
          <w:tcPr>
            <w:tcW w:w="0" w:type="dxa"/>
            <w:vAlign w:val="bottom"/>
          </w:tcPr>
          <w:p>
            <w:pPr>
              <w:spacing w:after="0"/>
              <w:rPr>
                <w:sz w:val="1"/>
                <w:szCs w:val="1"/>
                <w:color w:val="auto"/>
              </w:rPr>
            </w:pPr>
          </w:p>
        </w:tc>
      </w:tr>
      <w:tr>
        <w:trPr>
          <w:trHeight w:val="21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1,992,595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1,926,274</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1,127,890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1,044,709</w:t>
            </w:r>
          </w:p>
        </w:tc>
        <w:tc>
          <w:tcPr>
            <w:tcW w:w="0" w:type="dxa"/>
            <w:vAlign w:val="bottom"/>
          </w:tcPr>
          <w:p>
            <w:pPr>
              <w:spacing w:after="0"/>
              <w:rPr>
                <w:sz w:val="1"/>
                <w:szCs w:val="1"/>
                <w:color w:val="auto"/>
              </w:rPr>
            </w:pPr>
          </w:p>
        </w:tc>
      </w:tr>
      <w:tr>
        <w:trPr>
          <w:trHeight w:val="213"/>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86,584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93,105</w:t>
            </w:r>
          </w:p>
        </w:tc>
        <w:tc>
          <w:tcPr>
            <w:tcW w:w="0" w:type="dxa"/>
            <w:vAlign w:val="bottom"/>
          </w:tcPr>
          <w:p>
            <w:pPr>
              <w:spacing w:after="0"/>
              <w:rPr>
                <w:sz w:val="1"/>
                <w:szCs w:val="1"/>
                <w:color w:val="auto"/>
              </w:rPr>
            </w:pPr>
          </w:p>
        </w:tc>
      </w:tr>
      <w:tr>
        <w:trPr>
          <w:trHeight w:val="235"/>
        </w:trPr>
        <w:tc>
          <w:tcPr>
            <w:tcW w:w="80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6,261,776</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6,031,031</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224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80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Trade accounts payable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16,523</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16,429</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Current maturities of long-term debt, net of deferred financing costs of $651 and $585 in 2022 and 2021, respectively</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199,722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174,778</w:t>
            </w:r>
          </w:p>
        </w:tc>
        <w:tc>
          <w:tcPr>
            <w:tcW w:w="0" w:type="dxa"/>
            <w:vAlign w:val="bottom"/>
          </w:tcPr>
          <w:p>
            <w:pPr>
              <w:spacing w:after="0"/>
              <w:rPr>
                <w:sz w:val="1"/>
                <w:szCs w:val="1"/>
                <w:color w:val="auto"/>
              </w:rPr>
            </w:pPr>
          </w:p>
        </w:tc>
      </w:tr>
      <w:tr>
        <w:trPr>
          <w:trHeight w:val="213"/>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180,107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198,286</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financing lease liabilities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w:t>
            </w:r>
          </w:p>
        </w:tc>
        <w:tc>
          <w:tcPr>
            <w:tcW w:w="0" w:type="dxa"/>
            <w:vAlign w:val="bottom"/>
          </w:tcPr>
          <w:p>
            <w:pPr>
              <w:spacing w:after="0"/>
              <w:rPr>
                <w:sz w:val="1"/>
                <w:szCs w:val="1"/>
                <w:color w:val="auto"/>
              </w:rPr>
            </w:pPr>
          </w:p>
        </w:tc>
      </w:tr>
      <w:tr>
        <w:trPr>
          <w:trHeight w:val="213"/>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expenses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96,716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127,318</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income</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140,772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137,103</w:t>
            </w:r>
          </w:p>
        </w:tc>
        <w:tc>
          <w:tcPr>
            <w:tcW w:w="0" w:type="dxa"/>
            <w:vAlign w:val="bottom"/>
          </w:tcPr>
          <w:p>
            <w:pPr>
              <w:spacing w:after="0"/>
              <w:rPr>
                <w:sz w:val="1"/>
                <w:szCs w:val="1"/>
                <w:color w:val="auto"/>
              </w:rPr>
            </w:pPr>
          </w:p>
        </w:tc>
      </w:tr>
      <w:tr>
        <w:trPr>
          <w:trHeight w:val="207"/>
        </w:trPr>
        <w:tc>
          <w:tcPr>
            <w:tcW w:w="80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635,171</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655,245</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net of deferred financing costs of $33,494 and $36,274 in 2022 and 2021, respectively</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3,016,563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2,838,817</w:t>
            </w:r>
          </w:p>
        </w:tc>
        <w:tc>
          <w:tcPr>
            <w:tcW w:w="0" w:type="dxa"/>
            <w:vAlign w:val="bottom"/>
          </w:tcPr>
          <w:p>
            <w:pPr>
              <w:spacing w:after="0"/>
              <w:rPr>
                <w:sz w:val="1"/>
                <w:szCs w:val="1"/>
                <w:color w:val="auto"/>
              </w:rPr>
            </w:pPr>
          </w:p>
        </w:tc>
      </w:tr>
      <w:tr>
        <w:trPr>
          <w:trHeight w:val="21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1,007,988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995,356</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lease liabilities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16,278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17,277</w:t>
            </w:r>
          </w:p>
        </w:tc>
        <w:tc>
          <w:tcPr>
            <w:tcW w:w="0" w:type="dxa"/>
            <w:vAlign w:val="bottom"/>
          </w:tcPr>
          <w:p>
            <w:pPr>
              <w:spacing w:after="0"/>
              <w:rPr>
                <w:sz w:val="1"/>
                <w:szCs w:val="1"/>
                <w:color w:val="auto"/>
              </w:rPr>
            </w:pPr>
          </w:p>
        </w:tc>
      </w:tr>
      <w:tr>
        <w:trPr>
          <w:trHeight w:val="21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 liabilities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6,416</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 retirement obligation</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278,092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269,367</w:t>
            </w:r>
          </w:p>
        </w:tc>
        <w:tc>
          <w:tcPr>
            <w:tcW w:w="0" w:type="dxa"/>
            <w:vAlign w:val="bottom"/>
          </w:tcPr>
          <w:p>
            <w:pPr>
              <w:spacing w:after="0"/>
              <w:rPr>
                <w:sz w:val="1"/>
                <w:szCs w:val="1"/>
                <w:color w:val="auto"/>
              </w:rPr>
            </w:pPr>
          </w:p>
        </w:tc>
      </w:tr>
      <w:tr>
        <w:trPr>
          <w:trHeight w:val="213"/>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33,186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40,207</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4,995,576</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4,822,685</w:t>
            </w:r>
          </w:p>
        </w:tc>
        <w:tc>
          <w:tcPr>
            <w:tcW w:w="0" w:type="dxa"/>
            <w:vAlign w:val="bottom"/>
          </w:tcPr>
          <w:p>
            <w:pPr>
              <w:spacing w:after="0"/>
              <w:rPr>
                <w:sz w:val="1"/>
                <w:szCs w:val="1"/>
                <w:color w:val="auto"/>
              </w:rPr>
            </w:pPr>
          </w:p>
        </w:tc>
      </w:tr>
      <w:tr>
        <w:trPr>
          <w:trHeight w:val="19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Common stock, par value $0.01, 3,000 shares authorized, 100 shares issued and outstanding at 2022 and 2021</w:t>
            </w:r>
          </w:p>
        </w:tc>
        <w:tc>
          <w:tcPr>
            <w:tcW w:w="2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Additional paid-in-capital</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3,124,617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3,071,905</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comprehensive (loss) income</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w:t>
            </w:r>
          </w:p>
        </w:tc>
        <w:tc>
          <w:tcPr>
            <w:tcW w:w="0" w:type="dxa"/>
            <w:vAlign w:val="bottom"/>
          </w:tcPr>
          <w:p>
            <w:pPr>
              <w:spacing w:after="0"/>
              <w:rPr>
                <w:sz w:val="1"/>
                <w:szCs w:val="1"/>
                <w:color w:val="auto"/>
              </w:rPr>
            </w:pPr>
          </w:p>
        </w:tc>
      </w:tr>
      <w:tr>
        <w:trPr>
          <w:trHeight w:val="213"/>
        </w:trPr>
        <w:tc>
          <w:tcPr>
            <w:tcW w:w="8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Accumulated deficit</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(1,857,502)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(1,864,414)</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Stockholder's equity</w:t>
            </w: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1,266,200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1,208,346</w:t>
            </w:r>
          </w:p>
        </w:tc>
        <w:tc>
          <w:tcPr>
            <w:tcW w:w="0" w:type="dxa"/>
            <w:vAlign w:val="bottom"/>
          </w:tcPr>
          <w:p>
            <w:pPr>
              <w:spacing w:after="0"/>
              <w:rPr>
                <w:sz w:val="1"/>
                <w:szCs w:val="1"/>
                <w:color w:val="auto"/>
              </w:rPr>
            </w:pPr>
          </w:p>
        </w:tc>
      </w:tr>
      <w:tr>
        <w:trPr>
          <w:trHeight w:val="207"/>
        </w:trPr>
        <w:tc>
          <w:tcPr>
            <w:tcW w:w="80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6,261,776</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6,031,031</w:t>
            </w:r>
          </w:p>
        </w:tc>
        <w:tc>
          <w:tcPr>
            <w:tcW w:w="0" w:type="dxa"/>
            <w:vAlign w:val="bottom"/>
          </w:tcPr>
          <w:p>
            <w:pPr>
              <w:spacing w:after="0"/>
              <w:rPr>
                <w:sz w:val="1"/>
                <w:szCs w:val="1"/>
                <w:color w:val="auto"/>
              </w:rPr>
            </w:pPr>
          </w:p>
        </w:tc>
      </w:tr>
      <w:tr>
        <w:trPr>
          <w:trHeight w:val="23"/>
        </w:trPr>
        <w:tc>
          <w:tcPr>
            <w:tcW w:w="80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4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2440" w:type="dxa"/>
            <w:vAlign w:val="bottom"/>
            <w:gridSpan w:val="4"/>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56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4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FF0FC"/>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FF0FC"/>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5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Income</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4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527,390</w:t>
            </w:r>
          </w:p>
        </w:tc>
        <w:tc>
          <w:tcPr>
            <w:tcW w:w="1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476,894</w:t>
            </w: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1,496,630</w:t>
            </w:r>
          </w:p>
        </w:tc>
        <w:tc>
          <w:tcPr>
            <w:tcW w:w="1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1,292,827</w:t>
            </w:r>
          </w:p>
        </w:tc>
        <w:tc>
          <w:tcPr>
            <w:tcW w:w="0" w:type="dxa"/>
            <w:vAlign w:val="bottom"/>
          </w:tcPr>
          <w:p>
            <w:pPr>
              <w:spacing w:after="0"/>
              <w:rPr>
                <w:sz w:val="1"/>
                <w:szCs w:val="1"/>
                <w:color w:val="auto"/>
              </w:rPr>
            </w:pPr>
          </w:p>
        </w:tc>
      </w:tr>
      <w:tr>
        <w:trPr>
          <w:trHeight w:val="209"/>
        </w:trPr>
        <w:tc>
          <w:tcPr>
            <w:tcW w:w="5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 (income)</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Direct advertising expenses (exclusive of depreciation and amortization)</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168,968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493,463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418,973</w:t>
            </w:r>
          </w:p>
        </w:tc>
        <w:tc>
          <w:tcPr>
            <w:tcW w:w="0" w:type="dxa"/>
            <w:vAlign w:val="bottom"/>
          </w:tcPr>
          <w:p>
            <w:pPr>
              <w:spacing w:after="0"/>
              <w:rPr>
                <w:sz w:val="1"/>
                <w:szCs w:val="1"/>
                <w:color w:val="auto"/>
              </w:rPr>
            </w:pPr>
          </w:p>
        </w:tc>
      </w:tr>
      <w:tr>
        <w:trPr>
          <w:trHeight w:val="175"/>
        </w:trPr>
        <w:tc>
          <w:tcPr>
            <w:tcW w:w="5640" w:type="dxa"/>
            <w:vAlign w:val="bottom"/>
            <w:shd w:val="clear" w:color="auto" w:fill="CFF0FC"/>
          </w:tcPr>
          <w:p>
            <w:pPr>
              <w:ind w:left="260"/>
              <w:spacing w:after="0" w:line="176" w:lineRule="exact"/>
              <w:rPr>
                <w:sz w:val="20"/>
                <w:szCs w:val="20"/>
                <w:color w:val="auto"/>
              </w:rPr>
            </w:pPr>
            <w:r>
              <w:rPr>
                <w:rFonts w:ascii="Times New Roman" w:cs="Times New Roman" w:eastAsia="Times New Roman" w:hAnsi="Times New Roman"/>
                <w:sz w:val="18"/>
                <w:szCs w:val="18"/>
                <w:color w:val="auto"/>
              </w:rPr>
              <w:t>General and administrative expenses (exclusive of depreciation and</w:t>
            </w: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64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amortization)</w:t>
            </w: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87,181</w:t>
            </w:r>
          </w:p>
        </w:tc>
        <w:tc>
          <w:tcPr>
            <w:tcW w:w="1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85,947</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260,923</w:t>
            </w:r>
          </w:p>
        </w:tc>
        <w:tc>
          <w:tcPr>
            <w:tcW w:w="1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234,115</w:t>
            </w:r>
          </w:p>
        </w:tc>
        <w:tc>
          <w:tcPr>
            <w:tcW w:w="0" w:type="dxa"/>
            <w:vAlign w:val="bottom"/>
          </w:tcPr>
          <w:p>
            <w:pPr>
              <w:spacing w:after="0"/>
              <w:rPr>
                <w:sz w:val="1"/>
                <w:szCs w:val="1"/>
                <w:color w:val="auto"/>
              </w:rPr>
            </w:pPr>
          </w:p>
        </w:tc>
      </w:tr>
      <w:tr>
        <w:trPr>
          <w:trHeight w:val="229"/>
        </w:trPr>
        <w:tc>
          <w:tcPr>
            <w:tcW w:w="5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Corporate expenses (exclusive of depreciation and amortization)</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73,694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64,048</w:t>
            </w:r>
          </w:p>
        </w:tc>
        <w:tc>
          <w:tcPr>
            <w:tcW w:w="0" w:type="dxa"/>
            <w:vAlign w:val="bottom"/>
          </w:tcPr>
          <w:p>
            <w:pPr>
              <w:spacing w:after="0"/>
              <w:rPr>
                <w:sz w:val="1"/>
                <w:szCs w:val="1"/>
                <w:color w:val="auto"/>
              </w:rPr>
            </w:pPr>
          </w:p>
        </w:tc>
      </w:tr>
      <w:tr>
        <w:trPr>
          <w:trHeight w:val="230"/>
        </w:trPr>
        <w:tc>
          <w:tcPr>
            <w:tcW w:w="5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65,833</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84,300</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202,210</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205,671</w:t>
            </w:r>
          </w:p>
        </w:tc>
        <w:tc>
          <w:tcPr>
            <w:tcW w:w="0" w:type="dxa"/>
            <w:vAlign w:val="bottom"/>
          </w:tcPr>
          <w:p>
            <w:pPr>
              <w:spacing w:after="0"/>
              <w:rPr>
                <w:sz w:val="1"/>
                <w:szCs w:val="1"/>
                <w:color w:val="auto"/>
              </w:rPr>
            </w:pPr>
          </w:p>
        </w:tc>
      </w:tr>
      <w:tr>
        <w:trPr>
          <w:trHeight w:val="229"/>
        </w:trPr>
        <w:tc>
          <w:tcPr>
            <w:tcW w:w="56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1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0" w:type="dxa"/>
            <w:vAlign w:val="bottom"/>
          </w:tcPr>
          <w:p>
            <w:pPr>
              <w:spacing w:after="0"/>
              <w:rPr>
                <w:sz w:val="1"/>
                <w:szCs w:val="1"/>
                <w:color w:val="auto"/>
              </w:rPr>
            </w:pPr>
          </w:p>
        </w:tc>
      </w:tr>
      <w:tr>
        <w:trPr>
          <w:trHeight w:val="223"/>
        </w:trPr>
        <w:tc>
          <w:tcPr>
            <w:tcW w:w="56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346,266</w:t>
            </w:r>
          </w:p>
        </w:tc>
        <w:tc>
          <w:tcPr>
            <w:tcW w:w="1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343,422</w:t>
            </w: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1,028,300</w:t>
            </w:r>
          </w:p>
        </w:tc>
        <w:tc>
          <w:tcPr>
            <w:tcW w:w="1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920,885</w:t>
            </w:r>
          </w:p>
        </w:tc>
        <w:tc>
          <w:tcPr>
            <w:tcW w:w="0" w:type="dxa"/>
            <w:vAlign w:val="bottom"/>
          </w:tcPr>
          <w:p>
            <w:pPr>
              <w:spacing w:after="0"/>
              <w:rPr>
                <w:sz w:val="1"/>
                <w:szCs w:val="1"/>
                <w:color w:val="auto"/>
              </w:rPr>
            </w:pPr>
          </w:p>
        </w:tc>
      </w:tr>
      <w:tr>
        <w:trPr>
          <w:trHeight w:val="223"/>
        </w:trPr>
        <w:tc>
          <w:tcPr>
            <w:tcW w:w="5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181,124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468,330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371,942</w:t>
            </w:r>
          </w:p>
        </w:tc>
        <w:tc>
          <w:tcPr>
            <w:tcW w:w="0" w:type="dxa"/>
            <w:vAlign w:val="bottom"/>
          </w:tcPr>
          <w:p>
            <w:pPr>
              <w:spacing w:after="0"/>
              <w:rPr>
                <w:sz w:val="1"/>
                <w:szCs w:val="1"/>
                <w:color w:val="auto"/>
              </w:rPr>
            </w:pPr>
          </w:p>
        </w:tc>
      </w:tr>
      <w:tr>
        <w:trPr>
          <w:trHeight w:val="229"/>
        </w:trPr>
        <w:tc>
          <w:tcPr>
            <w:tcW w:w="5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21,604</w:t>
            </w:r>
          </w:p>
        </w:tc>
        <w:tc>
          <w:tcPr>
            <w:tcW w:w="0" w:type="dxa"/>
            <w:vAlign w:val="bottom"/>
          </w:tcPr>
          <w:p>
            <w:pPr>
              <w:spacing w:after="0"/>
              <w:rPr>
                <w:sz w:val="1"/>
                <w:szCs w:val="1"/>
                <w:color w:val="auto"/>
              </w:rPr>
            </w:pPr>
          </w:p>
        </w:tc>
      </w:tr>
      <w:tr>
        <w:trPr>
          <w:trHeight w:val="229"/>
        </w:trPr>
        <w:tc>
          <w:tcPr>
            <w:tcW w:w="56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0" w:type="dxa"/>
            <w:vAlign w:val="bottom"/>
          </w:tcPr>
          <w:p>
            <w:pPr>
              <w:spacing w:after="0"/>
              <w:rPr>
                <w:sz w:val="1"/>
                <w:szCs w:val="1"/>
                <w:color w:val="auto"/>
              </w:rPr>
            </w:pPr>
          </w:p>
        </w:tc>
      </w:tr>
      <w:tr>
        <w:trPr>
          <w:trHeight w:val="230"/>
        </w:trPr>
        <w:tc>
          <w:tcPr>
            <w:tcW w:w="5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33,545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89,824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80,638</w:t>
            </w:r>
          </w:p>
        </w:tc>
        <w:tc>
          <w:tcPr>
            <w:tcW w:w="0" w:type="dxa"/>
            <w:vAlign w:val="bottom"/>
          </w:tcPr>
          <w:p>
            <w:pPr>
              <w:spacing w:after="0"/>
              <w:rPr>
                <w:sz w:val="1"/>
                <w:szCs w:val="1"/>
                <w:color w:val="auto"/>
              </w:rPr>
            </w:pPr>
          </w:p>
        </w:tc>
      </w:tr>
      <w:tr>
        <w:trPr>
          <w:trHeight w:val="229"/>
        </w:trPr>
        <w:tc>
          <w:tcPr>
            <w:tcW w:w="56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Equity in earnings of investee</w:t>
            </w: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1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0" w:type="dxa"/>
            <w:vAlign w:val="bottom"/>
          </w:tcPr>
          <w:p>
            <w:pPr>
              <w:spacing w:after="0"/>
              <w:rPr>
                <w:sz w:val="1"/>
                <w:szCs w:val="1"/>
                <w:color w:val="auto"/>
              </w:rPr>
            </w:pPr>
          </w:p>
        </w:tc>
      </w:tr>
      <w:tr>
        <w:trPr>
          <w:trHeight w:val="223"/>
        </w:trPr>
        <w:tc>
          <w:tcPr>
            <w:tcW w:w="56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31,743</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24,786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86,427</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100,547</w:t>
            </w:r>
          </w:p>
        </w:tc>
        <w:tc>
          <w:tcPr>
            <w:tcW w:w="0" w:type="dxa"/>
            <w:vAlign w:val="bottom"/>
          </w:tcPr>
          <w:p>
            <w:pPr>
              <w:spacing w:after="0"/>
              <w:rPr>
                <w:sz w:val="1"/>
                <w:szCs w:val="1"/>
                <w:color w:val="auto"/>
              </w:rPr>
            </w:pPr>
          </w:p>
        </w:tc>
      </w:tr>
      <w:tr>
        <w:trPr>
          <w:trHeight w:val="22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149,381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381,903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271,395</w:t>
            </w:r>
          </w:p>
        </w:tc>
        <w:tc>
          <w:tcPr>
            <w:tcW w:w="0" w:type="dxa"/>
            <w:vAlign w:val="bottom"/>
          </w:tcPr>
          <w:p>
            <w:pPr>
              <w:spacing w:after="0"/>
              <w:rPr>
                <w:sz w:val="1"/>
                <w:szCs w:val="1"/>
                <w:color w:val="auto"/>
              </w:rPr>
            </w:pPr>
          </w:p>
        </w:tc>
      </w:tr>
      <w:tr>
        <w:trPr>
          <w:trHeight w:val="230"/>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3,056</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5,922</w:t>
            </w:r>
          </w:p>
        </w:tc>
        <w:tc>
          <w:tcPr>
            <w:tcW w:w="0" w:type="dxa"/>
            <w:vAlign w:val="bottom"/>
          </w:tcPr>
          <w:p>
            <w:pPr>
              <w:spacing w:after="0"/>
              <w:rPr>
                <w:sz w:val="1"/>
                <w:szCs w:val="1"/>
                <w:color w:val="auto"/>
              </w:rPr>
            </w:pPr>
          </w:p>
        </w:tc>
      </w:tr>
      <w:tr>
        <w:trPr>
          <w:trHeight w:val="248"/>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146,325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372,927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265,473</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Comprehensive Income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146,325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372,927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265,473</w:t>
            </w:r>
          </w:p>
        </w:tc>
        <w:tc>
          <w:tcPr>
            <w:tcW w:w="0" w:type="dxa"/>
            <w:vAlign w:val="bottom"/>
          </w:tcPr>
          <w:p>
            <w:pPr>
              <w:spacing w:after="0"/>
              <w:rPr>
                <w:sz w:val="1"/>
                <w:szCs w:val="1"/>
                <w:color w:val="auto"/>
              </w:rPr>
            </w:pPr>
          </w:p>
        </w:tc>
      </w:tr>
      <w:tr>
        <w:trPr>
          <w:trHeight w:val="22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144,924</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106,386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371,157</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265,389</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1000" w:type="dxa"/>
            <w:vAlign w:val="bottom"/>
            <w:vMerge w:val="restart"/>
          </w:tcPr>
          <w:p>
            <w:pPr>
              <w:jc w:val="center"/>
              <w:ind w:left="236"/>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12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160" w:type="dxa"/>
            <w:vAlign w:val="bottom"/>
          </w:tcPr>
          <w:p>
            <w:pPr>
              <w:spacing w:after="0"/>
              <w:rPr>
                <w:sz w:val="17"/>
                <w:szCs w:val="17"/>
                <w:color w:val="auto"/>
              </w:rPr>
            </w:pPr>
          </w:p>
        </w:tc>
        <w:tc>
          <w:tcPr>
            <w:tcW w:w="1000" w:type="dxa"/>
            <w:vAlign w:val="bottom"/>
          </w:tcPr>
          <w:p>
            <w:pPr>
              <w:jc w:val="center"/>
              <w:ind w:left="236"/>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8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3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16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December 31, 2021</w:t>
            </w:r>
          </w:p>
        </w:tc>
        <w:tc>
          <w:tcPr>
            <w:tcW w:w="1000" w:type="dxa"/>
            <w:vAlign w:val="bottom"/>
            <w:tcBorders>
              <w:top w:val="single" w:sz="8" w:color="auto"/>
            </w:tcBorders>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3,071,905</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(1,864,414)</w:t>
            </w: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1,208,346</w:t>
            </w:r>
          </w:p>
        </w:tc>
        <w:tc>
          <w:tcPr>
            <w:tcW w:w="0" w:type="dxa"/>
            <w:vAlign w:val="bottom"/>
          </w:tcPr>
          <w:p>
            <w:pPr>
              <w:spacing w:after="0"/>
              <w:rPr>
                <w:sz w:val="1"/>
                <w:szCs w:val="1"/>
                <w:color w:val="auto"/>
              </w:rPr>
            </w:pPr>
          </w:p>
        </w:tc>
      </w:tr>
      <w:tr>
        <w:trPr>
          <w:trHeight w:val="229"/>
        </w:trPr>
        <w:tc>
          <w:tcPr>
            <w:tcW w:w="4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Contribution from parent</w:t>
            </w:r>
          </w:p>
        </w:tc>
        <w:tc>
          <w:tcPr>
            <w:tcW w:w="100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36,447</w:t>
            </w: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translations</w:t>
            </w:r>
          </w:p>
        </w:tc>
        <w:tc>
          <w:tcPr>
            <w:tcW w:w="10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29"/>
        </w:trPr>
        <w:tc>
          <w:tcPr>
            <w:tcW w:w="4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92,287</w:t>
            </w:r>
          </w:p>
        </w:tc>
        <w:tc>
          <w:tcPr>
            <w:tcW w:w="0" w:type="dxa"/>
            <w:vAlign w:val="bottom"/>
          </w:tcPr>
          <w:p>
            <w:pPr>
              <w:spacing w:after="0"/>
              <w:rPr>
                <w:sz w:val="1"/>
                <w:szCs w:val="1"/>
                <w:color w:val="auto"/>
              </w:rPr>
            </w:pPr>
          </w:p>
        </w:tc>
      </w:tr>
      <w:tr>
        <w:trPr>
          <w:trHeight w:val="229"/>
        </w:trPr>
        <w:tc>
          <w:tcPr>
            <w:tcW w:w="41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Dividend to parent</w:t>
            </w:r>
          </w:p>
        </w:tc>
        <w:tc>
          <w:tcPr>
            <w:tcW w:w="10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(122,047)</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(122,047)</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March 31, 2022</w:t>
            </w:r>
          </w:p>
        </w:tc>
        <w:tc>
          <w:tcPr>
            <w:tcW w:w="1000" w:type="dxa"/>
            <w:vAlign w:val="bottom"/>
            <w:tcBorders>
              <w:top w:val="single" w:sz="8" w:color="auto"/>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3,108,352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(1,894,174)</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1,215,347</w:t>
            </w:r>
          </w:p>
        </w:tc>
        <w:tc>
          <w:tcPr>
            <w:tcW w:w="0" w:type="dxa"/>
            <w:vAlign w:val="bottom"/>
          </w:tcPr>
          <w:p>
            <w:pPr>
              <w:spacing w:after="0"/>
              <w:rPr>
                <w:sz w:val="1"/>
                <w:szCs w:val="1"/>
                <w:color w:val="auto"/>
              </w:rPr>
            </w:pPr>
          </w:p>
        </w:tc>
      </w:tr>
      <w:tr>
        <w:trPr>
          <w:trHeight w:val="20"/>
        </w:trPr>
        <w:tc>
          <w:tcPr>
            <w:tcW w:w="4160" w:type="dxa"/>
            <w:vAlign w:val="bottom"/>
            <w:tcBorders>
              <w:bottom w:val="single" w:sz="8" w:color="CFF0FC"/>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Contribution from parent</w:t>
            </w: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4,582</w:t>
            </w:r>
          </w:p>
        </w:tc>
        <w:tc>
          <w:tcPr>
            <w:tcW w:w="0" w:type="dxa"/>
            <w:vAlign w:val="bottom"/>
          </w:tcPr>
          <w:p>
            <w:pPr>
              <w:spacing w:after="0"/>
              <w:rPr>
                <w:sz w:val="1"/>
                <w:szCs w:val="1"/>
                <w:color w:val="auto"/>
              </w:rPr>
            </w:pPr>
          </w:p>
        </w:tc>
      </w:tr>
      <w:tr>
        <w:trPr>
          <w:trHeight w:val="229"/>
        </w:trPr>
        <w:tc>
          <w:tcPr>
            <w:tcW w:w="4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translations</w:t>
            </w:r>
          </w:p>
        </w:tc>
        <w:tc>
          <w:tcPr>
            <w:tcW w:w="100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134,315</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134,315</w:t>
            </w:r>
          </w:p>
        </w:tc>
        <w:tc>
          <w:tcPr>
            <w:tcW w:w="0" w:type="dxa"/>
            <w:vAlign w:val="bottom"/>
          </w:tcPr>
          <w:p>
            <w:pPr>
              <w:spacing w:after="0"/>
              <w:rPr>
                <w:sz w:val="1"/>
                <w:szCs w:val="1"/>
                <w:color w:val="auto"/>
              </w:rPr>
            </w:pPr>
          </w:p>
        </w:tc>
      </w:tr>
      <w:tr>
        <w:trPr>
          <w:trHeight w:val="229"/>
        </w:trPr>
        <w:tc>
          <w:tcPr>
            <w:tcW w:w="4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Dividend to parent</w:t>
            </w:r>
          </w:p>
        </w:tc>
        <w:tc>
          <w:tcPr>
            <w:tcW w:w="100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(121,809)</w:t>
            </w:r>
          </w:p>
        </w:tc>
        <w:tc>
          <w:tcPr>
            <w:tcW w:w="0" w:type="dxa"/>
            <w:vAlign w:val="bottom"/>
          </w:tcPr>
          <w:p>
            <w:pPr>
              <w:spacing w:after="0"/>
              <w:rPr>
                <w:sz w:val="1"/>
                <w:szCs w:val="1"/>
                <w:color w:val="auto"/>
              </w:rPr>
            </w:pPr>
          </w:p>
        </w:tc>
      </w:tr>
      <w:tr>
        <w:trPr>
          <w:trHeight w:val="248"/>
        </w:trPr>
        <w:tc>
          <w:tcPr>
            <w:tcW w:w="416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June 30, 2022</w:t>
            </w:r>
          </w:p>
        </w:tc>
        <w:tc>
          <w:tcPr>
            <w:tcW w:w="1000" w:type="dxa"/>
            <w:vAlign w:val="bottom"/>
            <w:tcBorders>
              <w:top w:val="single" w:sz="8" w:color="auto"/>
              <w:bottom w:val="single" w:sz="8" w:color="auto"/>
            </w:tcBorders>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spacing w:after="0"/>
              <w:rPr>
                <w:sz w:val="21"/>
                <w:szCs w:val="21"/>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3,112,934</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spacing w:after="0"/>
              <w:rPr>
                <w:sz w:val="21"/>
                <w:szCs w:val="21"/>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spacing w:after="0"/>
              <w:rPr>
                <w:sz w:val="21"/>
                <w:szCs w:val="21"/>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(1,881,668)</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1,231,752</w:t>
            </w:r>
          </w:p>
        </w:tc>
        <w:tc>
          <w:tcPr>
            <w:tcW w:w="0" w:type="dxa"/>
            <w:vAlign w:val="bottom"/>
          </w:tcPr>
          <w:p>
            <w:pPr>
              <w:spacing w:after="0"/>
              <w:rPr>
                <w:sz w:val="1"/>
                <w:szCs w:val="1"/>
                <w:color w:val="auto"/>
              </w:rPr>
            </w:pPr>
          </w:p>
        </w:tc>
      </w:tr>
      <w:tr>
        <w:trPr>
          <w:trHeight w:val="20"/>
        </w:trPr>
        <w:tc>
          <w:tcPr>
            <w:tcW w:w="4160" w:type="dxa"/>
            <w:vAlign w:val="bottom"/>
            <w:tcBorders>
              <w:top w:val="single" w:sz="8" w:color="CFF0FC"/>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Contribution from parent</w:t>
            </w:r>
          </w:p>
        </w:tc>
        <w:tc>
          <w:tcPr>
            <w:tcW w:w="10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gridSpan w:val="2"/>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300" w:type="dxa"/>
            <w:vAlign w:val="bottom"/>
            <w:tcBorders>
              <w:top w:val="single" w:sz="8" w:color="CFF0FC"/>
            </w:tcBorders>
            <w:gridSpan w:val="2"/>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CFF0FC"/>
            </w:tcBorders>
            <w:gridSpan w:val="2"/>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60" w:type="dxa"/>
            <w:vAlign w:val="bottom"/>
            <w:tcBorders>
              <w:top w:val="single" w:sz="8" w:color="CFF0FC"/>
            </w:tcBorders>
            <w:vMerge w:val="continue"/>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ind w:left="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11,683</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11,683</w:t>
            </w:r>
          </w:p>
        </w:tc>
        <w:tc>
          <w:tcPr>
            <w:tcW w:w="0" w:type="dxa"/>
            <w:vAlign w:val="bottom"/>
          </w:tcPr>
          <w:p>
            <w:pPr>
              <w:spacing w:after="0"/>
              <w:rPr>
                <w:sz w:val="1"/>
                <w:szCs w:val="1"/>
                <w:color w:val="auto"/>
              </w:rPr>
            </w:pPr>
          </w:p>
        </w:tc>
      </w:tr>
      <w:tr>
        <w:trPr>
          <w:trHeight w:val="229"/>
        </w:trPr>
        <w:tc>
          <w:tcPr>
            <w:tcW w:w="41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translations</w:t>
            </w:r>
          </w:p>
        </w:tc>
        <w:tc>
          <w:tcPr>
            <w:tcW w:w="10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0" w:type="dxa"/>
            <w:vAlign w:val="bottom"/>
          </w:tcPr>
          <w:p>
            <w:pPr>
              <w:spacing w:after="0"/>
              <w:rPr>
                <w:sz w:val="1"/>
                <w:szCs w:val="1"/>
                <w:color w:val="auto"/>
              </w:rPr>
            </w:pPr>
          </w:p>
        </w:tc>
      </w:tr>
      <w:tr>
        <w:trPr>
          <w:trHeight w:val="230"/>
        </w:trPr>
        <w:tc>
          <w:tcPr>
            <w:tcW w:w="4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146,325</w:t>
            </w:r>
          </w:p>
        </w:tc>
        <w:tc>
          <w:tcPr>
            <w:tcW w:w="0" w:type="dxa"/>
            <w:vAlign w:val="bottom"/>
          </w:tcPr>
          <w:p>
            <w:pPr>
              <w:spacing w:after="0"/>
              <w:rPr>
                <w:sz w:val="1"/>
                <w:szCs w:val="1"/>
                <w:color w:val="auto"/>
              </w:rPr>
            </w:pPr>
          </w:p>
        </w:tc>
      </w:tr>
      <w:tr>
        <w:trPr>
          <w:trHeight w:val="229"/>
        </w:trPr>
        <w:tc>
          <w:tcPr>
            <w:tcW w:w="41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Dividend to parent</w:t>
            </w:r>
          </w:p>
        </w:tc>
        <w:tc>
          <w:tcPr>
            <w:tcW w:w="10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(122,159)</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(122,159)</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September 30, 2022</w:t>
            </w:r>
          </w:p>
        </w:tc>
        <w:tc>
          <w:tcPr>
            <w:tcW w:w="1000" w:type="dxa"/>
            <w:vAlign w:val="bottom"/>
            <w:tcBorders>
              <w:top w:val="single" w:sz="8" w:color="auto"/>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3,124,617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(1,857,502)</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1,266,200</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6"/>
        </w:trPr>
        <w:tc>
          <w:tcPr>
            <w:tcW w:w="4160" w:type="dxa"/>
            <w:vAlign w:val="bottom"/>
          </w:tcPr>
          <w:p>
            <w:pPr>
              <w:spacing w:after="0"/>
              <w:rPr>
                <w:sz w:val="24"/>
                <w:szCs w:val="24"/>
                <w:color w:val="auto"/>
              </w:rPr>
            </w:pPr>
          </w:p>
        </w:tc>
        <w:tc>
          <w:tcPr>
            <w:tcW w:w="1000" w:type="dxa"/>
            <w:vAlign w:val="bottom"/>
            <w:vMerge w:val="restart"/>
          </w:tcPr>
          <w:p>
            <w:pPr>
              <w:jc w:val="center"/>
              <w:ind w:left="236"/>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24"/>
                <w:szCs w:val="24"/>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24"/>
                <w:szCs w:val="24"/>
                <w:color w:val="auto"/>
              </w:rPr>
            </w:pPr>
          </w:p>
        </w:tc>
        <w:tc>
          <w:tcPr>
            <w:tcW w:w="12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41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130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4160" w:type="dxa"/>
            <w:vAlign w:val="bottom"/>
          </w:tcPr>
          <w:p>
            <w:pPr>
              <w:spacing w:after="0"/>
              <w:rPr>
                <w:sz w:val="17"/>
                <w:szCs w:val="17"/>
                <w:color w:val="auto"/>
              </w:rPr>
            </w:pPr>
          </w:p>
        </w:tc>
        <w:tc>
          <w:tcPr>
            <w:tcW w:w="1000" w:type="dxa"/>
            <w:vAlign w:val="bottom"/>
          </w:tcPr>
          <w:p>
            <w:pPr>
              <w:jc w:val="center"/>
              <w:ind w:left="236"/>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8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3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16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December 31, 2020</w:t>
            </w:r>
          </w:p>
        </w:tc>
        <w:tc>
          <w:tcPr>
            <w:tcW w:w="1000" w:type="dxa"/>
            <w:vAlign w:val="bottom"/>
            <w:tcBorders>
              <w:top w:val="single" w:sz="8" w:color="auto"/>
            </w:tcBorders>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3,034,357</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(1,842,447)</w:t>
            </w: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1,192,844</w:t>
            </w:r>
          </w:p>
        </w:tc>
        <w:tc>
          <w:tcPr>
            <w:tcW w:w="0" w:type="dxa"/>
            <w:vAlign w:val="bottom"/>
          </w:tcPr>
          <w:p>
            <w:pPr>
              <w:spacing w:after="0"/>
              <w:rPr>
                <w:sz w:val="1"/>
                <w:szCs w:val="1"/>
                <w:color w:val="auto"/>
              </w:rPr>
            </w:pPr>
          </w:p>
        </w:tc>
      </w:tr>
      <w:tr>
        <w:trPr>
          <w:trHeight w:val="230"/>
        </w:trPr>
        <w:tc>
          <w:tcPr>
            <w:tcW w:w="4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Contribution from parent</w:t>
            </w:r>
          </w:p>
        </w:tc>
        <w:tc>
          <w:tcPr>
            <w:tcW w:w="100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21,831</w:t>
            </w: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translations</w:t>
            </w:r>
          </w:p>
        </w:tc>
        <w:tc>
          <w:tcPr>
            <w:tcW w:w="10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30"/>
        </w:trPr>
        <w:tc>
          <w:tcPr>
            <w:tcW w:w="4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38,466</w:t>
            </w:r>
          </w:p>
        </w:tc>
        <w:tc>
          <w:tcPr>
            <w:tcW w:w="0" w:type="dxa"/>
            <w:vAlign w:val="bottom"/>
          </w:tcPr>
          <w:p>
            <w:pPr>
              <w:spacing w:after="0"/>
              <w:rPr>
                <w:sz w:val="1"/>
                <w:szCs w:val="1"/>
                <w:color w:val="auto"/>
              </w:rPr>
            </w:pPr>
          </w:p>
        </w:tc>
      </w:tr>
      <w:tr>
        <w:trPr>
          <w:trHeight w:val="229"/>
        </w:trPr>
        <w:tc>
          <w:tcPr>
            <w:tcW w:w="41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Dividend to parent</w:t>
            </w:r>
          </w:p>
        </w:tc>
        <w:tc>
          <w:tcPr>
            <w:tcW w:w="10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(81,535)</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(81,535)</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March 31, 2021</w:t>
            </w:r>
          </w:p>
        </w:tc>
        <w:tc>
          <w:tcPr>
            <w:tcW w:w="1000" w:type="dxa"/>
            <w:vAlign w:val="bottom"/>
            <w:tcBorders>
              <w:top w:val="single" w:sz="8" w:color="auto"/>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3,056,188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(1,885,516)</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1,171,810</w:t>
            </w:r>
          </w:p>
        </w:tc>
        <w:tc>
          <w:tcPr>
            <w:tcW w:w="0" w:type="dxa"/>
            <w:vAlign w:val="bottom"/>
          </w:tcPr>
          <w:p>
            <w:pPr>
              <w:spacing w:after="0"/>
              <w:rPr>
                <w:sz w:val="1"/>
                <w:szCs w:val="1"/>
                <w:color w:val="auto"/>
              </w:rPr>
            </w:pPr>
          </w:p>
        </w:tc>
      </w:tr>
      <w:tr>
        <w:trPr>
          <w:trHeight w:val="20"/>
        </w:trPr>
        <w:tc>
          <w:tcPr>
            <w:tcW w:w="4160" w:type="dxa"/>
            <w:vAlign w:val="bottom"/>
            <w:tcBorders>
              <w:bottom w:val="single" w:sz="8" w:color="CFF0FC"/>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Contribution from parent</w:t>
            </w: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6,154</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6,154</w:t>
            </w:r>
          </w:p>
        </w:tc>
        <w:tc>
          <w:tcPr>
            <w:tcW w:w="0" w:type="dxa"/>
            <w:vAlign w:val="bottom"/>
          </w:tcPr>
          <w:p>
            <w:pPr>
              <w:spacing w:after="0"/>
              <w:rPr>
                <w:sz w:val="1"/>
                <w:szCs w:val="1"/>
                <w:color w:val="auto"/>
              </w:rPr>
            </w:pPr>
          </w:p>
        </w:tc>
      </w:tr>
      <w:tr>
        <w:trPr>
          <w:trHeight w:val="230"/>
        </w:trPr>
        <w:tc>
          <w:tcPr>
            <w:tcW w:w="4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translations</w:t>
            </w:r>
          </w:p>
        </w:tc>
        <w:tc>
          <w:tcPr>
            <w:tcW w:w="100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29"/>
        </w:trPr>
        <w:tc>
          <w:tcPr>
            <w:tcW w:w="41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120,033</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120,033</w:t>
            </w:r>
          </w:p>
        </w:tc>
        <w:tc>
          <w:tcPr>
            <w:tcW w:w="0" w:type="dxa"/>
            <w:vAlign w:val="bottom"/>
          </w:tcPr>
          <w:p>
            <w:pPr>
              <w:spacing w:after="0"/>
              <w:rPr>
                <w:sz w:val="1"/>
                <w:szCs w:val="1"/>
                <w:color w:val="auto"/>
              </w:rPr>
            </w:pPr>
          </w:p>
        </w:tc>
      </w:tr>
      <w:tr>
        <w:trPr>
          <w:trHeight w:val="230"/>
        </w:trPr>
        <w:tc>
          <w:tcPr>
            <w:tcW w:w="4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Dividend to parent</w:t>
            </w:r>
          </w:p>
        </w:tc>
        <w:tc>
          <w:tcPr>
            <w:tcW w:w="100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(75,874)</w:t>
            </w:r>
          </w:p>
        </w:tc>
        <w:tc>
          <w:tcPr>
            <w:tcW w:w="0" w:type="dxa"/>
            <w:vAlign w:val="bottom"/>
          </w:tcPr>
          <w:p>
            <w:pPr>
              <w:spacing w:after="0"/>
              <w:rPr>
                <w:sz w:val="1"/>
                <w:szCs w:val="1"/>
                <w:color w:val="auto"/>
              </w:rPr>
            </w:pPr>
          </w:p>
        </w:tc>
      </w:tr>
      <w:tr>
        <w:trPr>
          <w:trHeight w:val="248"/>
        </w:trPr>
        <w:tc>
          <w:tcPr>
            <w:tcW w:w="416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June 30, 2021</w:t>
            </w:r>
          </w:p>
        </w:tc>
        <w:tc>
          <w:tcPr>
            <w:tcW w:w="1000" w:type="dxa"/>
            <w:vAlign w:val="bottom"/>
            <w:tcBorders>
              <w:top w:val="single" w:sz="8" w:color="auto"/>
              <w:bottom w:val="single" w:sz="8" w:color="auto"/>
            </w:tcBorders>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spacing w:after="0"/>
              <w:rPr>
                <w:sz w:val="21"/>
                <w:szCs w:val="21"/>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3,062,342</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spacing w:after="0"/>
              <w:rPr>
                <w:sz w:val="21"/>
                <w:szCs w:val="21"/>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spacing w:after="0"/>
              <w:rPr>
                <w:sz w:val="21"/>
                <w:szCs w:val="21"/>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(1,841,357)</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1,222,423</w:t>
            </w:r>
          </w:p>
        </w:tc>
        <w:tc>
          <w:tcPr>
            <w:tcW w:w="0" w:type="dxa"/>
            <w:vAlign w:val="bottom"/>
          </w:tcPr>
          <w:p>
            <w:pPr>
              <w:spacing w:after="0"/>
              <w:rPr>
                <w:sz w:val="1"/>
                <w:szCs w:val="1"/>
                <w:color w:val="auto"/>
              </w:rPr>
            </w:pPr>
          </w:p>
        </w:tc>
      </w:tr>
      <w:tr>
        <w:trPr>
          <w:trHeight w:val="20"/>
        </w:trPr>
        <w:tc>
          <w:tcPr>
            <w:tcW w:w="4160" w:type="dxa"/>
            <w:vAlign w:val="bottom"/>
            <w:tcBorders>
              <w:top w:val="single" w:sz="8" w:color="CFF0FC"/>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Contribution from parent</w:t>
            </w:r>
          </w:p>
        </w:tc>
        <w:tc>
          <w:tcPr>
            <w:tcW w:w="10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gridSpan w:val="2"/>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300" w:type="dxa"/>
            <w:vAlign w:val="bottom"/>
            <w:tcBorders>
              <w:top w:val="single" w:sz="8" w:color="CFF0FC"/>
            </w:tcBorders>
            <w:gridSpan w:val="2"/>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CFF0FC"/>
            </w:tcBorders>
            <w:gridSpan w:val="2"/>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160" w:type="dxa"/>
            <w:vAlign w:val="bottom"/>
            <w:tcBorders>
              <w:top w:val="single" w:sz="8" w:color="CFF0FC"/>
            </w:tcBorders>
            <w:vMerge w:val="continue"/>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ind w:left="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5,327</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5,327</w:t>
            </w: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translations</w:t>
            </w:r>
          </w:p>
        </w:tc>
        <w:tc>
          <w:tcPr>
            <w:tcW w:w="10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0" w:type="dxa"/>
            <w:vAlign w:val="bottom"/>
          </w:tcPr>
          <w:p>
            <w:pPr>
              <w:spacing w:after="0"/>
              <w:rPr>
                <w:sz w:val="1"/>
                <w:szCs w:val="1"/>
                <w:color w:val="auto"/>
              </w:rPr>
            </w:pPr>
          </w:p>
        </w:tc>
      </w:tr>
      <w:tr>
        <w:trPr>
          <w:trHeight w:val="229"/>
        </w:trPr>
        <w:tc>
          <w:tcPr>
            <w:tcW w:w="4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106,974</w:t>
            </w: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Dividend to parent</w:t>
            </w:r>
          </w:p>
        </w:tc>
        <w:tc>
          <w:tcPr>
            <w:tcW w:w="10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(101,294)</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(101,294)</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September 30, 2021</w:t>
            </w:r>
          </w:p>
        </w:tc>
        <w:tc>
          <w:tcPr>
            <w:tcW w:w="1000" w:type="dxa"/>
            <w:vAlign w:val="bottom"/>
            <w:tcBorders>
              <w:top w:val="single" w:sz="8" w:color="auto"/>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3,067,669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(1,835,677)</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1,232,842</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40" w:type="dxa"/>
        <w:tblCellMar>
          <w:top w:w="0" w:type="dxa"/>
          <w:left w:w="0" w:type="dxa"/>
          <w:bottom w:w="0" w:type="dxa"/>
          <w:right w:w="0" w:type="dxa"/>
        </w:tblCellMar>
      </w:tblPr>
      <w:tr>
        <w:trPr>
          <w:trHeight w:val="200"/>
        </w:trPr>
        <w:tc>
          <w:tcPr>
            <w:tcW w:w="844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62"/>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flows from operating activities:</w:t>
            </w: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70"/>
        </w:trPr>
        <w:tc>
          <w:tcPr>
            <w:tcW w:w="84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Net income</w:t>
            </w:r>
          </w:p>
        </w:tc>
        <w:tc>
          <w:tcPr>
            <w:tcW w:w="280" w:type="dxa"/>
            <w:vAlign w:val="bottom"/>
          </w:tcPr>
          <w:p>
            <w:pPr>
              <w:jc w:val="right"/>
              <w:ind w:right="168"/>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372,927</w:t>
            </w:r>
          </w:p>
        </w:tc>
        <w:tc>
          <w:tcPr>
            <w:tcW w:w="100" w:type="dxa"/>
            <w:vAlign w:val="bottom"/>
          </w:tcPr>
          <w:p>
            <w:pPr>
              <w:spacing w:after="0"/>
              <w:rPr>
                <w:sz w:val="14"/>
                <w:szCs w:val="14"/>
                <w:color w:val="auto"/>
              </w:rPr>
            </w:pPr>
          </w:p>
        </w:tc>
        <w:tc>
          <w:tcPr>
            <w:tcW w:w="3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265,473</w:t>
            </w:r>
          </w:p>
        </w:tc>
      </w:tr>
      <w:tr>
        <w:trPr>
          <w:trHeight w:val="181"/>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70"/>
        </w:trPr>
        <w:tc>
          <w:tcPr>
            <w:tcW w:w="844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202,210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205,671</w:t>
            </w:r>
          </w:p>
        </w:tc>
      </w:tr>
      <w:tr>
        <w:trPr>
          <w:trHeight w:val="181"/>
        </w:trPr>
        <w:tc>
          <w:tcPr>
            <w:tcW w:w="8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Non-cash compensation</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14,331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22,540</w:t>
            </w:r>
          </w:p>
        </w:tc>
      </w:tr>
      <w:tr>
        <w:trPr>
          <w:trHeight w:val="170"/>
        </w:trPr>
        <w:tc>
          <w:tcPr>
            <w:tcW w:w="844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Amortization included in interest expense</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4,527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4,405</w:t>
            </w:r>
          </w:p>
        </w:tc>
      </w:tr>
      <w:tr>
        <w:trPr>
          <w:trHeight w:val="181"/>
        </w:trPr>
        <w:tc>
          <w:tcPr>
            <w:tcW w:w="8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Gain on disposition of assets and investments</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(1,922)</w:t>
            </w:r>
          </w:p>
        </w:tc>
      </w:tr>
      <w:tr>
        <w:trPr>
          <w:trHeight w:val="170"/>
        </w:trPr>
        <w:tc>
          <w:tcPr>
            <w:tcW w:w="844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Loss on extinguishment of debt</w:t>
            </w:r>
          </w:p>
        </w:tc>
        <w:tc>
          <w:tcPr>
            <w:tcW w:w="28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21,604</w:t>
            </w:r>
          </w:p>
        </w:tc>
      </w:tr>
      <w:tr>
        <w:trPr>
          <w:trHeight w:val="181"/>
        </w:trPr>
        <w:tc>
          <w:tcPr>
            <w:tcW w:w="8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Equity in earnings of investee</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(1,141)</w:t>
            </w:r>
          </w:p>
        </w:tc>
      </w:tr>
      <w:tr>
        <w:trPr>
          <w:trHeight w:val="170"/>
        </w:trPr>
        <w:tc>
          <w:tcPr>
            <w:tcW w:w="844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Deferred tax expense</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1,178</w:t>
            </w:r>
          </w:p>
        </w:tc>
      </w:tr>
      <w:tr>
        <w:trPr>
          <w:trHeight w:val="181"/>
        </w:trPr>
        <w:tc>
          <w:tcPr>
            <w:tcW w:w="8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Provision for doubtful accounts</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5,868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2,711</w:t>
            </w:r>
          </w:p>
        </w:tc>
      </w:tr>
      <w:tr>
        <w:trPr>
          <w:trHeight w:val="170"/>
        </w:trPr>
        <w:tc>
          <w:tcPr>
            <w:tcW w:w="8440" w:type="dxa"/>
            <w:vAlign w:val="bottom"/>
          </w:tcPr>
          <w:p>
            <w:pPr>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1"/>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(Increase) decrease in:</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70"/>
        </w:trPr>
        <w:tc>
          <w:tcPr>
            <w:tcW w:w="844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Receivables</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(29,510)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(24,475)</w:t>
            </w:r>
          </w:p>
        </w:tc>
      </w:tr>
      <w:tr>
        <w:trPr>
          <w:trHeight w:val="181"/>
        </w:trPr>
        <w:tc>
          <w:tcPr>
            <w:tcW w:w="8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Prepaid expenses</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(1,953)</w:t>
            </w:r>
          </w:p>
        </w:tc>
      </w:tr>
      <w:tr>
        <w:trPr>
          <w:trHeight w:val="170"/>
        </w:trPr>
        <w:tc>
          <w:tcPr>
            <w:tcW w:w="844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Other assets</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(444)</w:t>
            </w:r>
          </w:p>
        </w:tc>
      </w:tr>
      <w:tr>
        <w:trPr>
          <w:trHeight w:val="181"/>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(Decrease) increase in:</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70"/>
        </w:trPr>
        <w:tc>
          <w:tcPr>
            <w:tcW w:w="844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Trade accounts payable</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r>
      <w:tr>
        <w:trPr>
          <w:trHeight w:val="181"/>
        </w:trPr>
        <w:tc>
          <w:tcPr>
            <w:tcW w:w="8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Accrued expenses</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(12,773)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3,610</w:t>
            </w:r>
          </w:p>
        </w:tc>
      </w:tr>
      <w:tr>
        <w:trPr>
          <w:trHeight w:val="170"/>
        </w:trPr>
        <w:tc>
          <w:tcPr>
            <w:tcW w:w="844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(18,881)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(22,560)</w:t>
            </w:r>
          </w:p>
        </w:tc>
      </w:tr>
      <w:tr>
        <w:trPr>
          <w:trHeight w:val="181"/>
        </w:trPr>
        <w:tc>
          <w:tcPr>
            <w:tcW w:w="8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Other liabilities</w:t>
            </w:r>
          </w:p>
        </w:tc>
        <w:tc>
          <w:tcPr>
            <w:tcW w:w="2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(36,419)</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(3,930)</w:t>
            </w:r>
          </w:p>
        </w:tc>
      </w:tr>
      <w:tr>
        <w:trPr>
          <w:trHeight w:val="163"/>
        </w:trPr>
        <w:tc>
          <w:tcPr>
            <w:tcW w:w="8440" w:type="dxa"/>
            <w:vAlign w:val="bottom"/>
            <w:tcBorders>
              <w:bottom w:val="single" w:sz="8" w:color="CCEEFF"/>
            </w:tcBorders>
          </w:tcPr>
          <w:p>
            <w:pPr>
              <w:ind w:left="980"/>
              <w:spacing w:after="0" w:line="144" w:lineRule="exact"/>
              <w:rPr>
                <w:sz w:val="20"/>
                <w:szCs w:val="20"/>
                <w:color w:val="auto"/>
              </w:rPr>
            </w:pPr>
            <w:r>
              <w:rPr>
                <w:rFonts w:ascii="Times New Roman" w:cs="Times New Roman" w:eastAsia="Times New Roman" w:hAnsi="Times New Roman"/>
                <w:sz w:val="13"/>
                <w:szCs w:val="13"/>
                <w:color w:val="auto"/>
              </w:rPr>
              <w:t>Net cash provided by operating activities</w:t>
            </w: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499,420</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470,698</w:t>
            </w:r>
          </w:p>
        </w:tc>
      </w:tr>
      <w:tr>
        <w:trPr>
          <w:trHeight w:val="161"/>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flows from investing activities:</w:t>
            </w: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70"/>
        </w:trPr>
        <w:tc>
          <w:tcPr>
            <w:tcW w:w="84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Acquisitions</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(287,860)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(107,593)</w:t>
            </w:r>
          </w:p>
        </w:tc>
      </w:tr>
      <w:tr>
        <w:trPr>
          <w:trHeight w:val="181"/>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Capital expenditures</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(116,808)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(71,513)</w:t>
            </w:r>
          </w:p>
        </w:tc>
      </w:tr>
      <w:tr>
        <w:trPr>
          <w:trHeight w:val="170"/>
        </w:trPr>
        <w:tc>
          <w:tcPr>
            <w:tcW w:w="84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Payment for investments in equity securities</w:t>
            </w:r>
          </w:p>
        </w:tc>
        <w:tc>
          <w:tcPr>
            <w:tcW w:w="28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(30,000)</w:t>
            </w:r>
          </w:p>
        </w:tc>
      </w:tr>
      <w:tr>
        <w:trPr>
          <w:trHeight w:val="181"/>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Proceeds from disposition of assets and investments</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5,761</w:t>
            </w:r>
          </w:p>
        </w:tc>
      </w:tr>
      <w:tr>
        <w:trPr>
          <w:trHeight w:val="170"/>
        </w:trPr>
        <w:tc>
          <w:tcPr>
            <w:tcW w:w="84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3"/>
                <w:szCs w:val="13"/>
                <w:color w:val="auto"/>
              </w:rPr>
              <w:t>Decrease in notes receivable</w:t>
            </w: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107</w:t>
            </w:r>
          </w:p>
        </w:tc>
      </w:tr>
      <w:tr>
        <w:trPr>
          <w:trHeight w:val="175"/>
        </w:trPr>
        <w:tc>
          <w:tcPr>
            <w:tcW w:w="84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2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(402,464)</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(203,238)</w:t>
            </w:r>
          </w:p>
        </w:tc>
      </w:tr>
      <w:tr>
        <w:trPr>
          <w:trHeight w:val="150"/>
        </w:trPr>
        <w:tc>
          <w:tcPr>
            <w:tcW w:w="844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Cash flows from financing activities:</w:t>
            </w: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81"/>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Principal payments on long-term debt</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w:t>
            </w:r>
          </w:p>
        </w:tc>
      </w:tr>
      <w:tr>
        <w:trPr>
          <w:trHeight w:val="170"/>
        </w:trPr>
        <w:tc>
          <w:tcPr>
            <w:tcW w:w="84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Principal payments on financing leases</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(998)</w:t>
            </w:r>
          </w:p>
        </w:tc>
      </w:tr>
      <w:tr>
        <w:trPr>
          <w:trHeight w:val="181"/>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Payments on revolving credit facility</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(575,000)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(25,000)</w:t>
            </w:r>
          </w:p>
        </w:tc>
      </w:tr>
      <w:tr>
        <w:trPr>
          <w:trHeight w:val="170"/>
        </w:trPr>
        <w:tc>
          <w:tcPr>
            <w:tcW w:w="84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Proceeds received from revolving credit facility</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400,000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25,000</w:t>
            </w:r>
          </w:p>
        </w:tc>
      </w:tr>
      <w:tr>
        <w:trPr>
          <w:trHeight w:val="181"/>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Redemption of senior notes and senior subordinated notes</w:t>
            </w:r>
          </w:p>
        </w:tc>
        <w:tc>
          <w:tcPr>
            <w:tcW w:w="2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(668,688)</w:t>
            </w:r>
          </w:p>
        </w:tc>
      </w:tr>
      <w:tr>
        <w:trPr>
          <w:trHeight w:val="170"/>
        </w:trPr>
        <w:tc>
          <w:tcPr>
            <w:tcW w:w="84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Proceeds received from note offering</w:t>
            </w:r>
          </w:p>
        </w:tc>
        <w:tc>
          <w:tcPr>
            <w:tcW w:w="28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550,000</w:t>
            </w:r>
          </w:p>
        </w:tc>
      </w:tr>
      <w:tr>
        <w:trPr>
          <w:trHeight w:val="181"/>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Proceeds received from accounts receivable securitization program</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140,000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120,000</w:t>
            </w:r>
          </w:p>
        </w:tc>
      </w:tr>
      <w:tr>
        <w:trPr>
          <w:trHeight w:val="170"/>
        </w:trPr>
        <w:tc>
          <w:tcPr>
            <w:tcW w:w="84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Payments on accounts receivable securitization program</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(115,000)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(67,500)</w:t>
            </w:r>
          </w:p>
        </w:tc>
      </w:tr>
      <w:tr>
        <w:trPr>
          <w:trHeight w:val="181"/>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Proceeds received from senior credit facility term loans</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350,000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84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Debt issuance costs</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(8,662)</w:t>
            </w:r>
          </w:p>
        </w:tc>
      </w:tr>
      <w:tr>
        <w:trPr>
          <w:trHeight w:val="181"/>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Distributions to non-controlling interest</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r>
      <w:tr>
        <w:trPr>
          <w:trHeight w:val="170"/>
        </w:trPr>
        <w:tc>
          <w:tcPr>
            <w:tcW w:w="84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Contributions from parent</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52,712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33,312</w:t>
            </w:r>
          </w:p>
        </w:tc>
      </w:tr>
      <w:tr>
        <w:trPr>
          <w:trHeight w:val="181"/>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Dividend to parent</w:t>
            </w:r>
          </w:p>
        </w:tc>
        <w:tc>
          <w:tcPr>
            <w:tcW w:w="2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(366,015)</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(258,703)</w:t>
            </w:r>
          </w:p>
        </w:tc>
      </w:tr>
      <w:tr>
        <w:trPr>
          <w:trHeight w:val="163"/>
        </w:trPr>
        <w:tc>
          <w:tcPr>
            <w:tcW w:w="8440" w:type="dxa"/>
            <w:vAlign w:val="bottom"/>
            <w:tcBorders>
              <w:bottom w:val="single" w:sz="8" w:color="CCEEFF"/>
            </w:tcBorders>
          </w:tcPr>
          <w:p>
            <w:pPr>
              <w:ind w:left="980"/>
              <w:spacing w:after="0" w:line="144" w:lineRule="exact"/>
              <w:rPr>
                <w:sz w:val="20"/>
                <w:szCs w:val="20"/>
                <w:color w:val="auto"/>
              </w:rPr>
            </w:pPr>
            <w:r>
              <w:rPr>
                <w:rFonts w:ascii="Times New Roman" w:cs="Times New Roman" w:eastAsia="Times New Roman" w:hAnsi="Times New Roman"/>
                <w:sz w:val="13"/>
                <w:szCs w:val="13"/>
                <w:color w:val="auto"/>
              </w:rPr>
              <w:t>Net cash used in financing activities</w:t>
            </w: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(117,157)</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(301,603)</w:t>
            </w:r>
          </w:p>
        </w:tc>
      </w:tr>
      <w:tr>
        <w:trPr>
          <w:trHeight w:val="175"/>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Effect of exchange rate changes in cash and cash equivalents</w:t>
            </w:r>
          </w:p>
        </w:tc>
        <w:tc>
          <w:tcPr>
            <w:tcW w:w="2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w:t>
            </w:r>
          </w:p>
        </w:tc>
      </w:tr>
      <w:tr>
        <w:trPr>
          <w:trHeight w:val="163"/>
        </w:trPr>
        <w:tc>
          <w:tcPr>
            <w:tcW w:w="8440" w:type="dxa"/>
            <w:vAlign w:val="bottom"/>
          </w:tcPr>
          <w:p>
            <w:pPr>
              <w:ind w:left="200"/>
              <w:spacing w:after="0" w:line="144" w:lineRule="exact"/>
              <w:rPr>
                <w:sz w:val="20"/>
                <w:szCs w:val="20"/>
                <w:color w:val="auto"/>
              </w:rPr>
            </w:pPr>
            <w:r>
              <w:rPr>
                <w:rFonts w:ascii="Times New Roman" w:cs="Times New Roman" w:eastAsia="Times New Roman" w:hAnsi="Times New Roman"/>
                <w:sz w:val="13"/>
                <w:szCs w:val="13"/>
                <w:color w:val="auto"/>
              </w:rPr>
              <w:t>Net decrease in cash and cash equivalents</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(20,433)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(34,000)</w:t>
            </w:r>
          </w:p>
        </w:tc>
      </w:tr>
      <w:tr>
        <w:trPr>
          <w:trHeight w:val="181"/>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Cash and cash equivalents at beginning of period</w:t>
            </w:r>
          </w:p>
        </w:tc>
        <w:tc>
          <w:tcPr>
            <w:tcW w:w="2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99,288</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121,069</w:t>
            </w:r>
          </w:p>
        </w:tc>
      </w:tr>
      <w:tr>
        <w:trPr>
          <w:trHeight w:val="163"/>
        </w:trPr>
        <w:tc>
          <w:tcPr>
            <w:tcW w:w="8440" w:type="dxa"/>
            <w:vAlign w:val="bottom"/>
          </w:tcPr>
          <w:p>
            <w:pPr>
              <w:ind w:left="200"/>
              <w:spacing w:after="0" w:line="144" w:lineRule="exact"/>
              <w:rPr>
                <w:sz w:val="20"/>
                <w:szCs w:val="20"/>
                <w:color w:val="auto"/>
              </w:rPr>
            </w:pPr>
            <w:r>
              <w:rPr>
                <w:rFonts w:ascii="Times New Roman" w:cs="Times New Roman" w:eastAsia="Times New Roman" w:hAnsi="Times New Roman"/>
                <w:sz w:val="13"/>
                <w:szCs w:val="13"/>
                <w:color w:val="auto"/>
              </w:rPr>
              <w:t>Cash and cash equivalents at end of period</w:t>
            </w:r>
          </w:p>
        </w:tc>
        <w:tc>
          <w:tcPr>
            <w:tcW w:w="2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78,855</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87,069</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48"/>
        </w:trPr>
        <w:tc>
          <w:tcPr>
            <w:tcW w:w="844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Supplemental disclosures of cash flow information:</w:t>
            </w: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70"/>
        </w:trPr>
        <w:tc>
          <w:tcPr>
            <w:tcW w:w="84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Cash paid for interest</w:t>
            </w:r>
          </w:p>
        </w:tc>
        <w:tc>
          <w:tcPr>
            <w:tcW w:w="2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84,611</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87,729</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4"/>
        </w:trPr>
        <w:tc>
          <w:tcPr>
            <w:tcW w:w="8440" w:type="dxa"/>
            <w:vAlign w:val="bottom"/>
            <w:tcBorders>
              <w:bottom w:val="single" w:sz="8" w:color="CCEEFF"/>
            </w:tcBorders>
            <w:shd w:val="clear" w:color="auto" w:fill="CCEEFF"/>
          </w:tcPr>
          <w:p>
            <w:pPr>
              <w:ind w:left="200"/>
              <w:spacing w:after="0" w:line="144" w:lineRule="exact"/>
              <w:rPr>
                <w:sz w:val="20"/>
                <w:szCs w:val="20"/>
                <w:color w:val="auto"/>
              </w:rPr>
            </w:pPr>
            <w:r>
              <w:rPr>
                <w:rFonts w:ascii="Times New Roman" w:cs="Times New Roman" w:eastAsia="Times New Roman" w:hAnsi="Times New Roman"/>
                <w:sz w:val="13"/>
                <w:szCs w:val="13"/>
                <w:color w:val="auto"/>
              </w:rPr>
              <w:t>Cash paid for foreign, state and federal income taxes</w:t>
            </w:r>
          </w:p>
        </w:tc>
        <w:tc>
          <w:tcPr>
            <w:tcW w:w="28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8,254</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7,231</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315" w:lineRule="exact"/>
        <w:rPr>
          <w:sz w:val="20"/>
          <w:szCs w:val="20"/>
          <w:color w:val="auto"/>
        </w:rPr>
      </w:pPr>
    </w:p>
    <w:p>
      <w:pPr>
        <w:ind w:left="180" w:hanging="172"/>
        <w:spacing w:after="0"/>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Significant Accounting Policies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included in the foregoing interim condensed consolidated financial statements is unaudited. In the opinion of management all adjustments, consisting of normal recurring adjustments, necessary for a fair presentation of Lamar Media’s financial position and results of operations for the interim periods presented have been reflected herein. The results of operations for interim periods are not necessarily indicative of the results to be expected for the entire year. These interim condensed consolidated financial statements should be read in conjunction with Lamar Media’s consolidated financial statements and the notes thereto included in the 2021 Combined Form 10-K.</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notes are not provided for the accompanying condensed consolidated financial statements as the information in notes 1, 2, 3, 4, 5, 6, 7, 8, 9, 11, 12, 13, 14, 16, and 17 to the condensed consolidated financial statements of Lamar Advertising included elsewhere in this report is substantially equivalent to that required for the condensed consolidated financial statements of Lamar Media. Earnings per share data is not provided for Lamar Media, as it is a wholly owned subsidiary of the Company.</w:t>
      </w:r>
    </w:p>
    <w:p>
      <w:pPr>
        <w:spacing w:after="0" w:line="288" w:lineRule="exact"/>
        <w:rPr>
          <w:sz w:val="20"/>
          <w:szCs w:val="20"/>
          <w:color w:val="auto"/>
        </w:rPr>
      </w:pPr>
    </w:p>
    <w:p>
      <w:pPr>
        <w:ind w:left="180" w:hanging="172"/>
        <w:spacing w:after="0"/>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Summarized Financial Information of Subsidiaries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Separate condensed consolidating financial information for Lamar Media, subsidiary guarantors and non-guarantor subsidiaries is presented below. Lamar Media and its subsidiary guarantors have fully and unconditionally guaranteed Lamar Media’s obligations with respect to its publicly issued notes. All guarantees are joint and several. As a result of these guarantee arrangements, we are required to present the following condensed consolidating financial information. The following condensed consolidating financial information should be read in conjunction with the accompanying consolidated financial statements and notes. The condensed consolidating financial information is provided as an alternative to providing separate financial statements for guarantor subsidiaries. Separate financial statements of Lamar Media’s subsidiary guarantors are not included because the guarantees are full and unconditional and the subsidiary guarantors are 100% owned and jointly and severally liable for Lamar Media’s outstanding publicly issued notes. The accounts for all companies reflected herein are presented using the equity method of accounting for investments in subsidiaries.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Balance Sheet as of September 30, 2022</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Lamar</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200" w:type="dxa"/>
            <w:vAlign w:val="bottom"/>
          </w:tcPr>
          <w:p>
            <w:pPr>
              <w:spacing w:after="0"/>
              <w:rPr>
                <w:sz w:val="13"/>
                <w:szCs w:val="13"/>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200" w:type="dxa"/>
            <w:vAlign w:val="bottom"/>
          </w:tcPr>
          <w:p>
            <w:pPr>
              <w:spacing w:after="0"/>
              <w:rPr>
                <w:sz w:val="12"/>
                <w:szCs w:val="12"/>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Media Corp.</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0"/>
        </w:trPr>
        <w:tc>
          <w:tcPr>
            <w:tcW w:w="42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200" w:type="dxa"/>
            <w:vAlign w:val="bottom"/>
          </w:tcPr>
          <w:p>
            <w:pPr>
              <w:ind w:left="17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68,868</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36,412</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299,241</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404,521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1,383,688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1,399,234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1,215,315</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20,886</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1,236,201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Intangibles and goodwill, net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3,103,512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3,120,485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4,464,953</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337,622</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212,185</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(4,913,425)</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4,533,821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6,076,549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564,831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(4,913,425)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6,261,776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0" w:type="dxa"/>
            <w:vAlign w:val="bottom"/>
            <w:shd w:val="clear" w:color="auto" w:fill="CFF0FC"/>
          </w:tcPr>
          <w:p>
            <w:pPr>
              <w:ind w:left="14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199,349</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199,722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22,696</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220,083</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12,563</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255,342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CFF0FC"/>
            </w:tcBorders>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22,696</w:t>
            </w:r>
          </w:p>
        </w:tc>
        <w:tc>
          <w:tcPr>
            <w:tcW w:w="1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393,169</w:t>
            </w:r>
          </w:p>
        </w:tc>
        <w:tc>
          <w:tcPr>
            <w:tcW w:w="1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219,306</w:t>
            </w:r>
          </w:p>
        </w:tc>
        <w:tc>
          <w:tcPr>
            <w:tcW w:w="1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635,171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3,014,831</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3,016,563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996,306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1,007,988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230,094</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301,228</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332,061</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(527,529)</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335,854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CFF0FC"/>
            </w:tcBorders>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3,267,621</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1,692,435</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563,049</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(527,529)</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4,995,576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1,266,200</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4,384,114</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(4,385,896)</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1,266,200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4,533,821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6,076,549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564,831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(4,913,425)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6,261,776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4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Consolidating Balance Sheet as of December 31, 2021</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180" w:type="dxa"/>
            <w:vAlign w:val="bottom"/>
          </w:tcPr>
          <w:p>
            <w:pPr>
              <w:spacing w:after="0"/>
              <w:rPr>
                <w:sz w:val="13"/>
                <w:szCs w:val="13"/>
                <w:color w:val="auto"/>
              </w:rPr>
            </w:pPr>
          </w:p>
        </w:tc>
        <w:tc>
          <w:tcPr>
            <w:tcW w:w="12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200" w:type="dxa"/>
            <w:vAlign w:val="bottom"/>
          </w:tcPr>
          <w:p>
            <w:pPr>
              <w:spacing w:after="0"/>
              <w:rPr>
                <w:sz w:val="13"/>
                <w:szCs w:val="13"/>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200" w:type="dxa"/>
            <w:vAlign w:val="bottom"/>
          </w:tcPr>
          <w:p>
            <w:pPr>
              <w:spacing w:after="0"/>
              <w:rPr>
                <w:sz w:val="12"/>
                <w:szCs w:val="12"/>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Corp.</w:t>
            </w:r>
          </w:p>
        </w:tc>
        <w:tc>
          <w:tcPr>
            <w:tcW w:w="18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16"/>
        </w:trPr>
        <w:tc>
          <w:tcPr>
            <w:tcW w:w="4200" w:type="dxa"/>
            <w:vAlign w:val="bottom"/>
          </w:tcPr>
          <w:p>
            <w:pPr>
              <w:ind w:left="17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91,119</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29,379</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267,609</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388,107</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1,321,526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1,337,274</w:t>
            </w: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1,198,934</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25,738</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1,224,672</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Intangibles and goodwill, net</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2,953,600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2,970,983</w:t>
            </w: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4,188,436</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311,046</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187,044</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(4,576,531)</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109,995</w:t>
            </w:r>
          </w:p>
        </w:tc>
        <w:tc>
          <w:tcPr>
            <w:tcW w:w="0" w:type="dxa"/>
            <w:vAlign w:val="bottom"/>
          </w:tcPr>
          <w:p>
            <w:pPr>
              <w:spacing w:after="0"/>
              <w:rPr>
                <w:sz w:val="1"/>
                <w:szCs w:val="1"/>
                <w:color w:val="auto"/>
              </w:rPr>
            </w:pPr>
          </w:p>
        </w:tc>
      </w:tr>
      <w:tr>
        <w:trPr>
          <w:trHeight w:val="223"/>
        </w:trPr>
        <w:tc>
          <w:tcPr>
            <w:tcW w:w="42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4,279,555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5,814,485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513,522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(4,576,531)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6,031,031</w:t>
            </w:r>
          </w:p>
        </w:tc>
        <w:tc>
          <w:tcPr>
            <w:tcW w:w="0" w:type="dxa"/>
            <w:vAlign w:val="bottom"/>
          </w:tcPr>
          <w:p>
            <w:pPr>
              <w:spacing w:after="0"/>
              <w:rPr>
                <w:sz w:val="1"/>
                <w:szCs w:val="1"/>
                <w:color w:val="auto"/>
              </w:rPr>
            </w:pPr>
          </w:p>
        </w:tc>
      </w:tr>
      <w:tr>
        <w:trPr>
          <w:trHeight w:val="20"/>
        </w:trPr>
        <w:tc>
          <w:tcPr>
            <w:tcW w:w="420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0" w:type="dxa"/>
            <w:vAlign w:val="bottom"/>
            <w:shd w:val="clear" w:color="auto" w:fill="CFF0FC"/>
          </w:tcPr>
          <w:p>
            <w:pPr>
              <w:ind w:left="14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174,415</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174,778</w:t>
            </w:r>
          </w:p>
        </w:tc>
        <w:tc>
          <w:tcPr>
            <w:tcW w:w="0" w:type="dxa"/>
            <w:vAlign w:val="bottom"/>
          </w:tcPr>
          <w:p>
            <w:pPr>
              <w:spacing w:after="0"/>
              <w:rPr>
                <w:sz w:val="1"/>
                <w:szCs w:val="1"/>
                <w:color w:val="auto"/>
              </w:rPr>
            </w:pPr>
          </w:p>
        </w:tc>
      </w:tr>
      <w:tr>
        <w:trPr>
          <w:trHeight w:val="229"/>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198,286</w:t>
            </w: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22,009</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246,030</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14,142</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282,181</w:t>
            </w:r>
          </w:p>
        </w:tc>
        <w:tc>
          <w:tcPr>
            <w:tcW w:w="0" w:type="dxa"/>
            <w:vAlign w:val="bottom"/>
          </w:tcPr>
          <w:p>
            <w:pPr>
              <w:spacing w:after="0"/>
              <w:rPr>
                <w:sz w:val="1"/>
                <w:szCs w:val="1"/>
                <w:color w:val="auto"/>
              </w:rPr>
            </w:pPr>
          </w:p>
        </w:tc>
      </w:tr>
      <w:tr>
        <w:trPr>
          <w:trHeight w:val="223"/>
        </w:trPr>
        <w:tc>
          <w:tcPr>
            <w:tcW w:w="4200" w:type="dxa"/>
            <w:vAlign w:val="bottom"/>
            <w:tcBorders>
              <w:bottom w:val="single" w:sz="8" w:color="CFF0FC"/>
            </w:tcBorders>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22,009</w:t>
            </w:r>
          </w:p>
        </w:tc>
        <w:tc>
          <w:tcPr>
            <w:tcW w:w="1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437,141</w:t>
            </w:r>
          </w:p>
        </w:tc>
        <w:tc>
          <w:tcPr>
            <w:tcW w:w="1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196,095</w:t>
            </w:r>
          </w:p>
        </w:tc>
        <w:tc>
          <w:tcPr>
            <w:tcW w:w="1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655,245</w:t>
            </w:r>
          </w:p>
        </w:tc>
        <w:tc>
          <w:tcPr>
            <w:tcW w:w="0" w:type="dxa"/>
            <w:vAlign w:val="bottom"/>
          </w:tcPr>
          <w:p>
            <w:pPr>
              <w:spacing w:after="0"/>
              <w:rPr>
                <w:sz w:val="1"/>
                <w:szCs w:val="1"/>
                <w:color w:val="auto"/>
              </w:rPr>
            </w:pPr>
          </w:p>
        </w:tc>
      </w:tr>
      <w:tr>
        <w:trPr>
          <w:trHeight w:val="223"/>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2,836,801</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2,838,817</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977,463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995,356</w:t>
            </w: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212,399</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292,194</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292,281</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(463,607)</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333,267</w:t>
            </w:r>
          </w:p>
        </w:tc>
        <w:tc>
          <w:tcPr>
            <w:tcW w:w="0" w:type="dxa"/>
            <w:vAlign w:val="bottom"/>
          </w:tcPr>
          <w:p>
            <w:pPr>
              <w:spacing w:after="0"/>
              <w:rPr>
                <w:sz w:val="1"/>
                <w:szCs w:val="1"/>
                <w:color w:val="auto"/>
              </w:rPr>
            </w:pPr>
          </w:p>
        </w:tc>
      </w:tr>
      <w:tr>
        <w:trPr>
          <w:trHeight w:val="223"/>
        </w:trPr>
        <w:tc>
          <w:tcPr>
            <w:tcW w:w="4200" w:type="dxa"/>
            <w:vAlign w:val="bottom"/>
            <w:tcBorders>
              <w:bottom w:val="single" w:sz="8" w:color="CFF0FC"/>
            </w:tcBorders>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3,071,209</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1,708,814</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506,269</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(463,607)</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4,822,685</w:t>
            </w:r>
          </w:p>
        </w:tc>
        <w:tc>
          <w:tcPr>
            <w:tcW w:w="0" w:type="dxa"/>
            <w:vAlign w:val="bottom"/>
          </w:tcPr>
          <w:p>
            <w:pPr>
              <w:spacing w:after="0"/>
              <w:rPr>
                <w:sz w:val="1"/>
                <w:szCs w:val="1"/>
                <w:color w:val="auto"/>
              </w:rPr>
            </w:pPr>
          </w:p>
        </w:tc>
      </w:tr>
      <w:tr>
        <w:trPr>
          <w:trHeight w:val="223"/>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1,208,346</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4,105,671</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7,253</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(4,112,924)</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1,208,346</w:t>
            </w:r>
          </w:p>
        </w:tc>
        <w:tc>
          <w:tcPr>
            <w:tcW w:w="0" w:type="dxa"/>
            <w:vAlign w:val="bottom"/>
          </w:tcPr>
          <w:p>
            <w:pPr>
              <w:spacing w:after="0"/>
              <w:rPr>
                <w:sz w:val="1"/>
                <w:szCs w:val="1"/>
                <w:color w:val="auto"/>
              </w:rPr>
            </w:pPr>
          </w:p>
        </w:tc>
      </w:tr>
      <w:tr>
        <w:trPr>
          <w:trHeight w:val="223"/>
        </w:trPr>
        <w:tc>
          <w:tcPr>
            <w:tcW w:w="42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4,279,555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5,814,485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513,522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(4,576,531)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6,031,031</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Statements of Income and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2022</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14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Lamar Media Corp.</w:t>
            </w:r>
          </w:p>
        </w:tc>
        <w:tc>
          <w:tcPr>
            <w:tcW w:w="200" w:type="dxa"/>
            <w:vAlign w:val="bottom"/>
          </w:tcPr>
          <w:p>
            <w:pPr>
              <w:spacing w:after="0"/>
              <w:rPr>
                <w:sz w:val="13"/>
                <w:szCs w:val="13"/>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40" w:type="dxa"/>
            <w:vAlign w:val="bottom"/>
          </w:tcPr>
          <w:p>
            <w:pPr>
              <w:spacing w:after="0"/>
              <w:rPr>
                <w:sz w:val="13"/>
                <w:szCs w:val="13"/>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80" w:type="dxa"/>
            <w:vAlign w:val="bottom"/>
          </w:tcPr>
          <w:p>
            <w:pPr>
              <w:spacing w:after="0"/>
              <w:rPr>
                <w:sz w:val="13"/>
                <w:szCs w:val="13"/>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3"/>
                <w:szCs w:val="13"/>
                <w:color w:val="auto"/>
              </w:rPr>
            </w:pP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0" w:type="dxa"/>
            <w:vAlign w:val="bottom"/>
          </w:tcPr>
          <w:p>
            <w:pPr>
              <w:spacing w:after="0"/>
              <w:rPr>
                <w:sz w:val="1"/>
                <w:szCs w:val="1"/>
                <w:color w:val="auto"/>
              </w:rPr>
            </w:pPr>
          </w:p>
        </w:tc>
      </w:tr>
      <w:tr>
        <w:trPr>
          <w:trHeight w:val="194"/>
        </w:trPr>
        <w:tc>
          <w:tcPr>
            <w:tcW w:w="4240" w:type="dxa"/>
            <w:vAlign w:val="bottom"/>
          </w:tcPr>
          <w:p>
            <w:pPr>
              <w:spacing w:after="0"/>
              <w:rPr>
                <w:sz w:val="16"/>
                <w:szCs w:val="16"/>
                <w:color w:val="auto"/>
              </w:rPr>
            </w:pPr>
          </w:p>
        </w:tc>
        <w:tc>
          <w:tcPr>
            <w:tcW w:w="1420" w:type="dxa"/>
            <w:vAlign w:val="bottom"/>
            <w:tcBorders>
              <w:bottom w:val="single" w:sz="8" w:color="auto"/>
            </w:tcBorders>
            <w:gridSpan w:val="3"/>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16"/>
        </w:trPr>
        <w:tc>
          <w:tcPr>
            <w:tcW w:w="4240" w:type="dxa"/>
            <w:vAlign w:val="bottom"/>
          </w:tcPr>
          <w:p>
            <w:pPr>
              <w:ind w:left="1340"/>
              <w:spacing w:after="0"/>
              <w:rPr>
                <w:sz w:val="20"/>
                <w:szCs w:val="20"/>
                <w:color w:val="auto"/>
              </w:rPr>
            </w:pPr>
            <w:r>
              <w:rPr>
                <w:rFonts w:ascii="Times New Roman" w:cs="Times New Roman" w:eastAsia="Times New Roman" w:hAnsi="Times New Roman"/>
                <w:sz w:val="18"/>
                <w:szCs w:val="18"/>
                <w:b w:val="1"/>
                <w:bCs w:val="1"/>
                <w:color w:val="auto"/>
              </w:rPr>
              <w:t>Statement of Income</w:t>
            </w: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515,993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527,390</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 (income)</w:t>
            </w: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7"/>
                <w:szCs w:val="17"/>
                <w:color w:val="auto"/>
              </w:rPr>
              <w:t>Direct advertising expenses</w:t>
            </w:r>
            <w:r>
              <w:rPr>
                <w:rFonts w:ascii="Times New Roman" w:cs="Times New Roman" w:eastAsia="Times New Roman" w:hAnsi="Times New Roman"/>
                <w:sz w:val="26"/>
                <w:szCs w:val="26"/>
                <w:color w:val="auto"/>
                <w:vertAlign w:val="superscript"/>
              </w:rPr>
              <w:t>(1)</w:t>
            </w:r>
          </w:p>
        </w:tc>
        <w:tc>
          <w:tcPr>
            <w:tcW w:w="3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168,968</w:t>
            </w:r>
          </w:p>
        </w:tc>
        <w:tc>
          <w:tcPr>
            <w:tcW w:w="0" w:type="dxa"/>
            <w:vAlign w:val="bottom"/>
          </w:tcPr>
          <w:p>
            <w:pPr>
              <w:spacing w:after="0"/>
              <w:rPr>
                <w:sz w:val="1"/>
                <w:szCs w:val="1"/>
                <w:color w:val="auto"/>
              </w:rPr>
            </w:pPr>
          </w:p>
        </w:tc>
      </w:tr>
      <w:tr>
        <w:trPr>
          <w:trHeight w:val="229"/>
        </w:trPr>
        <w:tc>
          <w:tcPr>
            <w:tcW w:w="4240" w:type="dxa"/>
            <w:vAlign w:val="bottom"/>
          </w:tcPr>
          <w:p>
            <w:pPr>
              <w:ind w:left="180"/>
              <w:spacing w:after="0" w:line="230" w:lineRule="exact"/>
              <w:rPr>
                <w:sz w:val="20"/>
                <w:szCs w:val="20"/>
                <w:color w:val="auto"/>
              </w:rPr>
            </w:pPr>
            <w:r>
              <w:rPr>
                <w:rFonts w:ascii="Times New Roman" w:cs="Times New Roman" w:eastAsia="Times New Roman" w:hAnsi="Times New Roman"/>
                <w:sz w:val="17"/>
                <w:szCs w:val="17"/>
                <w:color w:val="auto"/>
              </w:rPr>
              <w:t>General and administrative expenses</w:t>
            </w:r>
            <w:r>
              <w:rPr>
                <w:rFonts w:ascii="Times New Roman" w:cs="Times New Roman" w:eastAsia="Times New Roman" w:hAnsi="Times New Roman"/>
                <w:sz w:val="26"/>
                <w:szCs w:val="26"/>
                <w:color w:val="auto"/>
                <w:vertAlign w:val="superscript"/>
              </w:rPr>
              <w:t>(1)</w:t>
            </w:r>
          </w:p>
        </w:tc>
        <w:tc>
          <w:tcPr>
            <w:tcW w:w="3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87,181</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7"/>
                <w:szCs w:val="17"/>
                <w:color w:val="auto"/>
              </w:rPr>
              <w:t>Corporate expenses</w:t>
            </w:r>
            <w:r>
              <w:rPr>
                <w:rFonts w:ascii="Times New Roman" w:cs="Times New Roman" w:eastAsia="Times New Roman" w:hAnsi="Times New Roman"/>
                <w:sz w:val="26"/>
                <w:szCs w:val="26"/>
                <w:color w:val="auto"/>
                <w:vertAlign w:val="superscript"/>
              </w:rPr>
              <w:t>(1)</w:t>
            </w:r>
          </w:p>
        </w:tc>
        <w:tc>
          <w:tcPr>
            <w:tcW w:w="3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24,337</w:t>
            </w:r>
          </w:p>
        </w:tc>
        <w:tc>
          <w:tcPr>
            <w:tcW w:w="0" w:type="dxa"/>
            <w:vAlign w:val="bottom"/>
          </w:tcPr>
          <w:p>
            <w:pPr>
              <w:spacing w:after="0"/>
              <w:rPr>
                <w:sz w:val="1"/>
                <w:szCs w:val="1"/>
                <w:color w:val="auto"/>
              </w:rPr>
            </w:pPr>
          </w:p>
        </w:tc>
      </w:tr>
      <w:tr>
        <w:trPr>
          <w:trHeight w:val="229"/>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65,833</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3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3"/>
        </w:trPr>
        <w:tc>
          <w:tcPr>
            <w:tcW w:w="424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335,806</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10,533</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346,266</w:t>
            </w: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181,124</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(earnings) loss of subsidiaries</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178,405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33,297</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earnings of investee</w:t>
            </w:r>
          </w:p>
        </w:tc>
        <w:tc>
          <w:tcPr>
            <w:tcW w:w="3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 expense</w:t>
            </w:r>
          </w:p>
        </w:tc>
        <w:tc>
          <w:tcPr>
            <w:tcW w:w="3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146,325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181,773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(178,405)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149,381</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line="230" w:lineRule="exact"/>
              <w:rPr>
                <w:sz w:val="20"/>
                <w:szCs w:val="20"/>
                <w:color w:val="auto"/>
              </w:rPr>
            </w:pPr>
            <w:r>
              <w:rPr>
                <w:rFonts w:ascii="Times New Roman" w:cs="Times New Roman" w:eastAsia="Times New Roman" w:hAnsi="Times New Roman"/>
                <w:sz w:val="17"/>
                <w:szCs w:val="17"/>
                <w:color w:val="auto"/>
              </w:rPr>
              <w:t>Income tax expense</w:t>
            </w:r>
            <w:r>
              <w:rPr>
                <w:rFonts w:ascii="Times New Roman" w:cs="Times New Roman" w:eastAsia="Times New Roman" w:hAnsi="Times New Roman"/>
                <w:sz w:val="26"/>
                <w:szCs w:val="26"/>
                <w:color w:val="auto"/>
                <w:vertAlign w:val="superscript"/>
              </w:rPr>
              <w:t>(2)</w:t>
            </w:r>
          </w:p>
        </w:tc>
        <w:tc>
          <w:tcPr>
            <w:tcW w:w="3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3,056</w:t>
            </w:r>
          </w:p>
        </w:tc>
        <w:tc>
          <w:tcPr>
            <w:tcW w:w="0" w:type="dxa"/>
            <w:vAlign w:val="bottom"/>
          </w:tcPr>
          <w:p>
            <w:pPr>
              <w:spacing w:after="0"/>
              <w:rPr>
                <w:sz w:val="1"/>
                <w:szCs w:val="1"/>
                <w:color w:val="auto"/>
              </w:rPr>
            </w:pPr>
          </w:p>
        </w:tc>
      </w:tr>
      <w:tr>
        <w:trPr>
          <w:trHeight w:val="248"/>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146,325</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720"/>
              <w:spacing w:after="0"/>
              <w:rPr>
                <w:sz w:val="20"/>
                <w:szCs w:val="20"/>
                <w:color w:val="auto"/>
              </w:rPr>
            </w:pPr>
            <w:r>
              <w:rPr>
                <w:rFonts w:ascii="Times New Roman" w:cs="Times New Roman" w:eastAsia="Times New Roman" w:hAnsi="Times New Roman"/>
                <w:sz w:val="18"/>
                <w:szCs w:val="18"/>
                <w:b w:val="1"/>
                <w:bCs w:val="1"/>
                <w:color w:val="auto"/>
              </w:rPr>
              <w:t>Statement of Comprehensive Income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2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146,325</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comprehensive loss, net of tax</w:t>
            </w:r>
          </w:p>
        </w:tc>
        <w:tc>
          <w:tcPr>
            <w:tcW w:w="3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0" w:type="dxa"/>
            <w:vAlign w:val="bottom"/>
          </w:tcPr>
          <w:p>
            <w:pPr>
              <w:spacing w:after="0"/>
              <w:rPr>
                <w:sz w:val="1"/>
                <w:szCs w:val="1"/>
                <w:color w:val="auto"/>
              </w:rPr>
            </w:pPr>
          </w:p>
        </w:tc>
      </w:tr>
      <w:tr>
        <w:trPr>
          <w:trHeight w:val="248"/>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144,924</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ind w:left="320" w:hanging="312"/>
        <w:spacing w:after="0"/>
        <w:tabs>
          <w:tab w:leader="none" w:pos="3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Caption is exclusive of depreciation and amortization</w:t>
      </w:r>
    </w:p>
    <w:p>
      <w:pPr>
        <w:spacing w:after="0" w:line="1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income tax expense reflected in each column does not include any tax effect of the equity in earnings from subsidiaries.</w:t>
      </w:r>
    </w:p>
    <w:p>
      <w:pPr>
        <w:sectPr>
          <w:pgSz w:w="11900" w:h="16838" w:orient="portrait"/>
          <w:cols w:equalWidth="0" w:num="1">
            <w:col w:w="11240"/>
          </w:cols>
          <w:pgMar w:left="320" w:top="121" w:right="339" w:bottom="10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014"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Statements of Income and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200" w:type="dxa"/>
            <w:vAlign w:val="bottom"/>
          </w:tcPr>
          <w:p>
            <w:pPr>
              <w:spacing w:after="0"/>
              <w:rPr>
                <w:sz w:val="13"/>
                <w:szCs w:val="13"/>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40" w:type="dxa"/>
            <w:vAlign w:val="bottom"/>
          </w:tcPr>
          <w:p>
            <w:pPr>
              <w:spacing w:after="0"/>
              <w:rPr>
                <w:sz w:val="13"/>
                <w:szCs w:val="13"/>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80" w:type="dxa"/>
            <w:vAlign w:val="bottom"/>
          </w:tcPr>
          <w:p>
            <w:pPr>
              <w:spacing w:after="0"/>
              <w:rPr>
                <w:sz w:val="13"/>
                <w:szCs w:val="13"/>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3"/>
                <w:szCs w:val="13"/>
                <w:color w:val="auto"/>
              </w:rPr>
            </w:pP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0" w:type="dxa"/>
            <w:vAlign w:val="bottom"/>
          </w:tcPr>
          <w:p>
            <w:pPr>
              <w:spacing w:after="0"/>
              <w:rPr>
                <w:sz w:val="1"/>
                <w:szCs w:val="1"/>
                <w:color w:val="auto"/>
              </w:rPr>
            </w:pPr>
          </w:p>
        </w:tc>
      </w:tr>
      <w:tr>
        <w:trPr>
          <w:trHeight w:val="194"/>
        </w:trPr>
        <w:tc>
          <w:tcPr>
            <w:tcW w:w="4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Corp.</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16"/>
        </w:trPr>
        <w:tc>
          <w:tcPr>
            <w:tcW w:w="4120" w:type="dxa"/>
            <w:vAlign w:val="bottom"/>
          </w:tcPr>
          <w:p>
            <w:pPr>
              <w:ind w:left="1260"/>
              <w:spacing w:after="0"/>
              <w:rPr>
                <w:sz w:val="20"/>
                <w:szCs w:val="20"/>
                <w:color w:val="auto"/>
              </w:rPr>
            </w:pPr>
            <w:r>
              <w:rPr>
                <w:rFonts w:ascii="Times New Roman" w:cs="Times New Roman" w:eastAsia="Times New Roman" w:hAnsi="Times New Roman"/>
                <w:sz w:val="18"/>
                <w:szCs w:val="18"/>
                <w:b w:val="1"/>
                <w:bCs w:val="1"/>
                <w:color w:val="auto"/>
              </w:rPr>
              <w:t>Statement of Income</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466,222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476,894</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 (income)</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7"/>
                <w:szCs w:val="17"/>
                <w:color w:val="auto"/>
              </w:rPr>
              <w:t>Direct advertising expenses</w:t>
            </w:r>
            <w:r>
              <w:rPr>
                <w:rFonts w:ascii="Times New Roman" w:cs="Times New Roman" w:eastAsia="Times New Roman" w:hAnsi="Times New Roman"/>
                <w:sz w:val="26"/>
                <w:szCs w:val="26"/>
                <w:color w:val="auto"/>
                <w:vertAlign w:val="superscript"/>
              </w:rPr>
              <w:t>(1)</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147,310</w:t>
            </w:r>
          </w:p>
        </w:tc>
        <w:tc>
          <w:tcPr>
            <w:tcW w:w="0" w:type="dxa"/>
            <w:vAlign w:val="bottom"/>
          </w:tcPr>
          <w:p>
            <w:pPr>
              <w:spacing w:after="0"/>
              <w:rPr>
                <w:sz w:val="1"/>
                <w:szCs w:val="1"/>
                <w:color w:val="auto"/>
              </w:rPr>
            </w:pPr>
          </w:p>
        </w:tc>
      </w:tr>
      <w:tr>
        <w:trPr>
          <w:trHeight w:val="229"/>
        </w:trPr>
        <w:tc>
          <w:tcPr>
            <w:tcW w:w="4120" w:type="dxa"/>
            <w:vAlign w:val="bottom"/>
          </w:tcPr>
          <w:p>
            <w:pPr>
              <w:ind w:left="180"/>
              <w:spacing w:after="0" w:line="230" w:lineRule="exact"/>
              <w:rPr>
                <w:sz w:val="20"/>
                <w:szCs w:val="20"/>
                <w:color w:val="auto"/>
              </w:rPr>
            </w:pPr>
            <w:r>
              <w:rPr>
                <w:rFonts w:ascii="Times New Roman" w:cs="Times New Roman" w:eastAsia="Times New Roman" w:hAnsi="Times New Roman"/>
                <w:sz w:val="17"/>
                <w:szCs w:val="17"/>
                <w:color w:val="auto"/>
              </w:rPr>
              <w:t>General and administrative expenses</w:t>
            </w:r>
            <w:r>
              <w:rPr>
                <w:rFonts w:ascii="Times New Roman" w:cs="Times New Roman" w:eastAsia="Times New Roman" w:hAnsi="Times New Roman"/>
                <w:sz w:val="26"/>
                <w:szCs w:val="26"/>
                <w:color w:val="auto"/>
                <w:vertAlign w:val="superscript"/>
              </w:rPr>
              <w:t>(1)</w:t>
            </w: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85,947</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7"/>
                <w:szCs w:val="17"/>
                <w:color w:val="auto"/>
              </w:rPr>
              <w:t>Corporate expenses</w:t>
            </w:r>
            <w:r>
              <w:rPr>
                <w:rFonts w:ascii="Times New Roman" w:cs="Times New Roman" w:eastAsia="Times New Roman" w:hAnsi="Times New Roman"/>
                <w:sz w:val="26"/>
                <w:szCs w:val="26"/>
                <w:color w:val="auto"/>
                <w:vertAlign w:val="superscript"/>
              </w:rPr>
              <w:t>(1)</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25,891</w:t>
            </w:r>
          </w:p>
        </w:tc>
        <w:tc>
          <w:tcPr>
            <w:tcW w:w="0" w:type="dxa"/>
            <w:vAlign w:val="bottom"/>
          </w:tcPr>
          <w:p>
            <w:pPr>
              <w:spacing w:after="0"/>
              <w:rPr>
                <w:sz w:val="1"/>
                <w:szCs w:val="1"/>
                <w:color w:val="auto"/>
              </w:rPr>
            </w:pPr>
          </w:p>
        </w:tc>
      </w:tr>
      <w:tr>
        <w:trPr>
          <w:trHeight w:val="229"/>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84,300</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(gain) on disposition of assets</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333,776</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10,190</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343,422</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133,472</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(earnings) loss of subsidiaries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132,727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25,927</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earnings of investee</w:t>
            </w: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0" w:type="dxa"/>
            <w:vAlign w:val="bottom"/>
          </w:tcPr>
          <w:p>
            <w:pPr>
              <w:spacing w:after="0"/>
              <w:rPr>
                <w:sz w:val="1"/>
                <w:szCs w:val="1"/>
                <w:color w:val="auto"/>
              </w:rPr>
            </w:pPr>
          </w:p>
        </w:tc>
      </w:tr>
      <w:tr>
        <w:trPr>
          <w:trHeight w:val="223"/>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 expense (benefit)</w:t>
            </w:r>
          </w:p>
        </w:tc>
        <w:tc>
          <w:tcPr>
            <w:tcW w:w="1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106,974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133,591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(132,727)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108,686</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line="230" w:lineRule="exact"/>
              <w:rPr>
                <w:sz w:val="20"/>
                <w:szCs w:val="20"/>
                <w:color w:val="auto"/>
              </w:rPr>
            </w:pPr>
            <w:r>
              <w:rPr>
                <w:rFonts w:ascii="Times New Roman" w:cs="Times New Roman" w:eastAsia="Times New Roman" w:hAnsi="Times New Roman"/>
                <w:sz w:val="17"/>
                <w:szCs w:val="17"/>
                <w:color w:val="auto"/>
              </w:rPr>
              <w:t>Income tax expense (benefit)</w:t>
            </w:r>
            <w:r>
              <w:rPr>
                <w:rFonts w:ascii="Times New Roman" w:cs="Times New Roman" w:eastAsia="Times New Roman" w:hAnsi="Times New Roman"/>
                <w:sz w:val="26"/>
                <w:szCs w:val="26"/>
                <w:color w:val="auto"/>
                <w:vertAlign w:val="superscript"/>
              </w:rPr>
              <w:t>(2)</w:t>
            </w: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0" w:type="dxa"/>
            <w:vAlign w:val="bottom"/>
          </w:tcPr>
          <w:p>
            <w:pPr>
              <w:spacing w:after="0"/>
              <w:rPr>
                <w:sz w:val="1"/>
                <w:szCs w:val="1"/>
                <w:color w:val="auto"/>
              </w:rPr>
            </w:pPr>
          </w:p>
        </w:tc>
      </w:tr>
      <w:tr>
        <w:trPr>
          <w:trHeight w:val="248"/>
        </w:trPr>
        <w:tc>
          <w:tcPr>
            <w:tcW w:w="4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106,974</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640"/>
              <w:spacing w:after="0"/>
              <w:rPr>
                <w:sz w:val="20"/>
                <w:szCs w:val="20"/>
                <w:color w:val="auto"/>
              </w:rPr>
            </w:pPr>
            <w:r>
              <w:rPr>
                <w:rFonts w:ascii="Times New Roman" w:cs="Times New Roman" w:eastAsia="Times New Roman" w:hAnsi="Times New Roman"/>
                <w:sz w:val="18"/>
                <w:szCs w:val="18"/>
                <w:b w:val="1"/>
                <w:bCs w:val="1"/>
                <w:color w:val="auto"/>
              </w:rPr>
              <w:t>Statement of Comprehensive Income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1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(132,727)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106,974</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comprehensive loss, net of tax</w:t>
            </w: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0" w:type="dxa"/>
            <w:vAlign w:val="bottom"/>
          </w:tcPr>
          <w:p>
            <w:pPr>
              <w:spacing w:after="0"/>
              <w:rPr>
                <w:sz w:val="1"/>
                <w:szCs w:val="1"/>
                <w:color w:val="auto"/>
              </w:rPr>
            </w:pPr>
          </w:p>
        </w:tc>
      </w:tr>
      <w:tr>
        <w:trPr>
          <w:trHeight w:val="248"/>
        </w:trPr>
        <w:tc>
          <w:tcPr>
            <w:tcW w:w="4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106,386</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320" w:hanging="312"/>
        <w:spacing w:after="0"/>
        <w:tabs>
          <w:tab w:leader="none" w:pos="3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Caption is exclusive of depreciation and amortization.</w:t>
      </w:r>
    </w:p>
    <w:p>
      <w:pPr>
        <w:spacing w:after="0" w:line="1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income tax expense (benefit) reflected in each column does not include any tax effect of the equity in earnings from subsidiaries.</w:t>
      </w:r>
    </w:p>
    <w:p>
      <w:pPr>
        <w:spacing w:after="0" w:line="200" w:lineRule="exact"/>
        <w:rPr>
          <w:sz w:val="20"/>
          <w:szCs w:val="20"/>
          <w:color w:val="auto"/>
        </w:rPr>
      </w:pPr>
    </w:p>
    <w:p>
      <w:pPr>
        <w:spacing w:after="0" w:line="35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21" w:right="6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Statements of Income and Comprehensive Income</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2022</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180" w:type="dxa"/>
            <w:vAlign w:val="bottom"/>
          </w:tcPr>
          <w:p>
            <w:pPr>
              <w:spacing w:after="0"/>
              <w:rPr>
                <w:sz w:val="13"/>
                <w:szCs w:val="13"/>
                <w:color w:val="auto"/>
              </w:rPr>
            </w:pPr>
          </w:p>
        </w:tc>
        <w:tc>
          <w:tcPr>
            <w:tcW w:w="12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20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Non-</w:t>
            </w: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180" w:type="dxa"/>
            <w:vAlign w:val="bottom"/>
          </w:tcPr>
          <w:p>
            <w:pPr>
              <w:spacing w:after="0"/>
              <w:rPr>
                <w:sz w:val="12"/>
                <w:szCs w:val="12"/>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Corp.</w:t>
            </w: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16"/>
        </w:trPr>
        <w:tc>
          <w:tcPr>
            <w:tcW w:w="4240" w:type="dxa"/>
            <w:vAlign w:val="bottom"/>
          </w:tcPr>
          <w:p>
            <w:pPr>
              <w:ind w:left="1320"/>
              <w:spacing w:after="0"/>
              <w:rPr>
                <w:sz w:val="20"/>
                <w:szCs w:val="20"/>
                <w:color w:val="auto"/>
              </w:rPr>
            </w:pPr>
            <w:r>
              <w:rPr>
                <w:rFonts w:ascii="Times New Roman" w:cs="Times New Roman" w:eastAsia="Times New Roman" w:hAnsi="Times New Roman"/>
                <w:sz w:val="18"/>
                <w:szCs w:val="18"/>
                <w:b w:val="1"/>
                <w:bCs w:val="1"/>
                <w:color w:val="auto"/>
              </w:rPr>
              <w:t>Statement of Income</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1,466,109</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30,776</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1,496,630</w:t>
            </w:r>
          </w:p>
        </w:tc>
        <w:tc>
          <w:tcPr>
            <w:tcW w:w="0" w:type="dxa"/>
            <w:vAlign w:val="bottom"/>
          </w:tcPr>
          <w:p>
            <w:pPr>
              <w:spacing w:after="0"/>
              <w:rPr>
                <w:sz w:val="1"/>
                <w:szCs w:val="1"/>
                <w:color w:val="auto"/>
              </w:rPr>
            </w:pPr>
          </w:p>
        </w:tc>
      </w:tr>
      <w:tr>
        <w:trPr>
          <w:trHeight w:val="20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 (income)</w:t>
            </w: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FF0FC"/>
          </w:tcPr>
          <w:p>
            <w:pPr>
              <w:ind w:left="180"/>
              <w:spacing w:after="0" w:line="230" w:lineRule="exact"/>
              <w:rPr>
                <w:sz w:val="20"/>
                <w:szCs w:val="20"/>
                <w:color w:val="auto"/>
              </w:rPr>
            </w:pPr>
            <w:r>
              <w:rPr>
                <w:rFonts w:ascii="Times New Roman" w:cs="Times New Roman" w:eastAsia="Times New Roman" w:hAnsi="Times New Roman"/>
                <w:sz w:val="17"/>
                <w:szCs w:val="17"/>
                <w:color w:val="auto"/>
              </w:rPr>
              <w:t>Direct advertising expenses</w:t>
            </w:r>
            <w:r>
              <w:rPr>
                <w:rFonts w:ascii="Times New Roman" w:cs="Times New Roman" w:eastAsia="Times New Roman" w:hAnsi="Times New Roman"/>
                <w:sz w:val="26"/>
                <w:szCs w:val="26"/>
                <w:color w:val="auto"/>
                <w:vertAlign w:val="superscript"/>
              </w:rPr>
              <w:t>(1)</w:t>
            </w: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471,633</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22,085</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493,463</w:t>
            </w:r>
          </w:p>
        </w:tc>
        <w:tc>
          <w:tcPr>
            <w:tcW w:w="0" w:type="dxa"/>
            <w:vAlign w:val="bottom"/>
          </w:tcPr>
          <w:p>
            <w:pPr>
              <w:spacing w:after="0"/>
              <w:rPr>
                <w:sz w:val="1"/>
                <w:szCs w:val="1"/>
                <w:color w:val="auto"/>
              </w:rPr>
            </w:pPr>
          </w:p>
        </w:tc>
      </w:tr>
      <w:tr>
        <w:trPr>
          <w:trHeight w:val="230"/>
        </w:trPr>
        <w:tc>
          <w:tcPr>
            <w:tcW w:w="4240" w:type="dxa"/>
            <w:vAlign w:val="bottom"/>
          </w:tcPr>
          <w:p>
            <w:pPr>
              <w:ind w:left="180"/>
              <w:spacing w:after="0" w:line="230" w:lineRule="exact"/>
              <w:rPr>
                <w:sz w:val="20"/>
                <w:szCs w:val="20"/>
                <w:color w:val="auto"/>
              </w:rPr>
            </w:pPr>
            <w:r>
              <w:rPr>
                <w:rFonts w:ascii="Times New Roman" w:cs="Times New Roman" w:eastAsia="Times New Roman" w:hAnsi="Times New Roman"/>
                <w:sz w:val="17"/>
                <w:szCs w:val="17"/>
                <w:color w:val="auto"/>
              </w:rPr>
              <w:t>General and administrative expenses</w:t>
            </w:r>
            <w:r>
              <w:rPr>
                <w:rFonts w:ascii="Times New Roman" w:cs="Times New Roman" w:eastAsia="Times New Roman" w:hAnsi="Times New Roman"/>
                <w:sz w:val="26"/>
                <w:szCs w:val="26"/>
                <w:color w:val="auto"/>
                <w:vertAlign w:val="superscript"/>
              </w:rPr>
              <w:t>(1)</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260,923</w:t>
            </w:r>
          </w:p>
        </w:tc>
        <w:tc>
          <w:tcPr>
            <w:tcW w:w="0" w:type="dxa"/>
            <w:vAlign w:val="bottom"/>
          </w:tcPr>
          <w:p>
            <w:pPr>
              <w:spacing w:after="0"/>
              <w:rPr>
                <w:sz w:val="1"/>
                <w:szCs w:val="1"/>
                <w:color w:val="auto"/>
              </w:rPr>
            </w:pPr>
          </w:p>
        </w:tc>
      </w:tr>
      <w:tr>
        <w:trPr>
          <w:trHeight w:val="229"/>
        </w:trPr>
        <w:tc>
          <w:tcPr>
            <w:tcW w:w="4240" w:type="dxa"/>
            <w:vAlign w:val="bottom"/>
            <w:shd w:val="clear" w:color="auto" w:fill="CFF0FC"/>
          </w:tcPr>
          <w:p>
            <w:pPr>
              <w:ind w:left="180"/>
              <w:spacing w:after="0" w:line="230" w:lineRule="exact"/>
              <w:rPr>
                <w:sz w:val="20"/>
                <w:szCs w:val="20"/>
                <w:color w:val="auto"/>
              </w:rPr>
            </w:pPr>
            <w:r>
              <w:rPr>
                <w:rFonts w:ascii="Times New Roman" w:cs="Times New Roman" w:eastAsia="Times New Roman" w:hAnsi="Times New Roman"/>
                <w:sz w:val="17"/>
                <w:szCs w:val="17"/>
                <w:color w:val="auto"/>
              </w:rPr>
              <w:t>Corporate expenses</w:t>
            </w:r>
            <w:r>
              <w:rPr>
                <w:rFonts w:ascii="Times New Roman" w:cs="Times New Roman" w:eastAsia="Times New Roman" w:hAnsi="Times New Roman"/>
                <w:sz w:val="26"/>
                <w:szCs w:val="26"/>
                <w:color w:val="auto"/>
                <w:vertAlign w:val="superscript"/>
              </w:rPr>
              <w:t>(1)</w:t>
            </w: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71,499</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73,694</w:t>
            </w:r>
          </w:p>
        </w:tc>
        <w:tc>
          <w:tcPr>
            <w:tcW w:w="0" w:type="dxa"/>
            <w:vAlign w:val="bottom"/>
          </w:tcPr>
          <w:p>
            <w:pPr>
              <w:spacing w:after="0"/>
              <w:rPr>
                <w:sz w:val="1"/>
                <w:szCs w:val="1"/>
                <w:color w:val="auto"/>
              </w:rPr>
            </w:pPr>
          </w:p>
        </w:tc>
      </w:tr>
      <w:tr>
        <w:trPr>
          <w:trHeight w:val="229"/>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202,210</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0" w:type="dxa"/>
            <w:vAlign w:val="bottom"/>
          </w:tcPr>
          <w:p>
            <w:pPr>
              <w:spacing w:after="0"/>
              <w:rPr>
                <w:sz w:val="1"/>
                <w:szCs w:val="1"/>
                <w:color w:val="auto"/>
              </w:rPr>
            </w:pPr>
          </w:p>
        </w:tc>
      </w:tr>
      <w:tr>
        <w:trPr>
          <w:trHeight w:val="223"/>
        </w:trPr>
        <w:tc>
          <w:tcPr>
            <w:tcW w:w="42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996,311</w:t>
            </w:r>
          </w:p>
        </w:tc>
        <w:tc>
          <w:tcPr>
            <w:tcW w:w="1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32,244</w:t>
            </w:r>
          </w:p>
        </w:tc>
        <w:tc>
          <w:tcPr>
            <w:tcW w:w="10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1,028,300</w:t>
            </w: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income (loss)</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469,798</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468,330</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(earnings) loss of subsidiaries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(459,799)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459,799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86,872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89,082</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earnings of investee</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 expense (benefit)</w:t>
            </w:r>
          </w:p>
        </w:tc>
        <w:tc>
          <w:tcPr>
            <w:tcW w:w="1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372,927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472,585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(459,799)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381,903</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line="230" w:lineRule="exact"/>
              <w:rPr>
                <w:sz w:val="20"/>
                <w:szCs w:val="20"/>
                <w:color w:val="auto"/>
              </w:rPr>
            </w:pPr>
            <w:r>
              <w:rPr>
                <w:rFonts w:ascii="Times New Roman" w:cs="Times New Roman" w:eastAsia="Times New Roman" w:hAnsi="Times New Roman"/>
                <w:sz w:val="17"/>
                <w:szCs w:val="17"/>
                <w:color w:val="auto"/>
              </w:rPr>
              <w:t>Income tax expense (benefit)</w:t>
            </w:r>
            <w:r>
              <w:rPr>
                <w:rFonts w:ascii="Times New Roman" w:cs="Times New Roman" w:eastAsia="Times New Roman" w:hAnsi="Times New Roman"/>
                <w:sz w:val="26"/>
                <w:szCs w:val="26"/>
                <w:color w:val="auto"/>
                <w:vertAlign w:val="superscript"/>
              </w:rPr>
              <w:t>(2)</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8,976</w:t>
            </w:r>
          </w:p>
        </w:tc>
        <w:tc>
          <w:tcPr>
            <w:tcW w:w="0" w:type="dxa"/>
            <w:vAlign w:val="bottom"/>
          </w:tcPr>
          <w:p>
            <w:pPr>
              <w:spacing w:after="0"/>
              <w:rPr>
                <w:sz w:val="1"/>
                <w:szCs w:val="1"/>
                <w:color w:val="auto"/>
              </w:rPr>
            </w:pPr>
          </w:p>
        </w:tc>
      </w:tr>
      <w:tr>
        <w:trPr>
          <w:trHeight w:val="248"/>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463,500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(459,799)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372,927</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700"/>
              <w:spacing w:after="0"/>
              <w:rPr>
                <w:sz w:val="20"/>
                <w:szCs w:val="20"/>
                <w:color w:val="auto"/>
              </w:rPr>
            </w:pPr>
            <w:r>
              <w:rPr>
                <w:rFonts w:ascii="Times New Roman" w:cs="Times New Roman" w:eastAsia="Times New Roman" w:hAnsi="Times New Roman"/>
                <w:sz w:val="18"/>
                <w:szCs w:val="18"/>
                <w:b w:val="1"/>
                <w:bCs w:val="1"/>
                <w:color w:val="auto"/>
              </w:rPr>
              <w:t>Statement of Comprehensive Income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2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372,927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463,500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(459,799)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372,927</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comprehensive loss, net of tax</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0" w:type="dxa"/>
            <w:vAlign w:val="bottom"/>
          </w:tcPr>
          <w:p>
            <w:pPr>
              <w:spacing w:after="0"/>
              <w:rPr>
                <w:sz w:val="1"/>
                <w:szCs w:val="1"/>
                <w:color w:val="auto"/>
              </w:rPr>
            </w:pPr>
          </w:p>
        </w:tc>
      </w:tr>
      <w:tr>
        <w:trPr>
          <w:trHeight w:val="248"/>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463,500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(459,799)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371,157</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ind w:left="320" w:hanging="312"/>
        <w:spacing w:after="0"/>
        <w:tabs>
          <w:tab w:leader="none" w:pos="3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Caption is exclusive of depreciation and amortization.</w:t>
      </w:r>
    </w:p>
    <w:p>
      <w:pPr>
        <w:spacing w:after="0" w:line="2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income tax expense (benefit) reflected in each column does not include any tax effect of the equity in earnings from subsidiaries.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Statements of Income and Comprehensive Income</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2021</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180" w:type="dxa"/>
            <w:vAlign w:val="bottom"/>
          </w:tcPr>
          <w:p>
            <w:pPr>
              <w:spacing w:after="0"/>
              <w:rPr>
                <w:sz w:val="13"/>
                <w:szCs w:val="13"/>
                <w:color w:val="auto"/>
              </w:rPr>
            </w:pPr>
          </w:p>
        </w:tc>
        <w:tc>
          <w:tcPr>
            <w:tcW w:w="12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20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Non-</w:t>
            </w: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180" w:type="dxa"/>
            <w:vAlign w:val="bottom"/>
          </w:tcPr>
          <w:p>
            <w:pPr>
              <w:spacing w:after="0"/>
              <w:rPr>
                <w:sz w:val="12"/>
                <w:szCs w:val="12"/>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Corp.</w:t>
            </w: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16"/>
        </w:trPr>
        <w:tc>
          <w:tcPr>
            <w:tcW w:w="4240" w:type="dxa"/>
            <w:vAlign w:val="bottom"/>
          </w:tcPr>
          <w:p>
            <w:pPr>
              <w:ind w:left="1320"/>
              <w:spacing w:after="0"/>
              <w:rPr>
                <w:sz w:val="20"/>
                <w:szCs w:val="20"/>
                <w:color w:val="auto"/>
              </w:rPr>
            </w:pPr>
            <w:r>
              <w:rPr>
                <w:rFonts w:ascii="Times New Roman" w:cs="Times New Roman" w:eastAsia="Times New Roman" w:hAnsi="Times New Roman"/>
                <w:sz w:val="18"/>
                <w:szCs w:val="18"/>
                <w:b w:val="1"/>
                <w:bCs w:val="1"/>
                <w:color w:val="auto"/>
              </w:rPr>
              <w:t>Statement of Income</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1,266,818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1,292,827</w:t>
            </w:r>
          </w:p>
        </w:tc>
        <w:tc>
          <w:tcPr>
            <w:tcW w:w="0" w:type="dxa"/>
            <w:vAlign w:val="bottom"/>
          </w:tcPr>
          <w:p>
            <w:pPr>
              <w:spacing w:after="0"/>
              <w:rPr>
                <w:sz w:val="1"/>
                <w:szCs w:val="1"/>
                <w:color w:val="auto"/>
              </w:rPr>
            </w:pPr>
          </w:p>
        </w:tc>
      </w:tr>
      <w:tr>
        <w:trPr>
          <w:trHeight w:val="20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 (income)</w:t>
            </w: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7"/>
                <w:szCs w:val="17"/>
                <w:color w:val="auto"/>
              </w:rPr>
              <w:t>Direct advertising expenses</w:t>
            </w:r>
            <w:r>
              <w:rPr>
                <w:rFonts w:ascii="Times New Roman" w:cs="Times New Roman" w:eastAsia="Times New Roman" w:hAnsi="Times New Roman"/>
                <w:sz w:val="26"/>
                <w:szCs w:val="26"/>
                <w:color w:val="auto"/>
                <w:vertAlign w:val="superscript"/>
              </w:rPr>
              <w:t>(1)</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402,260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418,973</w:t>
            </w:r>
          </w:p>
        </w:tc>
        <w:tc>
          <w:tcPr>
            <w:tcW w:w="0" w:type="dxa"/>
            <w:vAlign w:val="bottom"/>
          </w:tcPr>
          <w:p>
            <w:pPr>
              <w:spacing w:after="0"/>
              <w:rPr>
                <w:sz w:val="1"/>
                <w:szCs w:val="1"/>
                <w:color w:val="auto"/>
              </w:rPr>
            </w:pPr>
          </w:p>
        </w:tc>
      </w:tr>
      <w:tr>
        <w:trPr>
          <w:trHeight w:val="230"/>
        </w:trPr>
        <w:tc>
          <w:tcPr>
            <w:tcW w:w="4240" w:type="dxa"/>
            <w:vAlign w:val="bottom"/>
          </w:tcPr>
          <w:p>
            <w:pPr>
              <w:ind w:left="180"/>
              <w:spacing w:after="0" w:line="230" w:lineRule="exact"/>
              <w:rPr>
                <w:sz w:val="20"/>
                <w:szCs w:val="20"/>
                <w:color w:val="auto"/>
              </w:rPr>
            </w:pPr>
            <w:r>
              <w:rPr>
                <w:rFonts w:ascii="Times New Roman" w:cs="Times New Roman" w:eastAsia="Times New Roman" w:hAnsi="Times New Roman"/>
                <w:sz w:val="17"/>
                <w:szCs w:val="17"/>
                <w:color w:val="auto"/>
              </w:rPr>
              <w:t>General and administrative expenses</w:t>
            </w:r>
            <w:r>
              <w:rPr>
                <w:rFonts w:ascii="Times New Roman" w:cs="Times New Roman" w:eastAsia="Times New Roman" w:hAnsi="Times New Roman"/>
                <w:sz w:val="26"/>
                <w:szCs w:val="26"/>
                <w:color w:val="auto"/>
                <w:vertAlign w:val="superscript"/>
              </w:rPr>
              <w:t>(1)</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234,115</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7"/>
                <w:szCs w:val="17"/>
                <w:color w:val="auto"/>
              </w:rPr>
              <w:t>Corporate expenses</w:t>
            </w:r>
            <w:r>
              <w:rPr>
                <w:rFonts w:ascii="Times New Roman" w:cs="Times New Roman" w:eastAsia="Times New Roman" w:hAnsi="Times New Roman"/>
                <w:sz w:val="26"/>
                <w:szCs w:val="26"/>
                <w:color w:val="auto"/>
                <w:vertAlign w:val="superscript"/>
              </w:rPr>
              <w:t>(1)</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64,048</w:t>
            </w:r>
          </w:p>
        </w:tc>
        <w:tc>
          <w:tcPr>
            <w:tcW w:w="0" w:type="dxa"/>
            <w:vAlign w:val="bottom"/>
          </w:tcPr>
          <w:p>
            <w:pPr>
              <w:spacing w:after="0"/>
              <w:rPr>
                <w:sz w:val="1"/>
                <w:szCs w:val="1"/>
                <w:color w:val="auto"/>
              </w:rPr>
            </w:pPr>
          </w:p>
        </w:tc>
      </w:tr>
      <w:tr>
        <w:trPr>
          <w:trHeight w:val="229"/>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205,671</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0" w:type="dxa"/>
            <w:vAlign w:val="bottom"/>
          </w:tcPr>
          <w:p>
            <w:pPr>
              <w:spacing w:after="0"/>
              <w:rPr>
                <w:sz w:val="1"/>
                <w:szCs w:val="1"/>
                <w:color w:val="auto"/>
              </w:rPr>
            </w:pPr>
          </w:p>
        </w:tc>
      </w:tr>
      <w:tr>
        <w:trPr>
          <w:trHeight w:val="223"/>
        </w:trPr>
        <w:tc>
          <w:tcPr>
            <w:tcW w:w="42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897,134</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25,068</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920,885</w:t>
            </w: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371,942</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(earnings) loss of subsidiaries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(366,556)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366,556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21,604</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79,479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80,084</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earnings of investee</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 expense</w:t>
            </w: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265,473</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370,855</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(366,556)</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271,395</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7"/>
                <w:szCs w:val="17"/>
                <w:color w:val="auto"/>
              </w:rPr>
              <w:t>Income tax expense</w:t>
            </w:r>
            <w:r>
              <w:rPr>
                <w:rFonts w:ascii="Times New Roman" w:cs="Times New Roman" w:eastAsia="Times New Roman" w:hAnsi="Times New Roman"/>
                <w:sz w:val="26"/>
                <w:szCs w:val="26"/>
                <w:color w:val="auto"/>
                <w:vertAlign w:val="superscript"/>
              </w:rPr>
              <w:t>(2)</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5,922</w:t>
            </w: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265,473</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365,029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(366,556)</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265,473</w:t>
            </w: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40" w:type="dxa"/>
            <w:vAlign w:val="bottom"/>
            <w:shd w:val="clear" w:color="auto" w:fill="CCEEFF"/>
          </w:tcPr>
          <w:p>
            <w:pPr>
              <w:ind w:left="700"/>
              <w:spacing w:after="0" w:line="196" w:lineRule="exact"/>
              <w:rPr>
                <w:sz w:val="20"/>
                <w:szCs w:val="20"/>
                <w:color w:val="auto"/>
              </w:rPr>
            </w:pPr>
            <w:r>
              <w:rPr>
                <w:rFonts w:ascii="Times New Roman" w:cs="Times New Roman" w:eastAsia="Times New Roman" w:hAnsi="Times New Roman"/>
                <w:sz w:val="18"/>
                <w:szCs w:val="18"/>
                <w:b w:val="1"/>
                <w:bCs w:val="1"/>
                <w:color w:val="auto"/>
              </w:rPr>
              <w:t>Statement of Comprehensive Income</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265,473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365,029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(366,556)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265,473</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comprehensive loss, net of tax</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265,473</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365,029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(366,556)</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265,389</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ind w:left="320" w:hanging="312"/>
        <w:spacing w:after="0"/>
        <w:tabs>
          <w:tab w:leader="none" w:pos="3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Caption is exclusive of depreciation and amortization.</w:t>
      </w:r>
    </w:p>
    <w:p>
      <w:pPr>
        <w:spacing w:after="0" w:line="2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income tax expense reflected in each column does not include any tax effect of the equity in earnings from subsidiaries.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Cash Flows for the Nine Months Ended September 30, 2022</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200" w:type="dxa"/>
            <w:vAlign w:val="bottom"/>
          </w:tcPr>
          <w:p>
            <w:pPr>
              <w:spacing w:after="0"/>
              <w:rPr>
                <w:sz w:val="13"/>
                <w:szCs w:val="13"/>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w:t>
            </w: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0" w:type="dxa"/>
            <w:vAlign w:val="bottom"/>
          </w:tcPr>
          <w:p>
            <w:pPr>
              <w:spacing w:after="0"/>
              <w:rPr>
                <w:sz w:val="1"/>
                <w:szCs w:val="1"/>
                <w:color w:val="auto"/>
              </w:rPr>
            </w:pPr>
          </w:p>
        </w:tc>
      </w:tr>
      <w:tr>
        <w:trPr>
          <w:trHeight w:val="146"/>
        </w:trPr>
        <w:tc>
          <w:tcPr>
            <w:tcW w:w="2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180" w:type="dxa"/>
            <w:vAlign w:val="bottom"/>
          </w:tcPr>
          <w:p>
            <w:pPr>
              <w:spacing w:after="0"/>
              <w:rPr>
                <w:sz w:val="12"/>
                <w:szCs w:val="12"/>
                <w:color w:val="auto"/>
              </w:rPr>
            </w:pPr>
          </w:p>
        </w:tc>
        <w:tc>
          <w:tcPr>
            <w:tcW w:w="1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Corp.</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2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20" w:type="dxa"/>
            <w:vAlign w:val="bottom"/>
          </w:tcPr>
          <w:p>
            <w:pPr>
              <w:spacing w:after="0"/>
              <w:rPr>
                <w:sz w:val="20"/>
                <w:szCs w:val="20"/>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20" w:type="dxa"/>
            <w:vAlign w:val="bottom"/>
          </w:tcPr>
          <w:p>
            <w:pPr>
              <w:spacing w:after="0"/>
              <w:rPr>
                <w:sz w:val="15"/>
                <w:szCs w:val="15"/>
                <w:color w:val="auto"/>
              </w:rPr>
            </w:pPr>
          </w:p>
        </w:tc>
        <w:tc>
          <w:tcPr>
            <w:tcW w:w="4020" w:type="dxa"/>
            <w:vAlign w:val="bottom"/>
          </w:tcPr>
          <w:p>
            <w:pPr>
              <w:ind w:left="440"/>
              <w:spacing w:after="0" w:line="176" w:lineRule="exact"/>
              <w:rPr>
                <w:sz w:val="20"/>
                <w:szCs w:val="20"/>
                <w:color w:val="auto"/>
              </w:rPr>
            </w:pPr>
            <w:r>
              <w:rPr>
                <w:rFonts w:ascii="Times New Roman" w:cs="Times New Roman" w:eastAsia="Times New Roman" w:hAnsi="Times New Roman"/>
                <w:sz w:val="18"/>
                <w:szCs w:val="18"/>
                <w:color w:val="auto"/>
              </w:rPr>
              <w:t>Net cash provided by (used in) operating</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activities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391,078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611,985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(472,917)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499,420</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4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4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Acquisitions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(287,860)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(116,808)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4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disposition of assets and investments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Decrease in notes receivable</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4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(287,860)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20" w:type="dxa"/>
            <w:vAlign w:val="bottom"/>
          </w:tcPr>
          <w:p>
            <w:pPr>
              <w:spacing w:after="0"/>
              <w:rPr>
                <w:sz w:val="15"/>
                <w:szCs w:val="15"/>
                <w:color w:val="auto"/>
              </w:rPr>
            </w:pPr>
          </w:p>
        </w:tc>
        <w:tc>
          <w:tcPr>
            <w:tcW w:w="402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Decrease (increase) in intercompany notes</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receivable</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220" w:type="dxa"/>
            <w:vAlign w:val="bottom"/>
          </w:tcPr>
          <w:p>
            <w:pPr>
              <w:spacing w:after="0"/>
              <w:rPr>
                <w:sz w:val="13"/>
                <w:szCs w:val="13"/>
                <w:color w:val="auto"/>
              </w:rPr>
            </w:pPr>
          </w:p>
        </w:tc>
        <w:tc>
          <w:tcPr>
            <w:tcW w:w="4020" w:type="dxa"/>
            <w:vAlign w:val="bottom"/>
          </w:tcPr>
          <w:p>
            <w:pPr>
              <w:ind w:left="440"/>
              <w:spacing w:after="0" w:line="156" w:lineRule="exact"/>
              <w:rPr>
                <w:sz w:val="20"/>
                <w:szCs w:val="20"/>
                <w:color w:val="auto"/>
              </w:rPr>
            </w:pPr>
            <w:r>
              <w:rPr>
                <w:rFonts w:ascii="Times New Roman" w:cs="Times New Roman" w:eastAsia="Times New Roman" w:hAnsi="Times New Roman"/>
                <w:sz w:val="18"/>
                <w:szCs w:val="18"/>
                <w:color w:val="auto"/>
              </w:rPr>
              <w:t>Net cash (used in) provided by investing</w:t>
            </w: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02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8"/>
                <w:szCs w:val="18"/>
                <w:color w:val="auto"/>
              </w:rPr>
              <w:t>activities</w:t>
            </w: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(273,702)</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(399,392)</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273,702</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(402,464)</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4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received from revolving credit facility</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 on revolving credit facility</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4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 payments on long-term debt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Principal payments on financing leases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20" w:type="dxa"/>
            <w:vAlign w:val="bottom"/>
          </w:tcPr>
          <w:p>
            <w:pPr>
              <w:spacing w:after="0"/>
              <w:rPr>
                <w:sz w:val="15"/>
                <w:szCs w:val="15"/>
                <w:color w:val="auto"/>
              </w:rPr>
            </w:pPr>
          </w:p>
        </w:tc>
        <w:tc>
          <w:tcPr>
            <w:tcW w:w="402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Proceeds received from senior credit facility term</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loans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20" w:type="dxa"/>
            <w:vAlign w:val="bottom"/>
          </w:tcPr>
          <w:p>
            <w:pPr>
              <w:spacing w:after="0"/>
              <w:rPr>
                <w:sz w:val="15"/>
                <w:szCs w:val="15"/>
                <w:color w:val="auto"/>
              </w:rPr>
            </w:pPr>
          </w:p>
        </w:tc>
        <w:tc>
          <w:tcPr>
            <w:tcW w:w="402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Payment on accounts receivable securitization</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program</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20" w:type="dxa"/>
            <w:vAlign w:val="bottom"/>
          </w:tcPr>
          <w:p>
            <w:pPr>
              <w:spacing w:after="0"/>
              <w:rPr>
                <w:sz w:val="15"/>
                <w:szCs w:val="15"/>
                <w:color w:val="auto"/>
              </w:rPr>
            </w:pPr>
          </w:p>
        </w:tc>
        <w:tc>
          <w:tcPr>
            <w:tcW w:w="402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Proceeds received from accounts receivable</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securitization program</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Debt issuance costs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4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Intercompany loan (payments) proceeds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Distributions to non-controlling interest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4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Dividends (to) from parent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(472,917)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472,917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(366,015)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Contributions from (to) parent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52,712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20" w:type="dxa"/>
            <w:vAlign w:val="bottom"/>
          </w:tcPr>
          <w:p>
            <w:pPr>
              <w:spacing w:after="0"/>
              <w:rPr>
                <w:sz w:val="13"/>
                <w:szCs w:val="13"/>
                <w:color w:val="auto"/>
              </w:rPr>
            </w:pPr>
          </w:p>
        </w:tc>
        <w:tc>
          <w:tcPr>
            <w:tcW w:w="4020" w:type="dxa"/>
            <w:vAlign w:val="bottom"/>
          </w:tcPr>
          <w:p>
            <w:pPr>
              <w:ind w:left="540"/>
              <w:spacing w:after="0" w:line="156" w:lineRule="exact"/>
              <w:rPr>
                <w:sz w:val="20"/>
                <w:szCs w:val="20"/>
                <w:color w:val="auto"/>
              </w:rPr>
            </w:pPr>
            <w:r>
              <w:rPr>
                <w:rFonts w:ascii="Times New Roman" w:cs="Times New Roman" w:eastAsia="Times New Roman" w:hAnsi="Times New Roman"/>
                <w:sz w:val="18"/>
                <w:szCs w:val="18"/>
                <w:color w:val="auto"/>
              </w:rPr>
              <w:t>Net cash (used in) provided by financing</w:t>
            </w: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020" w:type="dxa"/>
            <w:vAlign w:val="bottom"/>
            <w:tcBorders>
              <w:bottom w:val="single" w:sz="8" w:color="CCEEFF"/>
            </w:tcBorders>
          </w:tcPr>
          <w:p>
            <w:pPr>
              <w:ind w:left="720"/>
              <w:spacing w:after="0"/>
              <w:rPr>
                <w:sz w:val="20"/>
                <w:szCs w:val="20"/>
                <w:color w:val="auto"/>
              </w:rPr>
            </w:pPr>
            <w:r>
              <w:rPr>
                <w:rFonts w:ascii="Times New Roman" w:cs="Times New Roman" w:eastAsia="Times New Roman" w:hAnsi="Times New Roman"/>
                <w:sz w:val="18"/>
                <w:szCs w:val="18"/>
                <w:color w:val="auto"/>
              </w:rPr>
              <w:t>activities</w:t>
            </w: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(139,631)</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(214,532)</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37,791</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199,215</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(117,157)</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20" w:type="dxa"/>
            <w:vAlign w:val="bottom"/>
          </w:tcPr>
          <w:p>
            <w:pPr>
              <w:spacing w:after="0"/>
              <w:rPr>
                <w:sz w:val="13"/>
                <w:szCs w:val="13"/>
                <w:color w:val="auto"/>
              </w:rPr>
            </w:pPr>
          </w:p>
        </w:tc>
        <w:tc>
          <w:tcPr>
            <w:tcW w:w="4020" w:type="dxa"/>
            <w:vAlign w:val="bottom"/>
            <w:shd w:val="clear" w:color="auto" w:fill="CCEEFF"/>
          </w:tcPr>
          <w:p>
            <w:pPr>
              <w:ind w:left="260"/>
              <w:spacing w:after="0" w:line="156" w:lineRule="exact"/>
              <w:rPr>
                <w:sz w:val="20"/>
                <w:szCs w:val="20"/>
                <w:color w:val="auto"/>
              </w:rPr>
            </w:pPr>
            <w:r>
              <w:rPr>
                <w:rFonts w:ascii="Times New Roman" w:cs="Times New Roman" w:eastAsia="Times New Roman" w:hAnsi="Times New Roman"/>
                <w:sz w:val="18"/>
                <w:szCs w:val="18"/>
                <w:color w:val="auto"/>
              </w:rPr>
              <w:t>Effect of exchange rate changes in cash and cash</w:t>
            </w: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equivalents</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(22,255)</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3,761</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(20,433)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91,023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99,288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68,768</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78,855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2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0" w:type="dxa"/>
            <w:vAlign w:val="bottom"/>
            <w:tcBorders>
              <w:bottom w:val="single" w:sz="8" w:color="9A9A9A"/>
            </w:tcBorders>
          </w:tcPr>
          <w:p>
            <w:pPr>
              <w:spacing w:after="0"/>
              <w:rPr>
                <w:sz w:val="10"/>
                <w:szCs w:val="10"/>
                <w:color w:val="auto"/>
              </w:rPr>
            </w:pPr>
          </w:p>
        </w:tc>
        <w:tc>
          <w:tcPr>
            <w:tcW w:w="40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Cash Flows for the Nine Months Ended September 30, 2021</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200" w:type="dxa"/>
            <w:vAlign w:val="bottom"/>
          </w:tcPr>
          <w:p>
            <w:pPr>
              <w:spacing w:after="0"/>
              <w:rPr>
                <w:sz w:val="13"/>
                <w:szCs w:val="13"/>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200" w:type="dxa"/>
            <w:vAlign w:val="bottom"/>
          </w:tcPr>
          <w:p>
            <w:pPr>
              <w:spacing w:after="0"/>
              <w:rPr>
                <w:sz w:val="12"/>
                <w:szCs w:val="12"/>
                <w:color w:val="auto"/>
              </w:rPr>
            </w:pP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Corp.</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6"/>
        </w:trPr>
        <w:tc>
          <w:tcPr>
            <w:tcW w:w="4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380,225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584,251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(26,729)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(467,049)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470,698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Acquisitions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 for investments in equity securities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disposition of assets and investments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(107,593)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Decrease (increase) in intercompany notes receivable</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53,515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Decrease in notes receivable</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(54,078)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(199,492)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54,078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received from revolving credit facility</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 on revolving credit facility</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Principal payments on long-term debt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 payments on financing leases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received from note offering</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20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Payment on accounts receivable securitization</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program</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20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Proceeds received from accounts receivable</w:t>
            </w: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securitization program</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Redemption of senior notes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(668,688)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(668,688)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Debt issuance costs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Intercompany loan (payments) proceeds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Distributions to non-controlling interest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Dividends (to) from parent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(258,703)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(467,049)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467,049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Contributions from (to) parent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(352,303)</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(384,855)</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22,584</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412,971</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(301,603)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200" w:type="dxa"/>
            <w:vAlign w:val="bottom"/>
            <w:shd w:val="clear" w:color="auto" w:fill="CCEEFF"/>
          </w:tcPr>
          <w:p>
            <w:pPr>
              <w:ind w:left="280"/>
              <w:spacing w:after="0" w:line="156" w:lineRule="exact"/>
              <w:rPr>
                <w:sz w:val="20"/>
                <w:szCs w:val="20"/>
                <w:color w:val="auto"/>
              </w:rPr>
            </w:pPr>
            <w:r>
              <w:rPr>
                <w:rFonts w:ascii="Times New Roman" w:cs="Times New Roman" w:eastAsia="Times New Roman" w:hAnsi="Times New Roman"/>
                <w:sz w:val="18"/>
                <w:szCs w:val="18"/>
                <w:color w:val="auto"/>
              </w:rPr>
              <w:t>Effect of exchange rate changes in cash and cash</w:t>
            </w:r>
          </w:p>
        </w:tc>
        <w:tc>
          <w:tcPr>
            <w:tcW w:w="1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equivalents</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(26,156)</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(7,748)</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110,588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84,432</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4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This report contains forward-looking statements. Actual results could differ materially from those anticipated by the forward-looking statements due to risks and uncertainties described in the section of this combined report on Form 10-Q entitled “Note Regarding Forward-Looking Statements” and in Item 1A to the 2021 Combined Form 10-K filed on February 25, 2022, and as such risk factors as further updated or supplemented, from time to time, in our combined Quarterly Reports on Form 10-Q and Current Reports on Form 8-K. You should carefully consider each of these risks and uncertainties in evaluating the Company’s and Lamar Media’s financial conditions and results of operations. Investors are cautioned not to place undue reliance on the forward-looking statements contained in this document. These statements speak only as of the date of this document, and the Company undertakes no obligation to update or revise the statements, except as may be required by law.</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is a discussion of the consolidated financial condition and results of operations of the Company for the three and nine months ended September 30, 2022 and 2021. This discussion should be read in conjunction with the consolidated financial statements of the Company and the related notes thereto.</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net revenues are derived primarily from the rental of advertising space on outdoor advertising displays owned and operated by the Company. Revenue growth is based on many factors that include the Company’s ability to increase occupancy of its existing advertising displays; raise advertising rates; and acquire new advertising displays and its operating results are therefore affected by general economic conditions, as well as trends in the advertising industry. Advertising spending is particularly sensitive to changes in general economic conditions which affect the rates that the Company is able to charge for advertising on its displays and its ability to maximize advertising sales or occupancy on its displays.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and capital expenditures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Historically, the Company has made strategic acquisitions of outdoor advertising assets to increase the number of outdoor advertising displays it operates in existing and new markets. The Company continues to evaluate and pursue strategic acquisition opportunities as they arise. The Company has financed its historical acquisitions and intends to finance any future acquisition activity from available cash, borrowings under its senior credit facility or the issuance of debt or equity securities. See “Liquidity and Capital Resources- </w:t>
      </w:r>
      <w:r>
        <w:rPr>
          <w:rFonts w:ascii="Times New Roman" w:cs="Times New Roman" w:eastAsia="Times New Roman" w:hAnsi="Times New Roman"/>
          <w:sz w:val="18"/>
          <w:szCs w:val="18"/>
          <w:i w:val="1"/>
          <w:iCs w:val="1"/>
          <w:color w:val="auto"/>
        </w:rPr>
        <w:t>Sources of Cash</w:t>
      </w:r>
      <w:r>
        <w:rPr>
          <w:rFonts w:ascii="Times New Roman" w:cs="Times New Roman" w:eastAsia="Times New Roman" w:hAnsi="Times New Roman"/>
          <w:sz w:val="18"/>
          <w:szCs w:val="18"/>
          <w:color w:val="auto"/>
        </w:rPr>
        <w:t>” for more information.</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During the nine months ended September 30, 2022, the Company completed over 50 acquisitions for a total cash purchase price of approximately $287.9 million. See </w:t>
      </w:r>
      <w:r>
        <w:rPr>
          <w:rFonts w:ascii="Times New Roman" w:cs="Times New Roman" w:eastAsia="Times New Roman" w:hAnsi="Times New Roman"/>
          <w:sz w:val="18"/>
          <w:szCs w:val="18"/>
          <w:i w:val="1"/>
          <w:iCs w:val="1"/>
          <w:color w:val="auto"/>
        </w:rPr>
        <w:t>Uses of Cash – Acquisitions</w:t>
      </w:r>
      <w:r>
        <w:rPr>
          <w:rFonts w:ascii="Times New Roman" w:cs="Times New Roman" w:eastAsia="Times New Roman" w:hAnsi="Times New Roman"/>
          <w:sz w:val="18"/>
          <w:szCs w:val="18"/>
          <w:color w:val="auto"/>
        </w:rPr>
        <w:t xml:space="preserve"> for more information. The Company’s business requires expenditures for maintenance and capitalized costs associated with the construction of new billboard displays, the entrance into and renewal of logo sign and transit contracts, and the purchase of real estate and operating equipment. The following table presents a breakdown of capitalized expenditures for the three and nine months ended September 30, 2022 and 2021:</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4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2440" w:type="dxa"/>
            <w:vAlign w:val="bottom"/>
            <w:gridSpan w:val="4"/>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6"/>
        </w:trPr>
        <w:tc>
          <w:tcPr>
            <w:tcW w:w="56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r>
      <w:tr>
        <w:trPr>
          <w:trHeight w:val="196"/>
        </w:trPr>
        <w:tc>
          <w:tcPr>
            <w:tcW w:w="564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FF0FC"/>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FF0FC"/>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5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Billboard — traditional</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12,165</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30,388</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13,077</w:t>
            </w:r>
          </w:p>
        </w:tc>
      </w:tr>
      <w:tr>
        <w:trPr>
          <w:trHeight w:val="229"/>
        </w:trPr>
        <w:tc>
          <w:tcPr>
            <w:tcW w:w="5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Billboard — digital</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19,218</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15,140</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61,172</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37,841</w:t>
            </w: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Logos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7,465</w:t>
            </w:r>
          </w:p>
        </w:tc>
      </w:tr>
      <w:tr>
        <w:trPr>
          <w:trHeight w:val="230"/>
        </w:trPr>
        <w:tc>
          <w:tcPr>
            <w:tcW w:w="5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Transit</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3,021</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1,774</w:t>
            </w: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 and buildings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5,233</w:t>
            </w:r>
          </w:p>
        </w:tc>
      </w:tr>
      <w:tr>
        <w:trPr>
          <w:trHeight w:val="229"/>
        </w:trPr>
        <w:tc>
          <w:tcPr>
            <w:tcW w:w="5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equipment</w:t>
            </w: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2,703</w:t>
            </w:r>
          </w:p>
        </w:tc>
        <w:tc>
          <w:tcPr>
            <w:tcW w:w="1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7,486</w:t>
            </w:r>
          </w:p>
        </w:tc>
        <w:tc>
          <w:tcPr>
            <w:tcW w:w="1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6,123</w:t>
            </w:r>
          </w:p>
        </w:tc>
      </w:tr>
      <w:tr>
        <w:trPr>
          <w:trHeight w:val="223"/>
        </w:trPr>
        <w:tc>
          <w:tcPr>
            <w:tcW w:w="5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41,006</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30,097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116,808</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71,513</w:t>
            </w:r>
          </w:p>
        </w:tc>
      </w:tr>
      <w:tr>
        <w:trPr>
          <w:trHeight w:val="20"/>
        </w:trPr>
        <w:tc>
          <w:tcPr>
            <w:tcW w:w="5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Umbrella Partnership Real Estate Investment Trust</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previously announced, on July 1, 2022, the Company completed a tax reorganization to a specific type of REIT known as an Umbrella Partnership Real Estate Investment Trust ("UPREIT"). The UPREIT structure allows property owners of appreciated properties to contribute property to the operating partnership of the REIT, on a tax-deferred basis, in exchange for a partnership interest in the form of operating partnership units. This reorganization is not expected to have any material impact on the Company's combined financial statements or business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reviews our performance by focusing on several key performance indicators not prepared in conformity with Generally Accepted Accounting Principles in the United States (“GAAP”). We believe these non-GAAP performance indicators are meaningful supplemental measures of our operating performance and should not be considered in isolation of, or as a substitute for, their most directly comparable GAAP financial measures.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Included in our analysis of our results of operations are discussions regarding earnings before interest, taxes, depreciation and amortization (“adjusted EBITDA”), funds from operations (“FFO”), as defined by the National Association of Real Estate Investment Trusts, adjusted funds from operations (“AFFO”) and acquisition-adjusted net revenue.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define adjusted EBITDA as net income before income tax expense (benefit), interest expense (income), equity in earnings (loss) of investees, loss (gain) on extinguishment of debt and investments, stock-based compensation, depreciation and amortization, loss (gain) on disposition of assets and investments, transaction expenses and capitalized contract fulfillment costs, net.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FFO is defined as net income before gains or losses from the sale or disposal of real estate assets and investments and real estate related depreciation and amortization and including adjustments to eliminate unconsolidated affiliates and non-controlling interest.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define AFFO as FFO before (i) straight-line income and expense; (ii) capitalized contract fulfillment costs, net (iii) stock-based compensation expense;</w:t>
      </w:r>
    </w:p>
    <w:p>
      <w:pPr>
        <w:spacing w:after="0" w:line="27" w:lineRule="exact"/>
        <w:rPr>
          <w:sz w:val="20"/>
          <w:szCs w:val="20"/>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portion of tax expense (benefit); (v) non-real estate related depreciation and amortization; (vi) amortization of deferred financing costs;</w:t>
      </w:r>
    </w:p>
    <w:p>
      <w:pPr>
        <w:spacing w:after="0" w:line="9" w:lineRule="exact"/>
        <w:rPr>
          <w:rFonts w:ascii="Times New Roman" w:cs="Times New Roman" w:eastAsia="Times New Roman" w:hAnsi="Times New Roman"/>
          <w:sz w:val="18"/>
          <w:szCs w:val="18"/>
          <w:color w:val="auto"/>
        </w:rPr>
      </w:pPr>
    </w:p>
    <w:p>
      <w:pPr>
        <w:ind w:firstLine="8"/>
        <w:spacing w:after="0" w:line="260" w:lineRule="auto"/>
        <w:tabs>
          <w:tab w:leader="none" w:pos="38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extinguishment of debt; (viii) transaction expenses; (ix) non-recurring infrequent or unusual losses (gains); (x) less maintenance capital expenditures; and (xi) an adjustment for unconsolidated affiliates and non-controlling interest.</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Acquisition-adjusted net revenue adjusts our net revenue for the prior period by adding to it the net revenue generated by the acquired assets before our acquisition of these assets for the same time frame that those assets were owned in the current period. In calculating acquisition-adjusted revenue, therefore, we include revenue generated by assets that we did not own in the period but acquired in the current period. We refer to the amount of pre-acquisition revenue generated by the acquired assets during the prior period that corresponds with the current period in which we owned the assets (to the extent within the period to which this report relates) as “acquisition net revenue”. In addition, we also adjust the prior period to subtract revenue generated by the assets that have been divested since the prior period and, therefore, no revenue derived from those assets is reflected in the current period.</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Adjusted EBITDA, FFO, AFFO and acquisition-adjusted net revenue are not intended to replace net income or any other performance measures determined in accordance with GAAP. Neither FFO nor AFFO represent cash flows from operating activities in accordance with GAAP and, therefore, these measures should not be considered indicative of cash flows from operating activities as a measure of liquidity or of funds available to fund our cash needs, including our ability to make cash distributions. Rather, adjusted EBITDA, FFO, AFFO and acquisition-adjusted net revenue are presented as we believe each is a useful indicator of our current operating performance. We believe that these metrics are useful to an investor in evaluating our operating performance because (1) each is a key measure used by our management team for purposes of decision-making and for evaluating our core operating results;</w:t>
      </w:r>
    </w:p>
    <w:p>
      <w:pPr>
        <w:spacing w:after="0" w:line="5" w:lineRule="exact"/>
        <w:rPr>
          <w:sz w:val="20"/>
          <w:szCs w:val="20"/>
          <w:color w:val="auto"/>
        </w:rPr>
      </w:pPr>
    </w:p>
    <w:p>
      <w:pPr>
        <w:jc w:val="both"/>
        <w:ind w:firstLine="8"/>
        <w:spacing w:after="0" w:line="252" w:lineRule="auto"/>
        <w:tabs>
          <w:tab w:leader="none" w:pos="27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widely used in the industry to measure operating performance as depreciation and amortization may vary significantly among companies depending upon accounting methods and useful lives, particularly where acquisitions and non-operating factors are involved; (3) acquisition-adjusted net revenue is a supplement to net revenue to enable investors to compare period-over-period results on a more consistent basis without the effects of acquisitions and divestitures, which reflects our core performance and organic growth (if any) during the period in which the assets were owned and managed by us; (4) adjusted EBITDA, FFO and AFFO each provide investors with a meaningful measure for evaluating our period-to-period operating performance by eliminating items that are not operational in nature; and (5) each provides investors with a measure for comparing our results of operations to those of other companies.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measurement of adjusted EBITDA, FFO, AFFO and acquisition-adjusted net revenue may not, however, be fully comparable to similarly titled measures used by other companies. Reconciliations of adjusted EBITDA, FFO, AFFO and acquisition-adjusted net revenue to net income, the most directly comparable GAAP measure, have been included herein.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2022 compared to nine months ended September 30, 2021</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revenues increased $203.8 million or 15.8% to $1.50 billion for the nine months ended September 30, 2022 from $1.29 billion for the same period in 2021. This increase was primarily attributable to an increase in billboard net revenues of $167.6 million, an increase in transit net revenues of $34.9 million, and an increase in logo net revenues of $1.3 million over the same period in 2021.</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2022, there was a $156.9 million increase in net revenues as compared to acquisition-adjusted net revenue for the nine months ended September 30, 2021, which represents an increase of 11.7%. See “Reconciliations” below. The $156.9 million increase in revenue is primarily due to an increase of $125.4 million in billboard net revenues as well as an increase in transit net revenues of $30.4 million over the same period in 2021.</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operating expenses, exclusive of depreciation and amortization and gain on disposition of assets, increased $110.6 million, or 15.4%, to $828.5 million for the nine months ended September 30, 2022 from $717.8 million for the same period in 2021. The $110.6 million increase over the prior year is comprised of a $115.1 million increase in total direct, general and administrative and corporate expenses (excluding stock-based compensation and transaction expenses) primarily related to the operations of our outdoor advertising assets, as well as a $3.8 million increase in transaction expenses related to acquisitions and the write-off of deferred offering costs, offset by a $8.2 million decrease in stock-based compensation.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decreased $3.5 million to $202.2 million for the nine months ended September 30, 2022 as compared to $205.7 million for the same period in 2021. The decrease is due to the revision in the cost estimate included in the calculation of asset retirement obligations during 2021, offset by acquisitions and capital expenditures that occurred in the second half of 2021 and during 2022.</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2022, the Company recognized a gain on disposition of assets of $2.0 million primarily resulting from transactions related to the sale of billboard locations and displays.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Due to the above factors, operating income increased by $96.7 million to $467.9 million for the nine months ended September 30, 2022 as compared to $371.2 million for the same period in 2021.</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2021, the Company recognized a loss on debt extinguishment of $21.6 million related to the early repayment of our 5 3/4% Senior Notes during the period. There was no loss on debt extinguishment during the nine months ended September 30, 2022.</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increased $9.2 million for the nine months ended September 30, 2022 to $89.8 million as compared to $80.6 million for the nine months ended September 30, 2021 primarily due to the increase in interest rates on the Accounts Receivable Securitization Program and senior credit facility.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Equity in earnings of investee was $2.7 million and $1.1 million for the nine months ended September 30, 2022 and 2021, respectively, as a result of investments that occurred in July of 2021.</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operating income and the decrease in loss on extinguishment of debt, offset by the increase in interest expense, resulted in a $110.8 million increase in net income before income taxes. The effective tax rate for the nine months ended September 30, 2022 was 2.4%, which differs from the federal statutory rate primarily due to our qualification for taxation as a REIT and adjustments for foreign items.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above factors, the Company recognized net income for the nine months ended September 30, 2022 of $372.5 million, as compared to net income of $264.8 million for the same period in 2021.</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acquisitions occurring after December 31, 2020 have contributed to our net revenue results for the periods presented, we provide 2021 acquisition-adjusted net revenue, which adjusts our 2021 net revenue for the nine months ended September 30, 2021 by adding to or subtracting from it the net revenue generated by the acquired or divested assets prior to our acquisition or divestiture of these assets for the same time frame that those assets were owned in the nine months ended September 30, 2022.</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Reconciliations of 2021 reported net revenue to 2021 acquisition-adjusted net revenue for the nine months ended September 30, as well as a comparison of 2021 acquisition-adjusted net revenue to 2022 reported net revenue for the nine months ended September 30, are provided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Reconciliation and Comparison of Reported Net Revenue to Acquisition-Adjusted Net Revenue</w:t>
      </w:r>
    </w:p>
    <w:p>
      <w:pPr>
        <w:spacing w:after="0" w:line="132"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5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net revenue</w:t>
            </w: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1,496,630</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1,292,827</w:t>
            </w:r>
          </w:p>
        </w:tc>
        <w:tc>
          <w:tcPr>
            <w:tcW w:w="0" w:type="dxa"/>
            <w:vAlign w:val="bottom"/>
          </w:tcPr>
          <w:p>
            <w:pPr>
              <w:spacing w:after="0"/>
              <w:rPr>
                <w:sz w:val="1"/>
                <w:szCs w:val="1"/>
                <w:color w:val="auto"/>
              </w:rPr>
            </w:pPr>
          </w:p>
        </w:tc>
      </w:tr>
      <w:tr>
        <w:trPr>
          <w:trHeight w:val="230"/>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net revenue</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46,925</w:t>
            </w:r>
          </w:p>
        </w:tc>
        <w:tc>
          <w:tcPr>
            <w:tcW w:w="0" w:type="dxa"/>
            <w:vAlign w:val="bottom"/>
          </w:tcPr>
          <w:p>
            <w:pPr>
              <w:spacing w:after="0"/>
              <w:rPr>
                <w:sz w:val="1"/>
                <w:szCs w:val="1"/>
                <w:color w:val="auto"/>
              </w:rPr>
            </w:pPr>
          </w:p>
        </w:tc>
      </w:tr>
      <w:tr>
        <w:trPr>
          <w:trHeight w:val="248"/>
        </w:trPr>
        <w:tc>
          <w:tcPr>
            <w:tcW w:w="5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totals</w:t>
            </w: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1,496,630</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1,339,752</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tc>
        <w:tc>
          <w:tcPr>
            <w:tcW w:w="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58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Income/Adjusted EBITDA</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5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8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380" w:type="dxa"/>
            <w:vAlign w:val="bottom"/>
          </w:tcPr>
          <w:p>
            <w:pPr>
              <w:spacing w:after="0"/>
              <w:rPr>
                <w:sz w:val="16"/>
                <w:szCs w:val="16"/>
                <w:color w:val="auto"/>
              </w:rPr>
            </w:pPr>
          </w:p>
        </w:tc>
        <w:tc>
          <w:tcPr>
            <w:tcW w:w="94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6"/>
        </w:trPr>
        <w:tc>
          <w:tcPr>
            <w:tcW w:w="5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228"/>
        </w:trPr>
        <w:tc>
          <w:tcPr>
            <w:tcW w:w="5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372,544</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264,776</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107,768</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40.7 %</w:t>
            </w:r>
          </w:p>
        </w:tc>
        <w:tc>
          <w:tcPr>
            <w:tcW w:w="0" w:type="dxa"/>
            <w:vAlign w:val="bottom"/>
          </w:tcPr>
          <w:p>
            <w:pPr>
              <w:spacing w:after="0"/>
              <w:rPr>
                <w:sz w:val="1"/>
                <w:szCs w:val="1"/>
                <w:color w:val="auto"/>
              </w:rPr>
            </w:pPr>
          </w:p>
        </w:tc>
      </w:tr>
      <w:tr>
        <w:trPr>
          <w:trHeight w:val="230"/>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expenses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89,082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80,084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earnings of investee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202,210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205,671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14,331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22,540</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(8,209)</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685,804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596,634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89,170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for the nine months ended September 30, 2022 increased 14.9% to $685.8 million. The increase in adjusted EBITDA was primarily attributable to an increase in our gross margin (net revenue less direct advertising expense, exclusive of depreciation and amortization and capitalized contract fulfillment costs, net) of $128.9 million, offset by an increase in total general and administrative and corporate expenses of $40.6 million, excluding the impact of stock-based compensation expense and transaction expenses.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Income/FFO/AFFO</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Pr>
          <w:p>
            <w:pPr>
              <w:spacing w:after="0"/>
              <w:rPr>
                <w:sz w:val="13"/>
                <w:szCs w:val="13"/>
                <w:color w:val="auto"/>
              </w:rPr>
            </w:pPr>
          </w:p>
        </w:tc>
        <w:tc>
          <w:tcPr>
            <w:tcW w:w="1040" w:type="dxa"/>
            <w:vAlign w:val="bottom"/>
            <w:vMerge w:val="restart"/>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00" w:type="dxa"/>
            <w:vAlign w:val="bottom"/>
          </w:tcPr>
          <w:p>
            <w:pPr>
              <w:spacing w:after="0"/>
              <w:rPr>
                <w:sz w:val="13"/>
                <w:szCs w:val="13"/>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68"/>
        </w:trPr>
        <w:tc>
          <w:tcPr>
            <w:tcW w:w="58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580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3"/>
            <w:vMerge w:val="continue"/>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jc w:val="center"/>
              <w:ind w:right="113"/>
              <w:spacing w:after="0" w:line="127"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tcPr>
          <w:p>
            <w:pPr>
              <w:spacing w:after="0"/>
              <w:rPr>
                <w:sz w:val="11"/>
                <w:szCs w:val="11"/>
                <w:color w:val="auto"/>
              </w:rPr>
            </w:pPr>
          </w:p>
        </w:tc>
        <w:tc>
          <w:tcPr>
            <w:tcW w:w="140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96"/>
        </w:trPr>
        <w:tc>
          <w:tcPr>
            <w:tcW w:w="58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28"/>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372,544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107,768</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40.7 %</w:t>
            </w:r>
          </w:p>
        </w:tc>
        <w:tc>
          <w:tcPr>
            <w:tcW w:w="0" w:type="dxa"/>
            <w:vAlign w:val="bottom"/>
          </w:tcPr>
          <w:p>
            <w:pPr>
              <w:spacing w:after="0"/>
              <w:rPr>
                <w:sz w:val="1"/>
                <w:szCs w:val="1"/>
                <w:color w:val="auto"/>
              </w:rPr>
            </w:pPr>
          </w:p>
        </w:tc>
      </w:tr>
      <w:tr>
        <w:trPr>
          <w:trHeight w:val="229"/>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related to real estate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193,164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(4,231)</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from sale or disposal of real estate, net of tax</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58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Adjustments for unconsolidated affiliates and</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non-controlling interest</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100" w:type="dxa"/>
            <w:vAlign w:val="bottom"/>
            <w:tcBorders>
              <w:bottom w:val="single" w:sz="8" w:color="CCEEFF"/>
            </w:tcBorders>
          </w:tcPr>
          <w:p>
            <w:pPr>
              <w:spacing w:after="0"/>
              <w:rPr>
                <w:sz w:val="20"/>
                <w:szCs w:val="20"/>
                <w:color w:val="auto"/>
              </w:rPr>
            </w:pPr>
          </w:p>
        </w:tc>
        <w:tc>
          <w:tcPr>
            <w:tcW w:w="14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FFO</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561,790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459,841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101,949</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0" w:type="dxa"/>
            <w:vAlign w:val="bottom"/>
          </w:tcPr>
          <w:p>
            <w:pPr>
              <w:spacing w:after="0"/>
              <w:rPr>
                <w:sz w:val="1"/>
                <w:szCs w:val="1"/>
                <w:color w:val="auto"/>
              </w:rPr>
            </w:pPr>
          </w:p>
        </w:tc>
      </w:tr>
      <w:tr>
        <w:trPr>
          <w:trHeight w:val="223"/>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Straight line expense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(8,209)</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portion of tax provision</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Non-real estate related depreciation and amortization</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(21,604)</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expenses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 – maintenance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(44,681)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(11,984)</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58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Adjustments for unconsolidated affiliates and</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non-controlling interest</w:t>
            </w:r>
          </w:p>
        </w:tc>
        <w:tc>
          <w:tcPr>
            <w:tcW w:w="3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10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AFFO</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555,189</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487,060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68,129</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0" w:type="dxa"/>
            <w:vAlign w:val="bottom"/>
          </w:tcPr>
          <w:p>
            <w:pPr>
              <w:spacing w:after="0"/>
              <w:rPr>
                <w:sz w:val="1"/>
                <w:szCs w:val="1"/>
                <w:color w:val="auto"/>
              </w:rPr>
            </w:pPr>
          </w:p>
        </w:tc>
      </w:tr>
      <w:tr>
        <w:trPr>
          <w:trHeight w:val="21"/>
        </w:trPr>
        <w:tc>
          <w:tcPr>
            <w:tcW w:w="5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FFO for the nine months ended September 30, 2022 increased from $459.8 million in 2021 to $561.8 million for the same period in 2022, an increase of 22.2%. AFFO for the nine months ended September 30, 2022 increased 14.0% to $555.2 million as compared to $487.1 million for the same period in 2021. The increase in AFFO was primarily attributable to an increase in our gross margin (net revenue less direct advertising expense, exclusive of depreciation and amortization and capitalized contract fulfillment costs, net) offset by an increase in total general and administrative and corporate expenses (excluding the effect of stock-based compensation expense and transaction expenses) and capital expenditures related to the maintenance of our advertising assets.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2022 compared to three months ended September 30, 2021</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revenues increased $50.5 million or 10.6% to $527.4 million for the three months ended September 30, 2022 from $476.9 million for the same period in 2021. This increase was primarily attributable to an increase in billboard net revenues of $41.3 million and an increase in transit net revenues of $9.2 million over the same period in 2021.</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2022, there was a $29.8 million increase in net revenues as compared to acquisition-adjusted net revenue for the three months ended September 30, 2021, which represents an increase of 6.0%. See "Reconciliations" below. The $29.8 million increase in revenue is primarily due to an increase of $22.8 million in billboard net revenues as well as an increase in transit net revenues of $7.1 million over the same period in 2021.</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operating expenses, exclusive of depreciation and amortization and gain on disposition of assets, increased $21.3 million, or 8.2%, to $280.6 million for the three months ended September 30, 2022 from $259.3 million for the same period in 2021. The $21.3 million increase over the prior year is comprised of a $29.2 million increase in total direct, general and administrative and corporate expenses (excluding stock-based compensation and transaction expenses) primarily related to the operations of our outdoor advertising assets, offset by an $8.0 million decrease in stock-based compensation.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and amortization decreased $18.5 million to $65.8 million for the three months ended September 30, 2022 as compared to $84.3 million for the same period in 2021. The decrease is due to the revision in the cost estimate included in the calculation of asset retirement obligations during 2021, offset by acquisitions and capital expenditures that occurred in the second half of 2021 and during 2022.</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2022, the Company recognized a gain on disposition of assets of $0.1 million primarily resulting from transactions related to the sale of billboard locations and displays.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Due to the above factors, operating income increased by $47.7 million to $181.0 million for the three months ended September 30, 2022 as compared to $133.3 million for the same period in 2021.</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increased $7.4 million for the three months ended September 30, 2022 to $33.5 million as compared to $26.1 million for the three months ended September 30, 2021 primarily due to the increase in interest rates on the Accounts Receivable Securitization Program and senior credit facility.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Equity in earnings of investee was $1.6 million and $1.1 million for the three months ended September 30, 2022 and 2021, respectively, as a result of investments that occurred in July of 2021.</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operating income, offset by the increase in interest expense, resulted in a $40.7 million increase in net income before income taxes. The effective tax rate for the three months ended September 30, 2022 was 2.0%, which differs from the federal statutory rate primarily due to our qualification for taxation as a REIT and adjustments for foreign items.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above factors, the Company recognized net income for the three months ended September 30, 2022 of $146.2 million, as compared to net income of $106.8 million for the same period in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acquisitions occurring after December 31, 2020 have contributed to our net revenue results for the periods presented, we provide 2021 acquisition-adjusted net revenue, which adjusts our 2021 net revenue for the three months ended September 30, 2021 by adding to or subtracting from it the net revenue generated by the acquired or divested assets prior to our acquisition or divestiture of these assets for the same time frame that those assets were owned in the three months ended September 30, 2022.</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Reconciliations of 2021 reported net revenue to 2021 acquisition-adjusted net revenue for the three months ended September 30, as well as a comparison of 2021 acquisition-adjusted net revenue to 2022 reported net revenue for the three months ended September 30, are provided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Reconciliation and Comparison of Reported Net Revenue to Acquisition-Adjusted Net Revenue</w:t>
      </w:r>
    </w:p>
    <w:p>
      <w:pPr>
        <w:spacing w:after="0" w:line="261"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64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364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net revenue</w:t>
            </w:r>
          </w:p>
        </w:tc>
        <w:tc>
          <w:tcPr>
            <w:tcW w:w="51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527,390</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476,894</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net revenue</w:t>
            </w:r>
          </w:p>
        </w:tc>
        <w:tc>
          <w:tcPr>
            <w:tcW w:w="4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20,663</w:t>
            </w:r>
          </w:p>
        </w:tc>
        <w:tc>
          <w:tcPr>
            <w:tcW w:w="0" w:type="dxa"/>
            <w:vAlign w:val="bottom"/>
          </w:tcPr>
          <w:p>
            <w:pPr>
              <w:spacing w:after="0"/>
              <w:rPr>
                <w:sz w:val="1"/>
                <w:szCs w:val="1"/>
                <w:color w:val="auto"/>
              </w:rPr>
            </w:pPr>
          </w:p>
        </w:tc>
      </w:tr>
      <w:tr>
        <w:trPr>
          <w:trHeight w:val="248"/>
        </w:trPr>
        <w:tc>
          <w:tcPr>
            <w:tcW w:w="3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totals</w:t>
            </w:r>
          </w:p>
        </w:tc>
        <w:tc>
          <w:tcPr>
            <w:tcW w:w="484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527,390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497,557</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4840" w:type="dxa"/>
            <w:vAlign w:val="bottom"/>
            <w:tcBorders>
              <w:top w:val="single" w:sz="8" w:color="CCEEFF"/>
              <w:bottom w:val="single" w:sz="8" w:color="CCEEFF"/>
            </w:tcBorders>
            <w:vMerge w:val="restart"/>
          </w:tcPr>
          <w:p>
            <w:pPr>
              <w:jc w:val="right"/>
              <w:ind w:right="2670"/>
              <w:spacing w:after="0"/>
              <w:rPr>
                <w:sz w:val="20"/>
                <w:szCs w:val="20"/>
                <w:color w:val="auto"/>
              </w:rPr>
            </w:pPr>
            <w:r>
              <w:rPr>
                <w:rFonts w:ascii="Times New Roman" w:cs="Times New Roman" w:eastAsia="Times New Roman" w:hAnsi="Times New Roman"/>
                <w:sz w:val="18"/>
                <w:szCs w:val="18"/>
                <w:color w:val="auto"/>
              </w:rPr>
              <w:t>41</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3640" w:type="dxa"/>
            <w:vAlign w:val="bottom"/>
          </w:tcPr>
          <w:p>
            <w:pPr>
              <w:spacing w:after="0"/>
              <w:rPr>
                <w:sz w:val="24"/>
                <w:szCs w:val="24"/>
                <w:color w:val="auto"/>
              </w:rPr>
            </w:pPr>
          </w:p>
        </w:tc>
        <w:tc>
          <w:tcPr>
            <w:tcW w:w="48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40" w:type="dxa"/>
            <w:vAlign w:val="bottom"/>
            <w:tcBorders>
              <w:bottom w:val="single" w:sz="8" w:color="9A9A9A"/>
            </w:tcBorders>
          </w:tcPr>
          <w:p>
            <w:pPr>
              <w:spacing w:after="0"/>
              <w:rPr>
                <w:sz w:val="10"/>
                <w:szCs w:val="10"/>
                <w:color w:val="auto"/>
              </w:rPr>
            </w:pPr>
          </w:p>
        </w:tc>
        <w:tc>
          <w:tcPr>
            <w:tcW w:w="48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Income/Adjusted EBITDA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95"/>
        </w:trPr>
        <w:tc>
          <w:tcPr>
            <w:tcW w:w="5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00" w:type="dxa"/>
            <w:vAlign w:val="bottom"/>
          </w:tcPr>
          <w:p>
            <w:pPr>
              <w:spacing w:after="0"/>
              <w:rPr>
                <w:sz w:val="16"/>
                <w:szCs w:val="16"/>
                <w:color w:val="auto"/>
              </w:rPr>
            </w:pPr>
          </w:p>
        </w:tc>
        <w:tc>
          <w:tcPr>
            <w:tcW w:w="140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Percent Increase</w:t>
            </w:r>
          </w:p>
        </w:tc>
      </w:tr>
      <w:tr>
        <w:trPr>
          <w:trHeight w:val="196"/>
        </w:trPr>
        <w:tc>
          <w:tcPr>
            <w:tcW w:w="58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10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(Decrease)</w:t>
            </w:r>
          </w:p>
        </w:tc>
      </w:tr>
      <w:tr>
        <w:trPr>
          <w:trHeight w:val="228"/>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146,188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39,350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36.8 %</w:t>
            </w:r>
          </w:p>
        </w:tc>
      </w:tr>
      <w:tr>
        <w:trPr>
          <w:trHeight w:val="229"/>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expenses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33,297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7,370</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earnings of investee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65,833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(18,466)</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(7,968)</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3"/>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251,196</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230,686</w:t>
            </w:r>
          </w:p>
        </w:tc>
        <w:tc>
          <w:tcPr>
            <w:tcW w:w="10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20,510</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8.9 %</w:t>
            </w:r>
          </w:p>
        </w:tc>
      </w:tr>
      <w:tr>
        <w:trPr>
          <w:trHeight w:val="21"/>
        </w:trPr>
        <w:tc>
          <w:tcPr>
            <w:tcW w:w="5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for the three months ended September 30, 2022 increased 8.9% to $251.2 million. The increase in adjusted EBITDA was primarily attributable to an increase in our gross margin (net revenue less direct advertising expense, exclusive of depreciation and amortization and capitalized contract fulfillment costs, net) of $29.6 million, offset by an increase in total general and administrative and corporate expenses of $7.6 million, excluding the impact of stock-based compensation expense and transaction expenses.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Income/FFO/AFFO</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95"/>
        </w:trPr>
        <w:tc>
          <w:tcPr>
            <w:tcW w:w="5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00" w:type="dxa"/>
            <w:vAlign w:val="bottom"/>
          </w:tcPr>
          <w:p>
            <w:pPr>
              <w:spacing w:after="0"/>
              <w:rPr>
                <w:sz w:val="16"/>
                <w:szCs w:val="16"/>
                <w:color w:val="auto"/>
              </w:rPr>
            </w:pPr>
          </w:p>
        </w:tc>
        <w:tc>
          <w:tcPr>
            <w:tcW w:w="140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Percent Increase</w:t>
            </w:r>
          </w:p>
        </w:tc>
      </w:tr>
      <w:tr>
        <w:trPr>
          <w:trHeight w:val="196"/>
        </w:trPr>
        <w:tc>
          <w:tcPr>
            <w:tcW w:w="58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10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(Decrease)</w:t>
            </w:r>
          </w:p>
        </w:tc>
      </w:tr>
      <w:tr>
        <w:trPr>
          <w:trHeight w:val="228"/>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146,188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39,350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36.8 %</w:t>
            </w:r>
          </w:p>
        </w:tc>
      </w:tr>
      <w:tr>
        <w:trPr>
          <w:trHeight w:val="230"/>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related to real estate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63,089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(18,491)</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from sale or disposal of real estate, net of tax</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5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Adjustments for unconsolidated affiliates and non-controlling interest</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r>
      <w:tr>
        <w:trPr>
          <w:trHeight w:val="223"/>
        </w:trPr>
        <w:tc>
          <w:tcPr>
            <w:tcW w:w="5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FFO</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207,903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187,598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20,305</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10.8 %</w:t>
            </w:r>
          </w:p>
        </w:tc>
      </w:tr>
      <w:tr>
        <w:trPr>
          <w:trHeight w:val="223"/>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Straight line expense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(7,968)</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portion of tax provision</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Non-real estate related depreciation and amortization</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expenses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 - maintenance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5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Adjustments for unconsolidated affiliates and non-controlling interest</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r>
      <w:tr>
        <w:trPr>
          <w:trHeight w:val="248"/>
        </w:trPr>
        <w:tc>
          <w:tcPr>
            <w:tcW w:w="5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AFFO</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206,388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13,841</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FFO for the three months ended September 30, 2022 increased from $187.6 million in 2021 to $207.9 million for the same period in 2022, an increase of 10.8%. AFFO for the three months ended September 30, 2022 increased 7.2% to $206.4 million as compared to $192.5 million for the same period in 2021. The increase in AFFO was primarily attributable to an increase in our gross margin (net revenue less direct advertising expense, exclusive of depreciation and amortization and capitalized contract fulfillment costs, net) offset by an increase in total general and administrative and corporate expenses (excluding the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of stock-based compensation expense and transaction expenses) and capital expenditures related to the maintenance of our advertising assets.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historically satisfied its working capital requirements with cash from operations and borrowings under the senior credit facility. The Company’s wholly owned subsidiary, Lamar Media Corp., is the borrower under the senior credit facility and maintains all corporate operating cash balances. Any cash requirements of the Company, therefore, must be funded by distributions from Lamar Media.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Cash</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Total Liquidity. </w:t>
      </w:r>
      <w:r>
        <w:rPr>
          <w:rFonts w:ascii="Times New Roman" w:cs="Times New Roman" w:eastAsia="Times New Roman" w:hAnsi="Times New Roman"/>
          <w:sz w:val="18"/>
          <w:szCs w:val="18"/>
          <w:color w:val="auto"/>
        </w:rPr>
        <w:t>As of September 30, 2022 we had $857.3 million of total liquidity, which is comprised of $79.4 million in cash and cash equivalents,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$738.7 million of availability under the revolving portion of Lamar Media’s senior credit facility and $39.2 million of availability under the Accounts Receivable Securitization Program. We expect our total liquidity to be adequate for the Company to meet its operational requirements for the next twelve months. We are currently in compliance with the maintenance covenant included in the senior credit facility and we would remain in compliance after giving effect to borrowing the full amount available to us under the revolving portion of the senior credit facility.</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2022 and December 31, 2021, the Company had a working capital deficit of $238.8 million and $274.4 million, respectively. The decrease in working capital deficit of $35.6 million is primarily due to increases in receivables and other current assets, offset by an increase in current maturities of long-term debt as of September 30, 2022.</w:t>
      </w:r>
    </w:p>
    <w:p>
      <w:pPr>
        <w:spacing w:after="0" w:line="1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Cash Generated by Operations</w:t>
      </w:r>
      <w:r>
        <w:rPr>
          <w:rFonts w:ascii="Times New Roman" w:cs="Times New Roman" w:eastAsia="Times New Roman" w:hAnsi="Times New Roman"/>
          <w:sz w:val="18"/>
          <w:szCs w:val="18"/>
          <w:color w:val="auto"/>
        </w:rPr>
        <w:t>. For the nine months ended September 30, 2022 and 2021, our cash provided by operating activities was $537.1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$488.2 million, respectively. The increase in cash provided by operating activities for the nine months ended September 30, 2022 over the same period in 2021 primarily relates to an increase in revenues of $203.8 million offset by an increase in operating expenses (excluding stock-based compensation, gain on disposition of assets, and depreciation and amortization) of $118.8 million. We expect to generate cash flows from operations during 2022 in excess of our cash needs for operations, capital expenditures and dividends, as described herein. We believe we have sufficient liquidity available under our revolving credit facility to meet our operating cash needs for the next twelve months.</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Accounts Receivable Securitization Program. </w:t>
      </w:r>
      <w:r>
        <w:rPr>
          <w:rFonts w:ascii="Times New Roman" w:cs="Times New Roman" w:eastAsia="Times New Roman" w:hAnsi="Times New Roman"/>
          <w:sz w:val="18"/>
          <w:szCs w:val="18"/>
          <w:color w:val="auto"/>
        </w:rPr>
        <w:t>On June 24, 2022, Lamar Media and the Special Purpose Subsidiaries entered into the Sixth Amendment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"Sixth Amendment") to the Receivables Financing Agreement. The Sixth Amendment increased the Accounts Receivable Securitization Program from $175.0 million to $250.0 million and extended the maturity date of the Accounts Receivable Securitization Program to July 21, 2025. Additionally, the Sixth Amendment provides for the replacement of LIBOR-based interest rate mechanics with Term Secured Overnight Financing Rate ("Term SOFR") based interest rate mechanics for the Accounts Receivable Securitization Program.</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Borrowing capacity under the Accounts Receivable Securitization Program is limited to the availability of eligible accounts receivable collateralizing the borrowings under the agreements governing the Accounts Receivable Securitization Program. In connection with the Accounts Receivable Securitization Program, Lamar Media and certain of its subsidiaries (such subsidiaries, the “Subsidiary Originators”) sell and/or contribute their existing and future accounts receivable and certain related assets to one of two special purpose subsidiaries, Lamar QRS Receivables, LLC (the “QRS SPV”) and Lamar TRS Receivables, LLC (the “TRS SPV” and together with the QRS SPV the “Special Purpose Subsidiaries”), each of which is a wholly-owned subsidiary of Lamar Media. Existing and future accounts receivable relating to Lamar Media and its qualified REIT subsidiaries will be sold and/or contributed to the QRS SPV and existing and future accounts receivable relating to Lamar Media’s taxable REIT subsidiaries will be sold and/or contributed to the TRS SPV. Each of the Special Purpose Subsidiaries has granted the lenders party to the Accounts Receivable Securitization Program a security interest in all of its assets, which consist of the accounts receivable and related assets sold or contributed to them, as described above, in order to secure the obligations of the Special Purpose Subsidiaries under the agreements governing the Accounts Receivable Securitization Program. Pursuant to the Accounts Receivable Securitization Program, Lamar Media has agreed to service the accounts receivable on behalf of the two Special Purpose Subsidiaries for a fee. Lamar Media has also agreed to guaranty its performance in its capacity as servicer and originator, as well as the performance of the Subsidiary Originators, of their obligations under the agreements governing the Account Receivable Securitization Program. None of Lamar Media, the Subsidiary Originators or the Special Purpose Subsidiaries guarantees the collectability of the receivables under the Accounts Receivable Securitization Program. In addition, each of the Special Purpose Subsidiaries is a separate legal entity with its own separate creditors who will be entitled to access the assets of such Special Purpose Subsidiary before the assets become available to Lamar Media. Accordingly, the assets of the Special Purpose Subsidiaries are not available to pay creditors of Lamar Media or any of</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its subsidiaries, although collections from receivables in excess of the amounts required to repay the lenders and the other creditors of the Special Purpose Subsidiaries may be remitted to Lamar Media.</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2022, there was $200.0 million in outstanding aggregate borrowings under the Accounts Receivable Securitization Program. Based on the availability of eligible accounts, Lamar Media had $39.2 million of unused availability under the Accounts Receivable Securitization Program as of September 30, 2022. The Accounts Receivable Securitization Program will mature on July 21, 2025.</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“At-the-Market” Offering Program. </w:t>
      </w:r>
      <w:r>
        <w:rPr>
          <w:rFonts w:ascii="Times New Roman" w:cs="Times New Roman" w:eastAsia="Times New Roman" w:hAnsi="Times New Roman"/>
          <w:sz w:val="18"/>
          <w:szCs w:val="18"/>
          <w:color w:val="auto"/>
        </w:rPr>
        <w:t>On May 1, 2018, the Company entered into an equity distribution agreement (the “Sales Agreement”) with J.P.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Morgan Securities LLC, Wells Fargo Securities LLC and SunTrust Robinson Humphrey, Inc. as our sales agents. Under the terms of the Sales Agreement, the Company could have, from time to time, issued and sold shares of its Class A common stock, having an aggregate offering price of up to $400.0 million through the sales agents as either agents or principals. The Sales Agreement expired by its terms on May 1, 2021. The Company did not issue any shares under this program in 2021.</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21, 2021, the Company entered into a new equity distribution agreement (the "2021 Sales Agreement"), with J.P. Morgan Securities LLC, Wells Fargo Securities LLC, Truist Securities, Inc., SMBC Nikko Securities America, Inc. and Scotia Capital (USA) Inc. as our sales agents (each a "Sales Agent", and collectively, the "Sales Agents"), which replaced the prior Sales Agreement with substantially similar terms. Under the terms of the 2021 Sales Agreement, the Company may, from time to time, issue and sell shares of its Class A common stock, having an aggregate offering price of up to $400.0 million through the Sales Agents as either agents or principals. Sales of the Class A common stock, if any, may be made in negotiated transactions or transactions that are deemed to be "at-the-market offerings" as defined in Rule 415 under the Securities Act of 1933, as amended, including sales made directly on or through the Nasdaq Global Select Market and any other existing trading market for the Class A common stock, or sales made to or through a market maker other than on an exchange. The Company has no obligation to sell any of the Class A common stock under the 2021 Sales Agreement and may at any time suspend solicitations and offers under the 2021 Sales Agreement. The Company intends to use the net proceeds, if any, from the sale of the Class A common stock pursuant to the 2021 Sales Agreement for general corporate purposes, which may include the repayment, refinancing, redemption or repurchase of existing indebtedness, working capital, capital expenditures, acquisition of outdoor advertising assets and businesses and other related investments. The Company did not issue any shares under this program from its inception through September 30, 2022.</w:t>
      </w:r>
    </w:p>
    <w:p>
      <w:pPr>
        <w:spacing w:after="0" w:line="18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i w:val="1"/>
          <w:iCs w:val="1"/>
          <w:color w:val="auto"/>
        </w:rPr>
        <w:t>Shelf Registration Statement</w:t>
      </w:r>
      <w:r>
        <w:rPr>
          <w:rFonts w:ascii="Times New Roman" w:cs="Times New Roman" w:eastAsia="Times New Roman" w:hAnsi="Times New Roman"/>
          <w:sz w:val="18"/>
          <w:szCs w:val="18"/>
          <w:b w:val="1"/>
          <w:bCs w:val="1"/>
          <w:color w:val="222222"/>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June 21, 2021, the Company filed a new automatically effective shelf registration statement that allows Lamar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Advertising to offer and sell an indeterminate amount of additional shares of its Class A common stock. During the nine months ended September 30, 2022 and the year ended December 31, 2021, the Company did not issue any shares under either shelf registration.</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Credit Facilities</w:t>
      </w:r>
      <w:r>
        <w:rPr>
          <w:rFonts w:ascii="Times New Roman" w:cs="Times New Roman" w:eastAsia="Times New Roman" w:hAnsi="Times New Roman"/>
          <w:sz w:val="18"/>
          <w:szCs w:val="18"/>
          <w:color w:val="auto"/>
        </w:rPr>
        <w:t>. On February 6, 2020, Lamar Media entered into a Fourth Amended and Restated Credit Agreement (the “Fourth Amended and Restated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Agreement”) with certain of Lamar Media’s subsidiaries as guarantors, JPMorgan Chase Bank, N.A. as administrative agent and the lenders party thereto, under which the parties agreed to amend and restate Lamar Media’s existing senior credit facility. The Fourth Amended and Restated Credit Agreement amended and restated the Third Amended and Restated Credit Agreement dated as of May 15, 2017, as amended (the “Third Amended and Restated Credit Agreement”).</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2, 2021, Lamar Media entered into Amendment No. 1 (the "Amendment"), to the Fourth Amended and Restated Credit Agreement. The Amendment amends the definition of "Subsidiary" to exclude each of Lamar Partnering Sponsor LLC and Lamar Partnering Corporation and any of their subsidiaries (collectively, the “Lamar Partnering Entities”) such that, after the giving effect to the Amendment, none of the Lamar Partnering Entities are subject to the Fourth Amended and Restated Credit Agreement covenants and reporting requirements, but any investment by Lamar Media in any of the Lamar Partnering Entities would be subject to the Fourth Amended and Restated Credit Agreement covenants. The Amendment also amends the definition of “EBITDA” to replace the existing calculation with a net income-based calculation, which excludes the income of non-Subsidiary entities such as the Lamar Partnering Entities, except to the extent that income of such entities is received by Lamar Media in the form of dividends or distributions.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senior credit facility, as established by the Fourth Amended and Restated Credit Agreement (the “senior credit facility”), consists of (i) a $750.0 million senior secured revolving credit facility which will mature on February 6, 2025 (the “revolving credit facility”), (ii) a $600.0 million Term B loan facility (the “Term B loans”) which will mature on February 6, 2027, and (iii) an incremental facility (the “Incremental Facility”) pursuant to which Lamar Media may incur additional term loan tranches or increase its revolving credit facility subject to a pro forma secured debt ratio calculated as described under </w:t>
      </w:r>
      <w:r>
        <w:rPr>
          <w:rFonts w:ascii="Times New Roman" w:cs="Times New Roman" w:eastAsia="Times New Roman" w:hAnsi="Times New Roman"/>
          <w:sz w:val="18"/>
          <w:szCs w:val="18"/>
          <w:i w:val="1"/>
          <w:iCs w:val="1"/>
          <w:color w:val="auto"/>
        </w:rPr>
        <w:t>“Restrictions under Senior Credit Facility”</w:t>
      </w:r>
      <w:r>
        <w:rPr>
          <w:rFonts w:ascii="Times New Roman" w:cs="Times New Roman" w:eastAsia="Times New Roman" w:hAnsi="Times New Roman"/>
          <w:sz w:val="18"/>
          <w:szCs w:val="18"/>
          <w:color w:val="auto"/>
        </w:rPr>
        <w:t xml:space="preserve"> of 4.50 to 1.00, as well as certain other conditions including lender approval. Lamar Media</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borrowed all $600.0 million in Term B loans on February 6, 2020. The entire amount of the Term B loans will be payable at maturity.</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Term B loans bear interest at rates based on the Adjusted LIBO Rate (“Eurodollar term loans”) or the Adjusted Base Rate (“Base Rate term loans”), at Lamar Media’s option. Eurodollar term loans bear interest at a rate per annum equal to the Adjusted LIBO Rate plus 1.50%. Base Rate term loans bear interest at a rate per annum equal to the Adjusted Base Rate plus 0.50%. The revolving credit facility bears interest at rates based on the Adjusted LIBO Rate (“Eurodollar revolving loans”) or the Adjusted Base Rate (“Base Rate revolving loans”), at Lamar Media’s option. Eurodollar revolving loans bear interest at a rate per annum equal to the Adjusted LIBO Rate plus 1.50% (or the Adjusted LIBO Rate plus 1.25% at any time the Total Debt Ratio is less than or equal to 3.25 to 1). Base Rate revolving loans bear interest at a rate per annum equal to the Adjusted Base Rate plus 0.50% (or the Adjusted Base Rate plus 0.25% at any time the total debt ratio is less than or equal to 3.25 to 1). The guarantees, covenants, events of default and other terms of the senior credit facility apply to the Term B loans and revolving credit facility.</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29, 2022, Lamar Media entered into Amendment No. 2 (the "Amendment No. 2") to the Fourth Amended and Restated Credit Agreement with certain of Lamar Media's subsidiaries as guarantors, JPMorgan Chase Bank, N.A. as administrative agent and the lenders party thereto. The Amendment No. 2 establishes a new $350.0 million Senior Secured Term Loan A loan (the “Term A loans”) as a new class of incremental term loans. The Term A loans will mature on February 6, 2025 and bear interest at Term SOFR plus 1.25% and a credit spread adjustment of 0.10%. The covenants, events of default and other terms of the senior credit facility apply to the Term A loans. Lamar Media borrowed all $350.0 million in Term A loans on July 29, 2022. Proceeds from the Term A loans were used to repay outstanding balances on the revolving credit facility and a portion of the outstanding balance on our Accounts Receivable Securitization Program.</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2022 the aggregate balance outstanding under the senior credit facility was $950.0 million, consisting of $600.0 million in Term B loans aggregate principal balance, $350.0 million in Term A loans aggregate principal balance and no outstanding borrowings under our revolving credit facility. Lamar Media had approximately $738.7 million of unused capacity under the revolving credit facility.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Factors Affecting Sources of Liquidity</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Internally Generated Funds. </w:t>
      </w:r>
      <w:r>
        <w:rPr>
          <w:rFonts w:ascii="Times New Roman" w:cs="Times New Roman" w:eastAsia="Times New Roman" w:hAnsi="Times New Roman"/>
          <w:sz w:val="18"/>
          <w:szCs w:val="18"/>
          <w:color w:val="auto"/>
        </w:rPr>
        <w:t>The key factors affecting internally generated cash flow are general economic conditions, specific economic conditions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markets where the Company conducts its business and overall spending on advertising by advertisers. We expect to generate cash flows from operations during 2022 in excess of our cash needs for operations, capital expenditures and dividends, as described herein, and we believe we have sufficient liquidity with cash on hand and availability under our revolving credit facility to meet our operating cash needs for the next twelve months.</w:t>
      </w:r>
    </w:p>
    <w:p>
      <w:pPr>
        <w:spacing w:after="0" w:line="18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Credit Facilities and Other Debt Securities. </w:t>
      </w:r>
      <w:r>
        <w:rPr>
          <w:rFonts w:ascii="Times New Roman" w:cs="Times New Roman" w:eastAsia="Times New Roman" w:hAnsi="Times New Roman"/>
          <w:sz w:val="18"/>
          <w:szCs w:val="18"/>
          <w:color w:val="auto"/>
        </w:rPr>
        <w:t>The Company and Lamar Media must comply with certain covenants and restrictions related to the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facility, its outstanding debt securities and its Accounts Receivable Securitization Program.</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Restrictions Under Debt Securities. </w:t>
      </w:r>
      <w:r>
        <w:rPr>
          <w:rFonts w:ascii="Times New Roman" w:cs="Times New Roman" w:eastAsia="Times New Roman" w:hAnsi="Times New Roman"/>
          <w:sz w:val="18"/>
          <w:szCs w:val="18"/>
          <w:color w:val="auto"/>
        </w:rPr>
        <w:t>The Company and Lamar Media must comply with certain covenants and restrictions related to its outstanding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Currently, Lamar Media has outstanding the $600.0 million 3 3/4% Senior Notes issued February 2020, the $550.0 million 4% Senior Notes issued February 2020 and August 2020, the $400.0 million 4 7/8% Senior Notes issued in May 2020 and the $550.0 million 3 5/8% Senior Notes issued in January 2021.</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indentures relating to Lamar Media’s outstanding notes restrict its ability to incur additional indebtedness, but permit the incurrence of indebtedness (including indebtedness under the senior credit facility), (i) if no default or event of default would result from such incurrence and (ii) if after giving effect to any such incurrence, the leverage ratio (defined as the sum of (x) total consolidated debt plus (y) the aggregate liquidation preference of any preferred stock of Lamar Media’s restricted subsidiaries to trailing four fiscal quarter EBITDA (as defined in the indentures)) would be less than 7.0 to 1.0. Currently, Lamar Media is not in default under the indentures of any of its outstanding notes and, therefore, would be permitted to incur additional indebtedness subject to the foregoing provision.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debt incurred under the provisions described in the preceding paragraph, the indentures relating to Lamar Media’s outstanding notes permit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Lamar Media to incur indebtedness pursuant to the following baskets:</w:t>
      </w:r>
    </w:p>
    <w:p>
      <w:pPr>
        <w:spacing w:after="0" w:line="99" w:lineRule="exact"/>
        <w:rPr>
          <w:sz w:val="20"/>
          <w:szCs w:val="20"/>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$2.0 billion of indebtedness under the senior credit facility;</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outstanding on the date of the indentures or debt incurred to refinance outstanding debt;</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debt between Lamar Media and its restricted subsidiaries or between restricted subsidiaries;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00" w:hanging="644"/>
        <w:spacing w:after="0" w:line="282" w:lineRule="auto"/>
        <w:tabs>
          <w:tab w:leader="none" w:pos="12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purchase money indebtedness and capitalized lease obligations to acquire or lease property in the ordinary course of business that cannot exceed the greater of $50.0 million or 5% of Lamar Media’s net tangible assets;</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debt not to exceed $75.0 million; and</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$500.0 million of permitted securitization financings.</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Restrictions Under Senior Credit Facility. </w:t>
      </w:r>
      <w:r>
        <w:rPr>
          <w:rFonts w:ascii="Times New Roman" w:cs="Times New Roman" w:eastAsia="Times New Roman" w:hAnsi="Times New Roman"/>
          <w:sz w:val="18"/>
          <w:szCs w:val="18"/>
          <w:color w:val="auto"/>
        </w:rPr>
        <w:t>Lamar Media is required to comply with certain covenants and restrictions under the senior credit facility. If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or Lamar Media fails to comply with these tests, the lenders under the senior credit facility will be entitled to exercise certain remedies, including the termination of the lending commitments and the acceleration of the debt payments under the senior credit facility. At September 30, 2022 we were, and currently, we are, in compliance with all such tests under the senior credit facility.</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Lamar Media must maintain a secured debt ratio, defined as total consolidated secured debt of Lamar Advertising, Lamar Media and its restricted subsidiaries (including capital lease obligations), minus the lesser of (x) $150.0 million and (y) the aggregate amount of unrestricted cash and cash equivalents of Lamar Advertising, Lamar Media and its restricted subsidiaries (other than the Special Purpose Subsidiaries (as defined above under </w:t>
      </w:r>
      <w:r>
        <w:rPr>
          <w:rFonts w:ascii="Times New Roman" w:cs="Times New Roman" w:eastAsia="Times New Roman" w:hAnsi="Times New Roman"/>
          <w:sz w:val="18"/>
          <w:szCs w:val="18"/>
          <w:i w:val="1"/>
          <w:iCs w:val="1"/>
          <w:color w:val="auto"/>
        </w:rPr>
        <w:t>Sources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Cash – Accounts Receivable Securitization Program</w:t>
      </w:r>
      <w:r>
        <w:rPr>
          <w:rFonts w:ascii="Times New Roman" w:cs="Times New Roman" w:eastAsia="Times New Roman" w:hAnsi="Times New Roman"/>
          <w:sz w:val="18"/>
          <w:szCs w:val="18"/>
          <w:color w:val="auto"/>
        </w:rPr>
        <w:t>)) to EBITDA, as defined below, for the period of four consecutive fiscal quarters then ended, of 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or equal to 4.5 to 1.0.</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Lamar Media is restricted from incurring additional indebtedness subject to exceptions, one of which is that it may incur additional indebtedness not exceeding the greater of $250.0 million or 6% of its total assets.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Lamar Media is also restricted from incurring additional unsecured senior indebtedness under certain circumstances unless, after giving effect to the incurrence of such indebtedness, Lamar Media would have a total debt ratio, defined as (a) total consolidated debt (including subordinated debt) of Lamar Advertising, Lamar Media and its restricted subsidiaries as of any date minus the lesser of (i) $150.0 million and (ii) the aggregate amount of unrestricted cash and cash equivalents of Lamar Advertising, Lamar Media and its restricted subsidiaries (other than the Special Purpose Subsidiaries) to (b) EBITDA, as defined below, for the most recent four fiscal quarters then ended, is less than 7.0 to 1.0.</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Lamar Media is also restricted from incurring additional subordinated indebtedness under certain circumstances unless, after giving effect to the incurrence of such indebtedness, it is in compliance with the secured debt ratio covenant and its total debt ratio is less than 7.0 to 1.0.</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senior credit facility, as amended, “EBITDA” means, for any period, net income, plus (a) to the extent deducted in determining net income for such period, the sum determined without duplication and in accordance with GAAP, of (i) taxes, (ii) interest expense, (iii) depreciation, (iv) amortization,</w:t>
      </w:r>
    </w:p>
    <w:p>
      <w:pPr>
        <w:jc w:val="both"/>
        <w:ind w:firstLine="8"/>
        <w:spacing w:after="0" w:line="251" w:lineRule="auto"/>
        <w:tabs>
          <w:tab w:leader="none" w:pos="27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non-cash income or charges accrued for such period, (vi) charges and expenses in connection with the senior credit facility, any actual or proposed acquisition, disposition or investment (excluding, in each case, purchases and sales of advertising space and operating assets in the ordinary course of business) and any actual or proposed offering of securities, incurrence or repayment of indebtedness (or amendment to any agreement relating to indebtedness), including any refinancing thereof, or recapitalization, (vii) any loss or gain relating to amounts paid or earned in cash prior to the stated settlement date of any swap agreement that has been reflected in operating income for such period), and (viii) any loss on sales of receivables and related assets to a securitization entity in connection with a permitted securitization financing, plus (b) the amount of cost savings, operating expense reductions and other operating improvements or synergies projected by Lamar Media in good faith to be realized as a result of any acquisition, investment, merger, amalgamation or disposition within 18 months of any such acquisition, investment, merger, amalgamation or disposition, net of the amount of actual benefits realized during such period from such action; provided, (a) the aggregate amount for all such cost savings, operating expense reductions and other operating improvements or synergies will not exceed an amount equal to 15% of EBITDA for the applicable four quarter period and (b) any such adjustment to EBITDA pursuant to this clause (b) may only take into account cost savings, operating expense reductions and other operating improvements or synergies that are (I) directly attributable to such acquisition, investment, merger, amalgamation or disposition, (II) expected to have a continuing impact on Lamar Media and its restricted subsidiaries and (III) factually supportable, in each case all as certified by the chief financial officer of Lamar Media) on behalf of Lamar Media, minus (c) to the extent included in net income for such period (determined without duplication and in accordance with GAAP) (i) any extraordinary and unusual gains or losses during such period, and (ii) the proceeds of any casualty events and dispositions. For purposes of this EBITDA definition, the effect thereon of any adjustments required under Statement of Financial Accounting Standards No. 141R will be excluded. If during any period for which EBITDA is being determined, we have consummated any acquisition or disposition, EBITDA will be determined on a pro forma basis as if such acquisition or disposition had been made or consummated on the first day of such period.</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senior credit facility, “net income” means for any period, the consolidated net income (or loss) of Lamar Advertising, us, and our restricted subsidiaries, determined on a consolidated basis in accordance with GAAP; provided that the following is excluded from net income: (a) the income (or deficit) of any person accrued prior to the date it becomes a restricted subsidiary or is merged into or consolidated with Lamar Advertising, us or any of our restricted subsidiaries, and (b) the income (or deficit) of any person (other than any of our restricted subsidiaries) in which Lamar Advertising, we or any of our subsidiaries has an ownership interest, except to the extent that any such income is received by Lamar Advertising, us or any of our restricted subsidiaries in the form of dividends or similar distributions.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believes that its current level of cash on hand, availability under the senior credit facility and future cash flows from operations are sufficient to meet its operating needs for the next twelve months. All debt obligations are reflected on the Company’s balance sheet.</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Restrictions under Accounts Receivable Securitization Program. </w:t>
      </w:r>
      <w:r>
        <w:rPr>
          <w:rFonts w:ascii="Times New Roman" w:cs="Times New Roman" w:eastAsia="Times New Roman" w:hAnsi="Times New Roman"/>
          <w:sz w:val="18"/>
          <w:szCs w:val="18"/>
          <w:color w:val="auto"/>
        </w:rPr>
        <w:t>The agreements governing the Accounts Receivable Securitization Program contain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customary representations and warranties, affirmative and negative covenants, and termination event provisions, including but not limited to those providing for the acceleration of amounts owed under the Accounts Receivable Securitization Program if, among other things, the Special Purpose Subsidiaries fail to make payments when due, Lamar Media, the Subsidiary Originators or the Special Purpose Subsidiaries become insolvent or subject to bankruptcy proceedings or certain judicial judgments, breach certain representations and warranties or covenants or default under other material indebtedness, a change of control occurs, or if Lamar Media fails to maintain the maximum secured debt ratio of 4.5 to 1.0 required under Lamar Media’s senior credit facility.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Uses of Cash</w:t>
      </w:r>
    </w:p>
    <w:p>
      <w:pPr>
        <w:spacing w:after="0" w:line="119"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Capital Expenditures. </w:t>
      </w:r>
      <w:r>
        <w:rPr>
          <w:rFonts w:ascii="Times New Roman" w:cs="Times New Roman" w:eastAsia="Times New Roman" w:hAnsi="Times New Roman"/>
          <w:sz w:val="18"/>
          <w:szCs w:val="18"/>
          <w:color w:val="auto"/>
        </w:rPr>
        <w:t>Capital expenditures, excluding acquisitions, were approximately $116.8 million for the nine months ended September 30, 2022.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anticipate our 2022 total capital expenditures to be approximately $170.0 million.</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Acquisitions. </w:t>
      </w:r>
      <w:r>
        <w:rPr>
          <w:rFonts w:ascii="Times New Roman" w:cs="Times New Roman" w:eastAsia="Times New Roman" w:hAnsi="Times New Roman"/>
          <w:sz w:val="18"/>
          <w:szCs w:val="18"/>
          <w:color w:val="auto"/>
        </w:rPr>
        <w:t>During the nine months ended September 30, 2022, the Company completed acquisitions for an aggregate purchase price of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$287.9 million, which were financed using available cash on hand and borrowings on the Accounts Receivable Securitization Program and senior credit facility.</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4, 2022, the Company acquired Burkhart Advertising Inc. which includes more than 1,500 billboard structures and 3,200 billboard faces, including 23 digital displays. The acquisition was funded with a combination of cash on hand and borrowings under our revolving credit facility.</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February 24, 2022, the Company's Board of Directors declared a quarterly cash dividend of $1.10 per share, paid on March 31, 2022 to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of record of its Class A common stock and Class B common stock on March 21, 2022. On May 19, 2022, the Company's Board of Directors declared a quarterly cash dividend of $1.20 per share, paid on June 30, 2022 to its stockholders of record of its Class A common stock and Class B common stock on June 20, 2022. On September 6, 2022, the Company's Board of Directors declared a quarterly cash dividend of $1.20 per share, paid on September 30, 2022 to its stockholders of record of its Class A common stock and Class B common stock on September 19, 2022. Subject to approval of the Company's Board of Directors, in December 2022, the Company expects to declare a quarterly dividend of $1.20 per share of common stock for the upcoming fourth quarter 2022 distributions to stockholders as well as an additional special dividend of $0.30 per share of common stock. Beginning in 2023, management expects to recommend to the Board of Directors an increase in the quarterly dividend of $0.05 per common share, to $1.25 per common share.</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REIT, the Company must annually distribute to its stockholders an amount equal to at least 90% of its REIT taxable income (determined before the deduction for distributed earnings and excluding any net capital gain). The amount, timing and frequency of future distributions will be at the sole discretion of the Board of Directors and will be declared based upon various factors, a number of which may be beyond the Company’s control, including financial condition and operating cash flows, the amount required to maintain REIT status and reduce any income and excise taxes that the Company otherwise would be required to pay, limitations on distributions in our existing and future debt instruments, the Company’s ability to utilize net operating losses to offset, in whole or in part, the Company’s distribution requirements, limitations on its ability to fund distributions using cash generated through its Taxable REIT Subsidiaries (“TRSs”), the impact of general economic conditions on the Company’s operations and other factors that the Board of Directors may deem relevant. The foregoing factors may also impact management’s recommendations to the Board of Directors as to the timing, amount and frequency of future distributions.</w:t>
      </w:r>
    </w:p>
    <w:p>
      <w:pPr>
        <w:spacing w:after="0" w:line="18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Special Purpose Acquisition Company. </w:t>
      </w:r>
      <w:r>
        <w:rPr>
          <w:rFonts w:ascii="Times New Roman" w:cs="Times New Roman" w:eastAsia="Times New Roman" w:hAnsi="Times New Roman"/>
          <w:sz w:val="18"/>
          <w:szCs w:val="18"/>
          <w:color w:val="auto"/>
        </w:rPr>
        <w:t>On April 6, 2021, Lamar Partnering Corporation (“LPC”), a newly formed special purpose acquisition company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indirect wholly-owned subsidiary of the Company, filed a Registration Statement on Form</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S-1, with the Securities and Exchange Commission (the "SEC"). On June 21, 2022, LPC filed its request to withdraw its registration statement with the SEC. In conjunction with the withdrawn offering, the Company incurred a transaction expense of $1.2 million for the write-off of deferred offering costs incurred on behalf of LPC's registration statement. The $1.2 million in expenses are included in Corporate expenses in our Condensed Consolidated Statement of Income and Comprehensive Income at September 30, 2022.</w:t>
      </w:r>
    </w:p>
    <w:p>
      <w:pPr>
        <w:spacing w:after="0" w:line="17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Stock and Debt Repurchasing Program. </w:t>
      </w:r>
      <w:r>
        <w:rPr>
          <w:rFonts w:ascii="Times New Roman" w:cs="Times New Roman" w:eastAsia="Times New Roman" w:hAnsi="Times New Roman"/>
          <w:sz w:val="18"/>
          <w:szCs w:val="18"/>
          <w:color w:val="auto"/>
        </w:rPr>
        <w:t>On March 16, 2020, the Company’s Board of Directors authorized the repurchase of up to $250.0 million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Class A common stock. Additionally, the Board of Directors has authorized Lamar Media to repurchase up to $250.0 million in outstanding senior or senior subordinated notes and other indebtedness outstanding from time to time under its senior credit agreement. On September 20, 2021, the Board of Directors authorized the extension of the repurchase program through March 31, 2023. There were no repurchases under the program as of September 30, 2022. The Company’s management may opt not to make any repurchases under the program, or may make aggregate purchases less than the total amount authorized.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expected material cash requirements for the twelve months following September 30, 2022 and thereafter are comprised of contractual obligations, required annual distributions and other opportunistic expenditures.</w:t>
      </w:r>
    </w:p>
    <w:p>
      <w:pPr>
        <w:spacing w:after="0" w:line="5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Debt and Contractual Obligations. </w:t>
      </w:r>
      <w:r>
        <w:rPr>
          <w:rFonts w:ascii="Times New Roman" w:cs="Times New Roman" w:eastAsia="Times New Roman" w:hAnsi="Times New Roman"/>
          <w:sz w:val="18"/>
          <w:szCs w:val="18"/>
          <w:color w:val="auto"/>
        </w:rPr>
        <w:t>The following table summarizes our future debt maturities, interest payment obligations, and contractual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required payments under operating and financing leases as of September 30, 2022 (in millions):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220" w:type="dxa"/>
            <w:vAlign w:val="bottom"/>
          </w:tcPr>
          <w:p>
            <w:pPr>
              <w:spacing w:after="0"/>
              <w:rPr>
                <w:sz w:val="16"/>
                <w:szCs w:val="16"/>
                <w:color w:val="auto"/>
              </w:rPr>
            </w:pPr>
          </w:p>
        </w:tc>
        <w:tc>
          <w:tcPr>
            <w:tcW w:w="110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Thereafter</w:t>
            </w:r>
          </w:p>
        </w:tc>
      </w:tr>
      <w:tr>
        <w:trPr>
          <w:trHeight w:val="23"/>
        </w:trPr>
        <w:tc>
          <w:tcPr>
            <w:tcW w:w="84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84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6"/>
                <w:szCs w:val="16"/>
                <w:color w:val="auto"/>
              </w:rPr>
              <w:t>Debt maturities</w:t>
            </w:r>
            <w:r>
              <w:rPr>
                <w:rFonts w:ascii="Times New Roman" w:cs="Times New Roman" w:eastAsia="Times New Roman" w:hAnsi="Times New Roman"/>
                <w:sz w:val="25"/>
                <w:szCs w:val="25"/>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3,016.6</w:t>
            </w:r>
          </w:p>
        </w:tc>
      </w:tr>
      <w:tr>
        <w:trPr>
          <w:trHeight w:val="229"/>
        </w:trPr>
        <w:tc>
          <w:tcPr>
            <w:tcW w:w="8480" w:type="dxa"/>
            <w:vAlign w:val="bottom"/>
          </w:tcPr>
          <w:p>
            <w:pPr>
              <w:ind w:left="20"/>
              <w:spacing w:after="0" w:line="230" w:lineRule="exact"/>
              <w:rPr>
                <w:sz w:val="20"/>
                <w:szCs w:val="20"/>
                <w:color w:val="auto"/>
              </w:rPr>
            </w:pPr>
            <w:r>
              <w:rPr>
                <w:rFonts w:ascii="Times New Roman" w:cs="Times New Roman" w:eastAsia="Times New Roman" w:hAnsi="Times New Roman"/>
                <w:sz w:val="17"/>
                <w:szCs w:val="17"/>
                <w:color w:val="auto"/>
              </w:rPr>
              <w:t>Interest obligations on long-term debt</w:t>
            </w:r>
            <w:r>
              <w:rPr>
                <w:rFonts w:ascii="Times New Roman" w:cs="Times New Roman" w:eastAsia="Times New Roman" w:hAnsi="Times New Roman"/>
                <w:sz w:val="26"/>
                <w:szCs w:val="26"/>
                <w:color w:val="auto"/>
                <w:vertAlign w:val="superscript"/>
              </w:rPr>
              <w:t>(2)</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625.5</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obligations, including operating and financing leases</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1,497.9</w:t>
            </w: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payments due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5,140.0</w:t>
            </w:r>
          </w:p>
        </w:tc>
      </w:tr>
      <w:tr>
        <w:trPr>
          <w:trHeight w:val="21"/>
        </w:trPr>
        <w:tc>
          <w:tcPr>
            <w:tcW w:w="8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60" w:hanging="352"/>
        <w:spacing w:after="0"/>
        <w:tabs>
          <w:tab w:leader="none" w:pos="3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Debt maturities assume there is no refinancing prior to the existing maturity date.</w:t>
      </w:r>
    </w:p>
    <w:p>
      <w:pPr>
        <w:spacing w:after="0" w:line="26" w:lineRule="exact"/>
        <w:rPr>
          <w:rFonts w:ascii="Times New Roman" w:cs="Times New Roman" w:eastAsia="Times New Roman" w:hAnsi="Times New Roman"/>
          <w:sz w:val="16"/>
          <w:szCs w:val="16"/>
          <w:color w:val="auto"/>
        </w:rPr>
      </w:pPr>
    </w:p>
    <w:p>
      <w:pPr>
        <w:ind w:left="360" w:hanging="352"/>
        <w:spacing w:after="0"/>
        <w:tabs>
          <w:tab w:leader="none" w:pos="3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rates on our variable rate instruments assume rates at the September 2022 levels.</w:t>
      </w:r>
    </w:p>
    <w:p>
      <w:pPr>
        <w:spacing w:after="0" w:line="23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Required Annual Distributions</w:t>
      </w:r>
      <w:r>
        <w:rPr>
          <w:rFonts w:ascii="Times New Roman" w:cs="Times New Roman" w:eastAsia="Times New Roman" w:hAnsi="Times New Roman"/>
          <w:sz w:val="18"/>
          <w:szCs w:val="18"/>
          <w:color w:val="auto"/>
        </w:rPr>
        <w:t>. As a REIT, the Company must annually distribute to its stockholders an amount equal to at least 90% of its REIT taxable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(determined before the deduction for distributed earnings and excluding any net capital gain). On February 24, 2022, the Company's Board of Directors approved a dividend of $1.10 per common share, paid on March 31, 2022. On May 19, 2022, the Company's Board of Directors approved a dividend of $1.20 per common share, paid on June 30, 2022. On September 6, 2022, the Company's Board of Directors approved a dividend of $1.20 per common share, paid on September 30, 2022. Our Board of Directors will continue to evaluate future dividends in order to continue to satisfy the requirements needed to maintain our REIT status.</w:t>
      </w:r>
    </w:p>
    <w:p>
      <w:pPr>
        <w:spacing w:after="0" w:line="2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Opportunistic Expenditures</w:t>
      </w:r>
      <w:r>
        <w:rPr>
          <w:rFonts w:ascii="Times New Roman" w:cs="Times New Roman" w:eastAsia="Times New Roman" w:hAnsi="Times New Roman"/>
          <w:sz w:val="18"/>
          <w:szCs w:val="18"/>
          <w:color w:val="auto"/>
        </w:rPr>
        <w:t>. As part of our capital allocation strategy, we plan to continue to allocate our available capital among investment alternatives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meet our return on investment criteria. We will continue to reinvest in our existing assets and expand our outdoor advertising display portfolio through new construction. We will also continue to pursue strategic acquisitions of outdoor advertising businesses and assets. This includes acquisitions in our existing markets and in new markets where we can meet our return on investment criteria.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cash flows provided by operating activities increased $48.9 million from $488.2 million for the nine months ended September 30, 2021 to $537.1 million for the nine months ended September 30, 2022, primarily resulting from an increase in revenues of $203.8 million offset by an increase in operating expenses (excluding stock-based compensation, gain on disposition of assets, and depreciation and amortization) of $118.8 million, as compared to the comparable period in 2021.</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flows used in investing activities increased $199.2 million from $203.2 million for the nine months ended September 30, 2021 to $402.5 million for the nine months ended September 30, 2022 primarily due to a net increase in the amount of assets acquired through acquisitions, investments and capital expenditures of $195.6 million, as compared to the same period in 2021.</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cash flows used in financing activities were $154.8 million for the nine months ended September 30, 2022 as compared to $319.1 million for the nine months ended September 30, 2021. This decrease in cash used in financing activities of</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$164.3 million for the nine months ended September 30, 2022 is primarily due to increased borrowings on the senior credit facility in 2022, offset by an increase in cash paid for dividends and distributions in 2022 over the comparable period in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discussion and analysis of our results of operations and liquidity and capital resources are based on our condensed consolidated financial statements, which have been prepared in accordance with GAAP. The preparation of these financial statements requires us to make estimates and judgments that affect the reported amounts of assets, liabilities, revenues and expenses. There have been no material changes to the critical accounting policies and estimates as previously disclosed in Item 7 of our 2021 Combined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and Regulatory Update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14, "New Accounting Pronouncements" to our condensed consolidated financial statements included in Part 1, Item 1 of this report for a discussion of our Accounting Standards and Regulatory Update.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is a discussion of the consolidated financial condition and results of operations of Lamar Media for the three and nine months ended September 30, 2022 and 2021. This discussion should be read in conjunction with the consolidated financial statements of Lamar Media and the related notes thereto.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2022 compared to nine months ended September 30, 2021</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revenues increased $203.8 million or 15.8% to $1.50 billion for the nine months ended September 30, 2022 from $1.29 billion for the same period in 2021. This increase was primarily attributable to an increase in billboard net revenues of $167.6 million, an increase in transit net revenues of $34.9 million, and an increase in logo net revenues of $1.3 million over the same period in 2021.</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2022, there was a $156.9 million increase in net revenues as compared to acquisition-adjusted net revenue for the nine months ended September 30, 2021, which represents an increase of 11.7%. See “Reconciliations” below. The $156.9 million increase in revenue is primarily due to an increase of $125.4 million in billboard net revenues as well as an increase in transit net revenues of $30.4 million over the same period in 2021.</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operating expenses, exclusive of depreciation and amortization and gain on disposition of assets, increased $110.9 million, or 15.5%, to $828.1 million for the nine months ended September 30, 2022 from $717.1 million for the same period in 2021. The $110.9 million increase over the prior year is comprised of a $115.4 million increase in total direct, general and administrative and corporate expenses (excluding stock-based compensation and transaction expenses) primarily related to the operations of our outdoor advertising assets, as well as a $3.8 million increase in transaction expenses related to acquisitions and the write-off of deferred offering costs, offset by a $8.2 million decrease in stock-based compensation.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decreased $3.5 million to $202.2 million for the nine months ended September 30, 2022 as compared to $205.7 million for the same period in 2021. The decrease is due to the revision in the cost estimate included in the calculation of asset retirement obligations during 2021, offset by acquisitions and capital expenditures that occurred in the second half of 2021 and during 2022.</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2022, Lamar Media recognized a gain on disposition of assets of $2.0 million, primarily resulting from transactions related to billboard locations and displays.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Due to the above factors, operating income increased by $96.4 million to $468.3 million for the nine months ended September 30, 2022 as compared to $371.9 million for the same period in 2021.</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2021, Lamar Media recognized a loss on debt extinguishment of $21.6 million related to the early repayment of our 5 3/4% Senior Notes during the period. There was no loss on debt extinguishment during the nine months ended September 30, 2022.</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increased $9.2 million for the nine months ended September 30, 2022 to $89.8 million as compared to $80.6 million for the nine months ended September 30, 2021 primarily due to the increase in interest rates on the Accounts Receivable Securitization Program and senior credit facility.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Equity in earnings of investee was $2.7 million and $1.1 million for the nine months ended September 30, 2022 and 2021, respectively, as a result of investments that occurred in July of 2021.</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operating income and the decrease in loss on extinguishment of debt, offset by the increase in interest expense, resulted in a $110.5 million increase in net income before income taxes. The effective tax rate for the nine months ended September 30, 2022 was 2.4%, which differs from the federal statutory rate primarily due to our qualification for taxation as a REIT and adjustments for foreign items.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above factors, Lamar Media recognized net income for the nine months ended September 30, 2022 of $372.9 million, as compared to net income of $265.5 million for the same period in 2021.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acquisitions occurring after December 31, 2020 have contributed to our net revenue results for the periods presented, we provide 2021 acquisition-adjusted net revenue, which adjusts our 2021 net revenue for the nine months ended September 30, 2021 by adding to or subtracting from it the net revenue generated by the acquired or divested assets prior to our acquisition or divestiture of these assets for the same time frame that those assets were owned in the nine months ended September 30, 2022.</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Reconciliations of 2021 reported net revenue to 2021 acquisition-adjusted net revenue for the nine months ended September 30, as well as a comparison of 2021 acquisition-adjusted net revenue to 2022 reported net revenue for the nine months ended September 30, are provided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Reconciliation and Comparison of Reported Net Revenue to Acquisition-Adjusted Net Revenue</w:t>
      </w:r>
    </w:p>
    <w:p>
      <w:pPr>
        <w:spacing w:after="0" w:line="132"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5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0" w:type="dxa"/>
            <w:vAlign w:val="bottom"/>
            <w:gridSpan w:val="6"/>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6"/>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Reported net revenue</w:t>
            </w: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1,496,630</w:t>
            </w:r>
          </w:p>
        </w:tc>
        <w:tc>
          <w:tcPr>
            <w:tcW w:w="20" w:type="dxa"/>
            <w:vAlign w:val="bottom"/>
            <w:shd w:val="clear" w:color="auto" w:fill="CFF0FC"/>
          </w:tcPr>
          <w:p>
            <w:pPr>
              <w:spacing w:after="0"/>
              <w:rPr>
                <w:sz w:val="20"/>
                <w:szCs w:val="20"/>
                <w:color w:val="auto"/>
              </w:rPr>
            </w:pPr>
          </w:p>
        </w:tc>
        <w:tc>
          <w:tcPr>
            <w:tcW w:w="3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1,292,827</w:t>
            </w:r>
          </w:p>
        </w:tc>
        <w:tc>
          <w:tcPr>
            <w:tcW w:w="0" w:type="dxa"/>
            <w:vAlign w:val="bottom"/>
          </w:tcPr>
          <w:p>
            <w:pPr>
              <w:spacing w:after="0"/>
              <w:rPr>
                <w:sz w:val="1"/>
                <w:szCs w:val="1"/>
                <w:color w:val="auto"/>
              </w:rPr>
            </w:pPr>
          </w:p>
        </w:tc>
      </w:tr>
      <w:tr>
        <w:trPr>
          <w:trHeight w:val="229"/>
        </w:trPr>
        <w:tc>
          <w:tcPr>
            <w:tcW w:w="55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Acquisition net revenue</w:t>
            </w:r>
          </w:p>
        </w:tc>
        <w:tc>
          <w:tcPr>
            <w:tcW w:w="32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60" w:type="dxa"/>
            <w:vAlign w:val="bottom"/>
            <w:tcBorders>
              <w:bottom w:val="single" w:sz="8" w:color="CFF0FC"/>
            </w:tcBorders>
          </w:tcPr>
          <w:p>
            <w:pPr>
              <w:spacing w:after="0"/>
              <w:rPr>
                <w:sz w:val="19"/>
                <w:szCs w:val="19"/>
                <w:color w:val="auto"/>
              </w:rPr>
            </w:pPr>
          </w:p>
        </w:tc>
        <w:tc>
          <w:tcPr>
            <w:tcW w:w="8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46,925</w:t>
            </w:r>
          </w:p>
        </w:tc>
        <w:tc>
          <w:tcPr>
            <w:tcW w:w="0" w:type="dxa"/>
            <w:vAlign w:val="bottom"/>
          </w:tcPr>
          <w:p>
            <w:pPr>
              <w:spacing w:after="0"/>
              <w:rPr>
                <w:sz w:val="1"/>
                <w:szCs w:val="1"/>
                <w:color w:val="auto"/>
              </w:rPr>
            </w:pPr>
          </w:p>
        </w:tc>
      </w:tr>
      <w:tr>
        <w:trPr>
          <w:trHeight w:val="248"/>
        </w:trPr>
        <w:tc>
          <w:tcPr>
            <w:tcW w:w="5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totals</w:t>
            </w:r>
          </w:p>
        </w:tc>
        <w:tc>
          <w:tcPr>
            <w:tcW w:w="3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1,496,630</w:t>
            </w:r>
          </w:p>
        </w:tc>
        <w:tc>
          <w:tcPr>
            <w:tcW w:w="2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1,339,752</w:t>
            </w:r>
          </w:p>
        </w:tc>
        <w:tc>
          <w:tcPr>
            <w:tcW w:w="0" w:type="dxa"/>
            <w:vAlign w:val="bottom"/>
          </w:tcPr>
          <w:p>
            <w:pPr>
              <w:spacing w:after="0"/>
              <w:rPr>
                <w:sz w:val="1"/>
                <w:szCs w:val="1"/>
                <w:color w:val="auto"/>
              </w:rPr>
            </w:pPr>
          </w:p>
        </w:tc>
      </w:tr>
      <w:tr>
        <w:trPr>
          <w:trHeight w:val="20"/>
        </w:trPr>
        <w:tc>
          <w:tcPr>
            <w:tcW w:w="552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tc>
        <w:tc>
          <w:tcPr>
            <w:tcW w:w="32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2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55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Income/Adjusted EBITDA</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2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5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6"/>
        </w:trPr>
        <w:tc>
          <w:tcPr>
            <w:tcW w:w="5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c>
          <w:tcPr>
            <w:tcW w:w="144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1440" w:type="dxa"/>
            <w:vAlign w:val="bottom"/>
            <w:gridSpan w:val="3"/>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228"/>
        </w:trPr>
        <w:tc>
          <w:tcPr>
            <w:tcW w:w="5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372,927</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265,473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107,454</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40.5 %</w:t>
            </w:r>
          </w:p>
        </w:tc>
        <w:tc>
          <w:tcPr>
            <w:tcW w:w="0" w:type="dxa"/>
            <w:vAlign w:val="bottom"/>
          </w:tcPr>
          <w:p>
            <w:pPr>
              <w:spacing w:after="0"/>
              <w:rPr>
                <w:sz w:val="1"/>
                <w:szCs w:val="1"/>
                <w:color w:val="auto"/>
              </w:rPr>
            </w:pPr>
          </w:p>
        </w:tc>
      </w:tr>
      <w:tr>
        <w:trPr>
          <w:trHeight w:val="22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expenses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89,082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earnings of investee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202,210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14,331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22,540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686,187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597,331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88,856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EBITDA for the nine months ended September 30, 2022 increased 14.9% to $686.2 million. The increase in adjusted EBITDA was primarily attributable to an increase in our gross margin (net revenue less direct advertising expense, exclusive of depreciation and amortization and capitalized contract fulfillment costs, net) of $128.9 million, offset by an increase in total</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and corporate expenses of $40.9 million, excluding the impact of stock-based compensation expense and transaction expenses.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Income/FFO/AFFO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2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Pr>
          <w:p>
            <w:pPr>
              <w:spacing w:after="0"/>
              <w:rPr>
                <w:sz w:val="13"/>
                <w:szCs w:val="13"/>
                <w:color w:val="auto"/>
              </w:rPr>
            </w:pPr>
          </w:p>
        </w:tc>
        <w:tc>
          <w:tcPr>
            <w:tcW w:w="1100" w:type="dxa"/>
            <w:vAlign w:val="bottom"/>
            <w:vMerge w:val="restart"/>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00" w:type="dxa"/>
            <w:vAlign w:val="bottom"/>
          </w:tcPr>
          <w:p>
            <w:pPr>
              <w:spacing w:after="0"/>
              <w:rPr>
                <w:sz w:val="13"/>
                <w:szCs w:val="13"/>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68"/>
        </w:trPr>
        <w:tc>
          <w:tcPr>
            <w:tcW w:w="5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5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552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3"/>
            <w:vMerge w:val="continue"/>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center"/>
              <w:ind w:right="133"/>
              <w:spacing w:after="0" w:line="127"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tcPr>
          <w:p>
            <w:pPr>
              <w:spacing w:after="0"/>
              <w:rPr>
                <w:sz w:val="11"/>
                <w:szCs w:val="11"/>
                <w:color w:val="auto"/>
              </w:rPr>
            </w:pPr>
          </w:p>
        </w:tc>
        <w:tc>
          <w:tcPr>
            <w:tcW w:w="146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w w:val="98"/>
              </w:rPr>
              <w:t>Increase</w:t>
            </w:r>
          </w:p>
        </w:tc>
        <w:tc>
          <w:tcPr>
            <w:tcW w:w="0" w:type="dxa"/>
            <w:vAlign w:val="bottom"/>
          </w:tcPr>
          <w:p>
            <w:pPr>
              <w:spacing w:after="0"/>
              <w:rPr>
                <w:sz w:val="1"/>
                <w:szCs w:val="1"/>
                <w:color w:val="auto"/>
              </w:rPr>
            </w:pPr>
          </w:p>
        </w:tc>
      </w:tr>
      <w:tr>
        <w:trPr>
          <w:trHeight w:val="190"/>
        </w:trPr>
        <w:tc>
          <w:tcPr>
            <w:tcW w:w="55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372,927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107,454</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40.5 %</w:t>
            </w:r>
          </w:p>
        </w:tc>
        <w:tc>
          <w:tcPr>
            <w:tcW w:w="0" w:type="dxa"/>
            <w:vAlign w:val="bottom"/>
          </w:tcPr>
          <w:p>
            <w:pPr>
              <w:spacing w:after="0"/>
              <w:rPr>
                <w:sz w:val="1"/>
                <w:szCs w:val="1"/>
                <w:color w:val="auto"/>
              </w:rPr>
            </w:pPr>
          </w:p>
        </w:tc>
      </w:tr>
      <w:tr>
        <w:trPr>
          <w:trHeight w:val="22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related to real estate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193,164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(4,231)</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from sale or disposal of real estate, net of tax</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5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Adjustments for unconsolidated affiliates and</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non-controlling interest</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100" w:type="dxa"/>
            <w:vAlign w:val="bottom"/>
            <w:tcBorders>
              <w:bottom w:val="single" w:sz="8" w:color="CCEEFF"/>
            </w:tcBorders>
          </w:tcPr>
          <w:p>
            <w:pPr>
              <w:spacing w:after="0"/>
              <w:rPr>
                <w:sz w:val="21"/>
                <w:szCs w:val="21"/>
                <w:color w:val="auto"/>
              </w:rPr>
            </w:pPr>
          </w:p>
        </w:tc>
        <w:tc>
          <w:tcPr>
            <w:tcW w:w="14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FFO</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562,173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460,538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101,635</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22.1 %</w:t>
            </w:r>
          </w:p>
        </w:tc>
        <w:tc>
          <w:tcPr>
            <w:tcW w:w="0" w:type="dxa"/>
            <w:vAlign w:val="bottom"/>
          </w:tcPr>
          <w:p>
            <w:pPr>
              <w:spacing w:after="0"/>
              <w:rPr>
                <w:sz w:val="1"/>
                <w:szCs w:val="1"/>
                <w:color w:val="auto"/>
              </w:rPr>
            </w:pPr>
          </w:p>
        </w:tc>
      </w:tr>
      <w:tr>
        <w:trPr>
          <w:trHeight w:val="22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Straight line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(8,209)</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portion of tax provision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Non-real estate related 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(21,604)</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expenses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 – maintenance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(44,681)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(11,984)</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5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Adjustments for unconsolidated affiliates and</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non-controlling interest</w:t>
            </w: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AFFO</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555,572</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487,757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67,815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FFO for the nine months ended September 30, 2022 increased from $460.5 million in 2021 to $562.2 million for the same period in 2022, an increase of 22.1%. AFFO for the nine months ended September 30, 2022 increased 13.9% to $555.6 million as compared to $487.8 million for the same period in 2021. The increase in AFFO was primarily attributable to an increase in our gross margin (net revenue less direct advertising expense, exclusive of depreciation and amortization and capitalized contract fulfillment costs, net) offset by an increase in total general and administrative and corporate expenses (excluding the effect of stock-based compensation expense and transaction expenses) and capital expenditures related to the maintenance of our advertising assets.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2022 compared to three months ended September 30, 2021</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revenues increased $50.5 million or 10.6% to $527.4 million for the three months ended September 30, 2022 from $476.9 million for the same period in 2021. This increase was primarily attributable to an increase in billboard net revenues of $41.3 million and an increase in transit net revenues of $9.2 million over the same period in 2021.</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2022, there was a $29.8 million increase in net revenues as compared to acquisition-adjusted net revenue for the three months ended September 30, 2021, which represents an increase of 6.0%. See "Reconciliations" below. The $29.8 million increase in revenue is primarily due to an increase of $22.8 million in billboard net revenues as well as an increase in transit net revenues of $7.1 million over the same period in 2021.</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operating expenses, exclusive of depreciation and amortization and gain on disposition of assets, increased $21.3 million, or 8.2%, to $280.5 million for the three months ended September 30, 2022 from $259.1 million for the same period in 2021. The $21.3 million increase over the prior year is comprised of a $29.2 million increase in total direct, general and administrative and corporate expenses (excluding stock-based compensation and transaction expenses) primarily related to the operations of our outdoor advertising assets, offset by an $8.0 million decrease in stock-based compensation.</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decreased $18.5 million to $65.8 million for the three months ended September 30, 2022 as compared to $84.3 million for the same period in 2021. The decrease is due to the revision in the cost estimate included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calculation of asset retirement obligations during 2021, offset by acquisitions and capital expenditures that occurred in the second half of 2021 and during 2022.</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2022, Lamar Media recognized a gain on disposition of assets of $0.1 million, primarily resulting from transactions related to billboard locations and displays.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Due to the above factors, operating income increased by $47.7 million to $181.1 million for the three months ended September 30, 2022 as compared to $133.5 million for the same period in 2021.</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increased $7.4 million for the three months ended September 30, 2022 to $33.5 million as compared to $26.1 million for the three months ended September 30, 2021 primarily due to the increase in interest rates on the Accounts Receivable Securitization Program and senior credit facility.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Equity in earnings of investee was $1.6 million and $1.1 million for the three months ended September 30, 2022 and 2021, respectively, as a result of investments that occurred in July of 2021.</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operating income, offset by the increase in interest expense, resulted in a $40.7 million increase in net income before income taxes. The effective tax rate for the three months ended September 30, 2022 was 2.0%, which differs from the federal statutory rate primarily due to our qualification for taxation as a REIT and adjustments for foreign items.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above factors, Lamar Media recognized net income for the three months ended September 30, 2022 of $146.3 million, as compared to net income of $107.0 million for the same period in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acquisitions occurring after December 31, 2020 have contributed to our net revenue results for the periods presented, we provide 2021 acquisition-adjusted net revenue, which adjusts our 2021 net revenue for the three months ended September 30, 2021 by adding to or subtracting from it the net revenue generated by the acquired or divested assets prior to our acquisition or divestiture of these assets for the same time frame that those assets were owned in the three months ended September 30, 2022.</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Reconciliations of 2021 reported net revenue to 2021 acquisition-adjusted net revenue for the three months ended September 30, as well as a comparison of 2021 acquisition-adjusted net revenue to 2022 reported net revenue for the three months ended September 30, are provided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Reconciliation and Comparison of Reported Net Revenue to Acquisition-Adjusted Net Revenue</w:t>
      </w:r>
    </w:p>
    <w:p>
      <w:pPr>
        <w:spacing w:after="0" w:line="261"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64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364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net revenue</w:t>
            </w:r>
          </w:p>
        </w:tc>
        <w:tc>
          <w:tcPr>
            <w:tcW w:w="51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527,390</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476,894</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net revenue</w:t>
            </w:r>
          </w:p>
        </w:tc>
        <w:tc>
          <w:tcPr>
            <w:tcW w:w="4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20,663</w:t>
            </w:r>
          </w:p>
        </w:tc>
        <w:tc>
          <w:tcPr>
            <w:tcW w:w="0" w:type="dxa"/>
            <w:vAlign w:val="bottom"/>
          </w:tcPr>
          <w:p>
            <w:pPr>
              <w:spacing w:after="0"/>
              <w:rPr>
                <w:sz w:val="1"/>
                <w:szCs w:val="1"/>
                <w:color w:val="auto"/>
              </w:rPr>
            </w:pPr>
          </w:p>
        </w:tc>
      </w:tr>
      <w:tr>
        <w:trPr>
          <w:trHeight w:val="248"/>
        </w:trPr>
        <w:tc>
          <w:tcPr>
            <w:tcW w:w="3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totals</w:t>
            </w:r>
          </w:p>
        </w:tc>
        <w:tc>
          <w:tcPr>
            <w:tcW w:w="484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527,390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497,557</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4840" w:type="dxa"/>
            <w:vAlign w:val="bottom"/>
            <w:tcBorders>
              <w:top w:val="single" w:sz="8" w:color="CCEEFF"/>
              <w:bottom w:val="single" w:sz="8" w:color="CCEEFF"/>
            </w:tcBorders>
            <w:vMerge w:val="restart"/>
          </w:tcPr>
          <w:p>
            <w:pPr>
              <w:jc w:val="right"/>
              <w:ind w:right="2670"/>
              <w:spacing w:after="0"/>
              <w:rPr>
                <w:sz w:val="20"/>
                <w:szCs w:val="20"/>
                <w:color w:val="auto"/>
              </w:rPr>
            </w:pPr>
            <w:r>
              <w:rPr>
                <w:rFonts w:ascii="Times New Roman" w:cs="Times New Roman" w:eastAsia="Times New Roman" w:hAnsi="Times New Roman"/>
                <w:sz w:val="18"/>
                <w:szCs w:val="18"/>
                <w:color w:val="auto"/>
              </w:rPr>
              <w:t>52</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3640" w:type="dxa"/>
            <w:vAlign w:val="bottom"/>
          </w:tcPr>
          <w:p>
            <w:pPr>
              <w:spacing w:after="0"/>
              <w:rPr>
                <w:sz w:val="24"/>
                <w:szCs w:val="24"/>
                <w:color w:val="auto"/>
              </w:rPr>
            </w:pPr>
          </w:p>
        </w:tc>
        <w:tc>
          <w:tcPr>
            <w:tcW w:w="48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40" w:type="dxa"/>
            <w:vAlign w:val="bottom"/>
            <w:tcBorders>
              <w:bottom w:val="single" w:sz="8" w:color="9A9A9A"/>
            </w:tcBorders>
          </w:tcPr>
          <w:p>
            <w:pPr>
              <w:spacing w:after="0"/>
              <w:rPr>
                <w:sz w:val="10"/>
                <w:szCs w:val="10"/>
                <w:color w:val="auto"/>
              </w:rPr>
            </w:pPr>
          </w:p>
        </w:tc>
        <w:tc>
          <w:tcPr>
            <w:tcW w:w="48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Income/Adjusted EBITDA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95"/>
        </w:trPr>
        <w:tc>
          <w:tcPr>
            <w:tcW w:w="55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100" w:type="dxa"/>
            <w:vAlign w:val="bottom"/>
          </w:tcPr>
          <w:p>
            <w:pPr>
              <w:spacing w:after="0"/>
              <w:rPr>
                <w:sz w:val="16"/>
                <w:szCs w:val="16"/>
                <w:color w:val="auto"/>
              </w:rPr>
            </w:pPr>
          </w:p>
        </w:tc>
        <w:tc>
          <w:tcPr>
            <w:tcW w:w="146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Percent Increase</w:t>
            </w:r>
          </w:p>
        </w:tc>
      </w:tr>
      <w:tr>
        <w:trPr>
          <w:trHeight w:val="196"/>
        </w:trPr>
        <w:tc>
          <w:tcPr>
            <w:tcW w:w="55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(Decrease)</w:t>
            </w:r>
          </w:p>
        </w:tc>
      </w:tr>
      <w:tr>
        <w:trPr>
          <w:trHeight w:val="228"/>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146,325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39,351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36.8 %</w:t>
            </w:r>
          </w:p>
        </w:tc>
      </w:tr>
      <w:tr>
        <w:trPr>
          <w:trHeight w:val="22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expenses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33,297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7,370</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earnings of investee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65,833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(18,467)</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(7,968)</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3"/>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251,333</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230,822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20,511</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8.9 %</w:t>
            </w:r>
          </w:p>
        </w:tc>
      </w:tr>
      <w:tr>
        <w:trPr>
          <w:trHeight w:val="20"/>
        </w:trPr>
        <w:tc>
          <w:tcPr>
            <w:tcW w:w="5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for the three months ended September 30, 2022 increased 8.9% to $251.3 million. The increase in adjusted EBITDA was primarily attributable to an increase in our gross margin (net revenue less direct advertising expense, exclusive of depreciation and amortization and capitalized contract fulfillment costs, net) of $29.6 million, offset by an increase in total general and administrative and corporate expenses of $7.6 million, excluding the impact of stock-based compensation expense and transaction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Income/FFO/AFFO</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96"/>
        </w:trPr>
        <w:tc>
          <w:tcPr>
            <w:tcW w:w="55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100" w:type="dxa"/>
            <w:vAlign w:val="bottom"/>
          </w:tcPr>
          <w:p>
            <w:pPr>
              <w:spacing w:after="0"/>
              <w:rPr>
                <w:sz w:val="17"/>
                <w:szCs w:val="17"/>
                <w:color w:val="auto"/>
              </w:rPr>
            </w:pPr>
          </w:p>
        </w:tc>
        <w:tc>
          <w:tcPr>
            <w:tcW w:w="146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Percent Increase</w:t>
            </w:r>
          </w:p>
        </w:tc>
      </w:tr>
      <w:tr>
        <w:trPr>
          <w:trHeight w:val="196"/>
        </w:trPr>
        <w:tc>
          <w:tcPr>
            <w:tcW w:w="55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(Decrease)</w:t>
            </w: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146,325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39,351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36.8 %</w:t>
            </w: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related to real estate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63,089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(18,491)</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from sale or disposal of real estate, net of tax</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Adjustments for unconsolidated affiliates and non-controlling interest</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r>
      <w:tr>
        <w:trPr>
          <w:trHeight w:val="223"/>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FFO</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208,040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187,734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20,306</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10.8 %</w:t>
            </w:r>
          </w:p>
        </w:tc>
      </w:tr>
      <w:tr>
        <w:trPr>
          <w:trHeight w:val="22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Straight line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(7,968)</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portion of tax provision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Non-real estate related 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expenses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 - maintenance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Adjustments for unconsolidated affiliates and non-controlling interest</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r>
      <w:tr>
        <w:trPr>
          <w:trHeight w:val="248"/>
        </w:trPr>
        <w:tc>
          <w:tcPr>
            <w:tcW w:w="5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AFFO</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206,525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13,842</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FFO for the three months ended September 30, 2022 increased from $187.7 million in 2021 to $208.0 million for the same period in 2022, an increase of 10.8%. AFFO for the three months ended September 30, 2022 increased 7.2% to $206.5 million as compared to $192.7 million for the same period in 2021. The increase in AFFO was primarily attributable to an increase in our gross margin (net revenue less direct advertising expense, exclusive of depreciation and amortization and capitalized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fulfillment costs, net) offset by an increase in total general and administrative and corporate expenses (excluding the effect of stock-based compensation expense and transaction expenses) and capital expenditures related to the maintenance of our advertising assets.</w:t>
      </w:r>
    </w:p>
    <w:p>
      <w:pPr>
        <w:spacing w:after="0" w:line="266" w:lineRule="exact"/>
        <w:rPr>
          <w:sz w:val="20"/>
          <w:szCs w:val="20"/>
          <w:color w:val="auto"/>
        </w:rPr>
      </w:pPr>
    </w:p>
    <w:p>
      <w:pPr>
        <w:ind w:right="394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ITEM 3. QUANTITATIVE AND QUALITATIVE DISCLOSURES ABOUT MARKET RISK </w:t>
      </w:r>
      <w:r>
        <w:rPr>
          <w:rFonts w:ascii="Times New Roman" w:cs="Times New Roman" w:eastAsia="Times New Roman" w:hAnsi="Times New Roman"/>
          <w:sz w:val="18"/>
          <w:szCs w:val="18"/>
          <w:b w:val="1"/>
          <w:bCs w:val="1"/>
          <w:i w:val="1"/>
          <w:iCs w:val="1"/>
          <w:color w:val="auto"/>
        </w:rPr>
        <w:t>Lamar Advertising Company and Lamar Media Corp.</w:t>
      </w:r>
    </w:p>
    <w:p>
      <w:pPr>
        <w:jc w:val="both"/>
        <w:spacing w:after="0" w:line="266" w:lineRule="auto"/>
        <w:rPr>
          <w:sz w:val="20"/>
          <w:szCs w:val="20"/>
          <w:color w:val="auto"/>
        </w:rPr>
      </w:pPr>
      <w:r>
        <w:rPr>
          <w:rFonts w:ascii="Times New Roman" w:cs="Times New Roman" w:eastAsia="Times New Roman" w:hAnsi="Times New Roman"/>
          <w:sz w:val="18"/>
          <w:szCs w:val="18"/>
          <w:color w:val="auto"/>
        </w:rPr>
        <w:t>Lamar Advertising is exposed to interest rate risk in connection with variable rate debt instruments issued by its wholly owned subsidiary Lamar Media. The information below summarizes the Company’s interest rate risk associated with its principal variable rate debt instruments outstanding at September 30, 2022, and should be read in conjunction with Note 11 of the Notes to the Company’s Condensed Consolidated Financial Statements.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Lamar Media has variable-rate debt outstanding under its senior credit facility and its Accounts Receivable Securitization Program. Because interest rates may increase or decrease at any time, the Company is exposed to market risk as a result of the impact that changes in interest rates may have on the applicable borrowings outstanding. Increases in the interest rates applicable to these borrowings would result in increased interest expense and a reduction in the Company’s net income.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September 30, 2022 there was approximately $1.15 billion of indebtedness outstanding under the senior credit facility and the Accounts Receivable Securitization Program, or approximately 35.3% of the Company’s outstanding long-term debt on that date, bearing interest at variable rates. The aggregate interest expense for 2022 with respect to borrowings under the senior credit facility and the Accounts Receivable Securitization Program was $20.9 million, and the weighted average interest rate applicable to these borrowings during 2022 was 2.5%. Assuming that the weighted average interest rate was 200 basis points higher (that is 4.5% rather than 2.5%), then the Company’s 2022 interest expense would have increased by approximately $15.6 million for the nine months ended September 30, 2022.</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attempts to mitigate the interest rate risk resulting from its variable interest rate long-term debt instruments by issuing fixed rate long-term debt instruments and maintaining a balance over time between the amount of the Company’s variable rate and fixed rate indebtedness. In addition, the Company has the capability under the senior credit facility to fix the interest applicable to its borrowings at an amount equal to Adjusted LIBO Rate or Adjusted Term SOFR Rate (as applicable), or Adjusted Base Rate plus the applicable margin for periods of up to twelve months (in certain cases with the consent of the lenders), which would allow the Company to mitigate the impact of short-term fluctuations in market interest rates. In the event of an increase in interest rates, the Company may take further actions to mitigate its exposure. The Company cannot guarantee, however, that the actions that it may take to mitigate this risk will be feasible or that, if these actions are taken, that they will be effective.</w:t>
      </w:r>
    </w:p>
    <w:p>
      <w:pPr>
        <w:spacing w:after="0" w:line="29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119" w:lineRule="exact"/>
        <w:rPr>
          <w:sz w:val="20"/>
          <w:szCs w:val="20"/>
          <w:color w:val="auto"/>
        </w:rPr>
      </w:pPr>
    </w:p>
    <w:p>
      <w:pPr>
        <w:ind w:left="200" w:hanging="192"/>
        <w:spacing w:after="0"/>
        <w:tabs>
          <w:tab w:leader="none" w:pos="2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Conclusion Regarding the Effectiveness of Disclosure Controls and Procedures.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and Lamar Media’s management, with the participation of the principal executive officer and principal financial officer of the Company and Lamar Media, have evaluated the effectiveness of the design and operation of the Company’s and Lamar Media’s disclosure controls and procedures (as defined in Rules 13a-15(e) and 15d-15(e) under the Securities Exchange Act of 1934, as amended (the “Exchange Act”)) as of the end of the period covered by this quarterly report. Based on this evaluation, the principal executive officer and principal financial officer of the Company and Lamar Media concluded that these disclosure controls and procedures are effective and designed to ensure that the information required to be disclosed in the Company’s and Lamar Media’s reports filed or submitted under the Exchange Act is recorded, processed, summarized and reported within the requisite time periods.</w:t>
      </w:r>
    </w:p>
    <w:p>
      <w:pPr>
        <w:spacing w:after="0" w:line="293" w:lineRule="exact"/>
        <w:rPr>
          <w:sz w:val="20"/>
          <w:szCs w:val="20"/>
          <w:color w:val="auto"/>
        </w:rPr>
      </w:pPr>
    </w:p>
    <w:p>
      <w:pPr>
        <w:ind w:left="200" w:hanging="192"/>
        <w:spacing w:after="0"/>
        <w:tabs>
          <w:tab w:leader="none" w:pos="2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have been no changes in the internal control over financial reporting (as defined in Rules 13a-15(f) and 15d-15(f) under the Exchange Act) of the Company and Lamar Media identified in connection with the evaluation of the Company’s and Lamar Media’s internal control performed during the last fiscal quarter that has materially affected, or is reasonably likely to materially affect, the Company’s and Lamar Media’s internal control over financial reporting.</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33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operations and financial results are subject to various risks and uncertainties, including those described in Part I, Item 1A, “Risk Factors” in our combined Annual Report on Form 10-K for the year ended December 31, 2021, which could adversely affect our business, financial condition, results of operations, cash flows, and the trading price of our Class A common stock. There have been no material changes to our risk factors since our combined Annual Report on Form 10-K for the year ended December 31, 2021, as updated by the additional risk factor contained in our combined Quarterly Report on Form 10-Q for the period ended June 30, 2022.</w:t>
      </w:r>
    </w:p>
    <w:p>
      <w:pPr>
        <w:spacing w:after="0" w:line="287" w:lineRule="exact"/>
        <w:rPr>
          <w:sz w:val="20"/>
          <w:szCs w:val="20"/>
          <w:color w:val="auto"/>
        </w:rPr>
      </w:pPr>
    </w:p>
    <w:p>
      <w:pPr>
        <w:ind w:right="400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2. UNREGISTERED SALES OF EQUITY SECURITIES AND USE OF PROCEEDS </w:t>
      </w:r>
      <w:r>
        <w:rPr>
          <w:rFonts w:ascii="Times New Roman" w:cs="Times New Roman" w:eastAsia="Times New Roman" w:hAnsi="Times New Roman"/>
          <w:sz w:val="18"/>
          <w:szCs w:val="18"/>
          <w:color w:val="auto"/>
        </w:rPr>
        <w:t>None</w:t>
      </w:r>
    </w:p>
    <w:p>
      <w:pPr>
        <w:spacing w:after="0" w:line="15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7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7660" w:type="dxa"/>
            <w:vAlign w:val="bottom"/>
            <w:gridSpan w:val="21"/>
            <w:vMerge w:val="restart"/>
          </w:tcPr>
          <w:p>
            <w:pPr>
              <w:ind w:left="210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14"/>
        </w:trPr>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7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660" w:type="dxa"/>
            <w:vAlign w:val="bottom"/>
            <w:gridSpan w:val="21"/>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9"/>
        </w:trPr>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24"/>
                <w:szCs w:val="24"/>
                <w:color w:val="auto"/>
              </w:rPr>
            </w:pPr>
          </w:p>
        </w:tc>
        <w:tc>
          <w:tcPr>
            <w:tcW w:w="10060" w:type="dxa"/>
            <w:vAlign w:val="bottom"/>
            <w:tcBorders>
              <w:top w:val="single" w:sz="8" w:color="auto"/>
            </w:tcBorders>
            <w:gridSpan w:val="23"/>
          </w:tcPr>
          <w:p>
            <w:pPr>
              <w:spacing w:after="0"/>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Amended and Restated Certificate of Incorporation of Lamar Advertising Company (the “Company”), as filed with the Secretary of the</w:t>
              </w:r>
            </w:hyperlink>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90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State of Delaware effective as of November 18, 2014. Previously filed as Exhibit 3.1 to the Company’s Current Report on Form 8-K</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180" w:type="dxa"/>
            <w:vAlign w:val="bottom"/>
            <w:tcBorders>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77">
              <w:r>
                <w:rPr>
                  <w:rFonts w:ascii="Times New Roman" w:cs="Times New Roman" w:eastAsia="Times New Roman" w:hAnsi="Times New Roman"/>
                  <w:sz w:val="18"/>
                  <w:szCs w:val="18"/>
                  <w:color w:val="0000FF"/>
                  <w:w w:val="99"/>
                </w:rPr>
                <w:t>(File No. 1-36756) filed on November 19, 2014 and incorporated herein by reference.</w:t>
              </w:r>
            </w:hyperlink>
          </w:p>
        </w:tc>
        <w:tc>
          <w:tcPr>
            <w:tcW w:w="3840" w:type="dxa"/>
            <w:vAlign w:val="bottom"/>
            <w:gridSpan w:val="1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Pr>
          <w:p>
            <w:pPr>
              <w:spacing w:after="0"/>
              <w:rPr>
                <w:sz w:val="24"/>
                <w:szCs w:val="24"/>
                <w:color w:val="auto"/>
              </w:rPr>
            </w:pPr>
          </w:p>
        </w:tc>
        <w:tc>
          <w:tcPr>
            <w:tcW w:w="10060" w:type="dxa"/>
            <w:vAlign w:val="bottom"/>
            <w:gridSpan w:val="23"/>
          </w:tcPr>
          <w:p>
            <w:pPr>
              <w:spacing w:after="0"/>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Certificate of Merger, effective as of November 18, 2014. Previously filed as Exhibit 3.2 to the Company’s Current Report on Form 8-</w:t>
              </w:r>
            </w:hyperlink>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36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78">
              <w:r>
                <w:rPr>
                  <w:rFonts w:ascii="Times New Roman" w:cs="Times New Roman" w:eastAsia="Times New Roman" w:hAnsi="Times New Roman"/>
                  <w:sz w:val="18"/>
                  <w:szCs w:val="18"/>
                  <w:color w:val="0000FF"/>
                  <w:w w:val="99"/>
                </w:rPr>
                <w:t>K (File No. 1-36756) filed on November 19, 2014 and incorporated herein by reference.</w:t>
              </w:r>
            </w:hyperlink>
          </w:p>
        </w:tc>
        <w:tc>
          <w:tcPr>
            <w:tcW w:w="348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120" w:type="dxa"/>
            <w:vAlign w:val="bottom"/>
          </w:tcPr>
          <w:p>
            <w:pPr>
              <w:spacing w:after="0"/>
              <w:rPr>
                <w:sz w:val="24"/>
                <w:szCs w:val="24"/>
                <w:color w:val="auto"/>
              </w:rPr>
            </w:pPr>
          </w:p>
        </w:tc>
        <w:tc>
          <w:tcPr>
            <w:tcW w:w="10060" w:type="dxa"/>
            <w:vAlign w:val="bottom"/>
            <w:gridSpan w:val="23"/>
          </w:tcPr>
          <w:p>
            <w:pPr>
              <w:spacing w:after="0"/>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Amended and Restated Certificate of Incorporation of Lamar Media Corp. (“Lamar Media”)  Previously filed as Exhibit 3.2 to the</w:t>
              </w:r>
            </w:hyperlink>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8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Company’s Quarterly Report on Form 10-Q for the period ended March 31, 2007 (File No. 0-30242) filed on May 10, 2007 and</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0" w:type="dxa"/>
            <w:vAlign w:val="bottom"/>
            <w:tcBorders>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79">
              <w:r>
                <w:rPr>
                  <w:rFonts w:ascii="Times New Roman" w:cs="Times New Roman" w:eastAsia="Times New Roman" w:hAnsi="Times New Roman"/>
                  <w:sz w:val="18"/>
                  <w:szCs w:val="18"/>
                  <w:color w:val="0000FF"/>
                  <w:w w:val="99"/>
                </w:rPr>
                <w:t>incorporated herein by reference.</w:t>
              </w:r>
            </w:hyperlink>
          </w:p>
        </w:tc>
        <w:tc>
          <w:tcPr>
            <w:tcW w:w="7520" w:type="dxa"/>
            <w:vAlign w:val="bottom"/>
            <w:gridSpan w:val="1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120" w:type="dxa"/>
            <w:vAlign w:val="bottom"/>
          </w:tcPr>
          <w:p>
            <w:pPr>
              <w:spacing w:after="0"/>
              <w:rPr>
                <w:sz w:val="24"/>
                <w:szCs w:val="24"/>
                <w:color w:val="auto"/>
              </w:rPr>
            </w:pPr>
          </w:p>
        </w:tc>
        <w:tc>
          <w:tcPr>
            <w:tcW w:w="10060" w:type="dxa"/>
            <w:vAlign w:val="bottom"/>
            <w:gridSpan w:val="23"/>
          </w:tcPr>
          <w:p>
            <w:pPr>
              <w:spacing w:after="0"/>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Amended and Restated Bylaws of the Company, adopted as of November 18, 2014. Previously filed as Exhibit 3.3 to the Company’s</w:t>
              </w:r>
            </w:hyperlink>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30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80">
              <w:r>
                <w:rPr>
                  <w:rFonts w:ascii="Times New Roman" w:cs="Times New Roman" w:eastAsia="Times New Roman" w:hAnsi="Times New Roman"/>
                  <w:sz w:val="18"/>
                  <w:szCs w:val="18"/>
                  <w:color w:val="0000FF"/>
                  <w:w w:val="99"/>
                </w:rPr>
                <w:t>Current Report on Form 8-K (File No. 1-36756) filed on November 19, 2014 and incorporated herein by reference.</w:t>
              </w:r>
            </w:hyperlink>
          </w:p>
        </w:tc>
        <w:tc>
          <w:tcPr>
            <w:tcW w:w="1560" w:type="dxa"/>
            <w:vAlign w:val="bottom"/>
            <w:tcBorders>
              <w:top w:val="single" w:sz="8" w:color="0000FF"/>
            </w:tcBorders>
            <w:gridSpan w:val="6"/>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3.5</w:t>
            </w:r>
          </w:p>
        </w:tc>
        <w:tc>
          <w:tcPr>
            <w:tcW w:w="120" w:type="dxa"/>
            <w:vAlign w:val="bottom"/>
          </w:tcPr>
          <w:p>
            <w:pPr>
              <w:spacing w:after="0"/>
              <w:rPr>
                <w:sz w:val="24"/>
                <w:szCs w:val="24"/>
                <w:color w:val="auto"/>
              </w:rPr>
            </w:pPr>
          </w:p>
        </w:tc>
        <w:tc>
          <w:tcPr>
            <w:tcW w:w="10060" w:type="dxa"/>
            <w:vAlign w:val="bottom"/>
            <w:gridSpan w:val="23"/>
          </w:tcPr>
          <w:p>
            <w:pPr>
              <w:spacing w:after="0"/>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Amended and Restated Bylaws of Lamar Media. Previously filed as Exhibit 3.1 to Lamar Media’s Quarterly Report on Form 10-Q for</w:t>
              </w:r>
            </w:hyperlink>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92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81">
              <w:r>
                <w:rPr>
                  <w:rFonts w:ascii="Times New Roman" w:cs="Times New Roman" w:eastAsia="Times New Roman" w:hAnsi="Times New Roman"/>
                  <w:sz w:val="18"/>
                  <w:szCs w:val="18"/>
                  <w:color w:val="0000FF"/>
                  <w:w w:val="99"/>
                </w:rPr>
                <w:t>the period ended September 30, 1999 (File No. 1-12407) filed on November 12, 1999 and incorporated herein by reference.</w:t>
              </w:r>
            </w:hyperlink>
          </w:p>
        </w:tc>
        <w:tc>
          <w:tcPr>
            <w:tcW w:w="102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0060" w:type="dxa"/>
            <w:vAlign w:val="bottom"/>
            <w:gridSpan w:val="23"/>
          </w:tcPr>
          <w:p>
            <w:pPr>
              <w:spacing w:after="0"/>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Amended and Restated Limited Partnership Agreement Lamar Advertising Limited Partnership, dated July 1, 2022. Previously filed as</w:t>
              </w:r>
            </w:hyperlink>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980" w:type="dxa"/>
            <w:vAlign w:val="bottom"/>
            <w:tcBorders>
              <w:top w:val="single" w:sz="8" w:color="0000FF"/>
              <w:bottom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Exhibit 10.1 to the Company’s Current Report on Form 8-K (File No. 1-36756) filed on July 7, 2022 and incorporated herein by</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40" w:type="dxa"/>
            <w:vAlign w:val="bottom"/>
            <w:gridSpan w:val="22"/>
          </w:tcPr>
          <w:p>
            <w:pPr>
              <w:spacing w:after="0" w:line="156"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reference.</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10060" w:type="dxa"/>
            <w:vAlign w:val="bottom"/>
            <w:gridSpan w:val="23"/>
          </w:tcPr>
          <w:p>
            <w:pPr>
              <w:spacing w:after="0"/>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Form of LTIP Unit Award Agreement. Previously filed as Exhibit 10.2 to the Company’s Current Report on Form 8-K (File No. 1-</w:t>
              </w:r>
            </w:hyperlink>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36756) filed on July 7, 2022 and incorporated herein by reference.</w:t>
              </w:r>
            </w:hyperlink>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780" w:type="dxa"/>
            <w:vAlign w:val="bottom"/>
            <w:gridSpan w:val="3"/>
            <w:shd w:val="clear" w:color="auto" w:fill="0000FF"/>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10060" w:type="dxa"/>
            <w:vAlign w:val="bottom"/>
            <w:gridSpan w:val="23"/>
          </w:tcPr>
          <w:p>
            <w:pPr>
              <w:spacing w:after="0"/>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Amendment No. 2, dated as of July 29, 2022 to the Fourth Amended and Restated Credit Agreement dated February 6, 2020, by and</w:t>
              </w:r>
            </w:hyperlink>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2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among Lamar Media, as Borrower, the Company, Lamar Media’s subsidiary guarantors party thereto, JPMorgan Chase Bank, N.A., as</w:t>
              </w:r>
            </w:hyperlink>
          </w:p>
        </w:tc>
        <w:tc>
          <w:tcPr>
            <w:tcW w:w="140" w:type="dxa"/>
            <w:vAlign w:val="bottom"/>
            <w:tcBorders>
              <w:bottom w:val="single" w:sz="8" w:color="0000FF"/>
            </w:tcBorders>
            <w:gridSpan w:val="7"/>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0" w:type="dxa"/>
            <w:vAlign w:val="bottom"/>
            <w:gridSpan w:val="20"/>
          </w:tcPr>
          <w:p>
            <w:pPr>
              <w:spacing w:after="0" w:line="156" w:lineRule="exact"/>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Administrative Agent and certain lenders from time to time party thereto. Previously filed as Exhibit 10.1 to the Company’s Current</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780" w:type="dxa"/>
            <w:vAlign w:val="bottom"/>
            <w:tcBorders>
              <w:top w:val="single" w:sz="8" w:color="0000FF"/>
            </w:tcBorders>
            <w:gridSpan w:val="9"/>
          </w:tcPr>
          <w:p>
            <w:pPr>
              <w:spacing w:after="0" w:line="169" w:lineRule="exact"/>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Report on Form 8-K (File No. 1-36756) filed on August 3, 2022 and incorporated herein by reference.</w:t>
              </w:r>
            </w:hyperlink>
          </w:p>
        </w:tc>
        <w:tc>
          <w:tcPr>
            <w:tcW w:w="180" w:type="dxa"/>
            <w:vAlign w:val="bottom"/>
            <w:gridSpan w:val="9"/>
          </w:tcPr>
          <w:p>
            <w:pPr>
              <w:spacing w:after="0"/>
              <w:rPr>
                <w:sz w:val="14"/>
                <w:szCs w:val="14"/>
                <w:color w:val="auto"/>
              </w:rPr>
            </w:pPr>
          </w:p>
        </w:tc>
        <w:tc>
          <w:tcPr>
            <w:tcW w:w="1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360" w:type="dxa"/>
            <w:vAlign w:val="bottom"/>
            <w:tcBorders>
              <w:right w:val="single" w:sz="8" w:color="0000FF"/>
            </w:tcBorders>
            <w:gridSpan w:val="6"/>
            <w:shd w:val="clear" w:color="auto" w:fill="0000FF"/>
          </w:tcPr>
          <w:p>
            <w:pPr>
              <w:spacing w:after="0" w:line="20" w:lineRule="exact"/>
              <w:rPr>
                <w:sz w:val="1"/>
                <w:szCs w:val="1"/>
                <w:color w:val="auto"/>
              </w:rPr>
            </w:pPr>
          </w:p>
        </w:tc>
        <w:tc>
          <w:tcPr>
            <w:tcW w:w="2600" w:type="dxa"/>
            <w:vAlign w:val="bottom"/>
            <w:gridSpan w:val="1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100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of the Company and Lamar Media pursuant to Securities Exchange Act Rules 13a-14(a)</w:t>
            </w:r>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360" w:type="dxa"/>
            <w:vAlign w:val="bottom"/>
            <w:tcBorders>
              <w:top w:val="single" w:sz="8" w:color="0000FF"/>
              <w:bottom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rPr>
              <w:t>and 15d-14(a) as adopted pursuant to Section 302 of the Sarbanes-Oxley Act of 2002. Filed herewith.</w:t>
            </w:r>
          </w:p>
        </w:tc>
        <w:tc>
          <w:tcPr>
            <w:tcW w:w="2600" w:type="dxa"/>
            <w:vAlign w:val="bottom"/>
            <w:tcBorders>
              <w:top w:val="single" w:sz="8" w:color="0000FF"/>
            </w:tcBorders>
            <w:gridSpan w:val="12"/>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07"/>
        </w:trPr>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0000FF"/>
                <w:w w:val="99"/>
              </w:rPr>
              <w:t>Table of Contents</w:t>
            </w:r>
          </w:p>
        </w:tc>
        <w:tc>
          <w:tcPr>
            <w:tcW w:w="680" w:type="dxa"/>
            <w:vAlign w:val="bottom"/>
          </w:tcPr>
          <w:p>
            <w:pPr>
              <w:spacing w:after="0"/>
              <w:rPr>
                <w:sz w:val="17"/>
                <w:szCs w:val="17"/>
                <w:color w:val="auto"/>
              </w:rPr>
            </w:pPr>
          </w:p>
        </w:tc>
        <w:tc>
          <w:tcPr>
            <w:tcW w:w="63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85"/>
        </w:trPr>
        <w:tc>
          <w:tcPr>
            <w:tcW w:w="12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98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of the Company and Lamar Media pursuant to Securities Exchange Act Rules 13a-14(a) and</w:t>
            </w:r>
          </w:p>
        </w:tc>
      </w:tr>
      <w:tr>
        <w:trPr>
          <w:trHeight w:val="155"/>
        </w:trPr>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2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9"/>
              </w:rPr>
              <w:t>15d-14(a) as adopted pursuant to Section 302 of the Sarbanes-Oxley Act of 2002. Filed herewith.</w:t>
            </w:r>
          </w:p>
        </w:tc>
        <w:tc>
          <w:tcPr>
            <w:tcW w:w="280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98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Sarbanes-Oxley Act of 2002. Filed</w:t>
            </w:r>
          </w:p>
        </w:tc>
      </w:tr>
      <w:tr>
        <w:trPr>
          <w:trHeight w:val="156"/>
        </w:trPr>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0" w:type="dxa"/>
            <w:vAlign w:val="bottom"/>
            <w:tcBorders>
              <w:top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rPr>
              <w:t>herewith.</w:t>
            </w:r>
          </w:p>
        </w:tc>
        <w:tc>
          <w:tcPr>
            <w:tcW w:w="40" w:type="dxa"/>
            <w:vAlign w:val="bottom"/>
            <w:gridSpan w:val="2"/>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left="1380" w:hanging="879"/>
        <w:spacing w:after="0" w:line="224" w:lineRule="auto"/>
        <w:tabs>
          <w:tab w:leader="none" w:pos="1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statements from the Company’s Quarterly Report on Form 10-Q for the quarter ended September 30, 2022, formatted in Inline XBRL: (i) Condensed Consolidated Balance Sheets, (ii) Condensed Consolidated Statements of Income and Comprehensive Income, (iii) Condensed Consolidated Statements of Stockholders' Equity, (iv) Condensed Consolidated Statements of Cash Flows, and (v) Notes to the Condensed Consolidated Financial Statements, tagged as blocks of text and including detailed tags.</w:t>
      </w:r>
    </w:p>
    <w:p>
      <w:pPr>
        <w:spacing w:after="0" w:line="105" w:lineRule="exact"/>
        <w:rPr>
          <w:sz w:val="20"/>
          <w:szCs w:val="20"/>
          <w:color w:val="auto"/>
        </w:rPr>
      </w:pPr>
    </w:p>
    <w:p>
      <w:pPr>
        <w:ind w:left="1380" w:hanging="879"/>
        <w:spacing w:after="0"/>
        <w:tabs>
          <w:tab w:leader="none" w:pos="1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Date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6"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 w:right="3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each registrant has duly caused this report to be signed on its behalf by the undersigned thereunto duly authorized.</w:t>
      </w:r>
    </w:p>
    <w:p>
      <w:pPr>
        <w:spacing w:after="0" w:line="7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297" w:lineRule="exact"/>
        <w:rPr>
          <w:sz w:val="20"/>
          <w:szCs w:val="20"/>
          <w:color w:val="auto"/>
        </w:rPr>
      </w:pPr>
    </w:p>
    <w:p>
      <w:pPr>
        <w:ind w:left="20"/>
        <w:spacing w:after="0"/>
        <w:tabs>
          <w:tab w:leader="none" w:pos="4980" w:val="left"/>
          <w:tab w:leader="none" w:pos="6100" w:val="left"/>
        </w:tabs>
        <w:rPr>
          <w:sz w:val="20"/>
          <w:szCs w:val="20"/>
          <w:color w:val="auto"/>
        </w:rPr>
      </w:pPr>
      <w:r>
        <w:rPr>
          <w:rFonts w:ascii="Times New Roman" w:cs="Times New Roman" w:eastAsia="Times New Roman" w:hAnsi="Times New Roman"/>
          <w:sz w:val="18"/>
          <w:szCs w:val="18"/>
          <w:color w:val="auto"/>
        </w:rPr>
        <w:t>DATED: November 4,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17145</wp:posOffset>
            </wp:positionV>
            <wp:extent cx="325755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p>
      <w:pPr>
        <w:spacing w:after="0" w:line="28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297" w:lineRule="exact"/>
        <w:rPr>
          <w:sz w:val="20"/>
          <w:szCs w:val="20"/>
          <w:color w:val="auto"/>
        </w:rPr>
      </w:pPr>
    </w:p>
    <w:p>
      <w:pPr>
        <w:ind w:left="20"/>
        <w:spacing w:after="0"/>
        <w:tabs>
          <w:tab w:leader="none" w:pos="4980" w:val="left"/>
          <w:tab w:leader="none" w:pos="6100" w:val="left"/>
        </w:tabs>
        <w:rPr>
          <w:sz w:val="20"/>
          <w:szCs w:val="20"/>
          <w:color w:val="auto"/>
        </w:rPr>
      </w:pPr>
      <w:r>
        <w:rPr>
          <w:rFonts w:ascii="Times New Roman" w:cs="Times New Roman" w:eastAsia="Times New Roman" w:hAnsi="Times New Roman"/>
          <w:sz w:val="18"/>
          <w:szCs w:val="18"/>
          <w:color w:val="auto"/>
        </w:rPr>
        <w:t>DATED: November 4,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17145</wp:posOffset>
            </wp:positionV>
            <wp:extent cx="325755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20"/>
          </w:cols>
          <w:pgMar w:left="320" w:top="121" w:right="35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Sean E. Reilly, certify that:</w:t>
      </w:r>
    </w:p>
    <w:p>
      <w:pPr>
        <w:spacing w:after="0" w:line="117" w:lineRule="exact"/>
        <w:rPr>
          <w:sz w:val="20"/>
          <w:szCs w:val="20"/>
          <w:color w:val="auto"/>
        </w:rPr>
      </w:pPr>
    </w:p>
    <w:p>
      <w:pPr>
        <w:ind w:left="660" w:hanging="652"/>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combined quarterly report on Form 10-Q of Lamar Advertising Company and Lamar Media Corp.;</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have:</w:t>
      </w:r>
    </w:p>
    <w:p>
      <w:pPr>
        <w:spacing w:after="0" w:line="67" w:lineRule="exact"/>
        <w:rPr>
          <w:rFonts w:ascii="Times New Roman" w:cs="Times New Roman" w:eastAsia="Times New Roman" w:hAnsi="Times New Roman"/>
          <w:sz w:val="18"/>
          <w:szCs w:val="18"/>
          <w:color w:val="auto"/>
        </w:rPr>
      </w:pPr>
    </w:p>
    <w:p>
      <w:pPr>
        <w:ind w:left="1220" w:right="200" w:hanging="564"/>
        <w:spacing w:after="0" w:line="266" w:lineRule="auto"/>
        <w:tabs>
          <w:tab w:leader="none" w:pos="121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registrants, including their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220" w:right="120" w:hanging="564"/>
        <w:spacing w:after="0" w:line="266" w:lineRule="auto"/>
        <w:tabs>
          <w:tab w:leader="none" w:pos="121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220" w:right="300" w:hanging="564"/>
        <w:spacing w:after="0" w:line="312" w:lineRule="auto"/>
        <w:tabs>
          <w:tab w:leader="none" w:pos="1217"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220" w:right="280" w:hanging="564"/>
        <w:spacing w:after="0" w:line="266" w:lineRule="auto"/>
        <w:tabs>
          <w:tab w:leader="none" w:pos="121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644"/>
        <w:spacing w:after="0" w:line="312" w:lineRule="auto"/>
        <w:tabs>
          <w:tab w:leader="none" w:pos="1297"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abilities to record, process, summarize and report financial information; and</w:t>
      </w:r>
    </w:p>
    <w:p>
      <w:pPr>
        <w:spacing w:after="0" w:line="31" w:lineRule="exact"/>
        <w:rPr>
          <w:rFonts w:ascii="Times New Roman" w:cs="Times New Roman" w:eastAsia="Times New Roman" w:hAnsi="Times New Roman"/>
          <w:sz w:val="17"/>
          <w:szCs w:val="17"/>
          <w:color w:val="auto"/>
        </w:rPr>
      </w:pPr>
    </w:p>
    <w:p>
      <w:pPr>
        <w:ind w:left="1300" w:right="140" w:hanging="644"/>
        <w:spacing w:after="0" w:line="282" w:lineRule="auto"/>
        <w:tabs>
          <w:tab w:leader="none" w:pos="129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2022</w:t>
      </w: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Sean E. 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572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Sean E. Reilly</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 Lamar Advertising Company</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 Lamar Media Corp.</w:t>
      </w:r>
    </w:p>
    <w:p>
      <w:pPr>
        <w:sectPr>
          <w:pgSz w:w="11900" w:h="16838" w:orient="portrait"/>
          <w:cols w:equalWidth="0" w:num="1">
            <w:col w:w="11240"/>
          </w:cols>
          <w:pgMar w:left="320" w:top="1211"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Jay L. Johnson, certify that:</w:t>
      </w:r>
    </w:p>
    <w:p>
      <w:pPr>
        <w:spacing w:after="0" w:line="117" w:lineRule="exact"/>
        <w:rPr>
          <w:sz w:val="20"/>
          <w:szCs w:val="20"/>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combined quarterly report on Form 10-Q of Lamar Advertising Company and Lamar Media Corp.;</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have:</w:t>
      </w:r>
    </w:p>
    <w:p>
      <w:pPr>
        <w:spacing w:after="0" w:line="67" w:lineRule="exact"/>
        <w:rPr>
          <w:rFonts w:ascii="Times New Roman" w:cs="Times New Roman" w:eastAsia="Times New Roman" w:hAnsi="Times New Roman"/>
          <w:sz w:val="18"/>
          <w:szCs w:val="18"/>
          <w:color w:val="auto"/>
        </w:rPr>
      </w:pPr>
    </w:p>
    <w:p>
      <w:pPr>
        <w:ind w:left="1220" w:right="200" w:hanging="564"/>
        <w:spacing w:after="0" w:line="266" w:lineRule="auto"/>
        <w:tabs>
          <w:tab w:leader="none" w:pos="121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registrants, including their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220" w:right="120" w:hanging="564"/>
        <w:spacing w:after="0" w:line="266" w:lineRule="auto"/>
        <w:tabs>
          <w:tab w:leader="none" w:pos="121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220" w:right="300" w:hanging="564"/>
        <w:spacing w:after="0" w:line="312" w:lineRule="auto"/>
        <w:tabs>
          <w:tab w:leader="none" w:pos="1217"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220" w:right="280" w:hanging="564"/>
        <w:spacing w:after="0" w:line="266" w:lineRule="auto"/>
        <w:tabs>
          <w:tab w:leader="none" w:pos="121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644"/>
        <w:spacing w:after="0" w:line="312" w:lineRule="auto"/>
        <w:tabs>
          <w:tab w:leader="none" w:pos="1297"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abilities to record, process, summarize and report financial information; and</w:t>
      </w:r>
    </w:p>
    <w:p>
      <w:pPr>
        <w:spacing w:after="0" w:line="31" w:lineRule="exact"/>
        <w:rPr>
          <w:rFonts w:ascii="Times New Roman" w:cs="Times New Roman" w:eastAsia="Times New Roman" w:hAnsi="Times New Roman"/>
          <w:sz w:val="17"/>
          <w:szCs w:val="17"/>
          <w:color w:val="auto"/>
        </w:rPr>
      </w:pPr>
    </w:p>
    <w:p>
      <w:pPr>
        <w:ind w:left="1300" w:right="140" w:hanging="644"/>
        <w:spacing w:after="0" w:line="282" w:lineRule="auto"/>
        <w:tabs>
          <w:tab w:leader="none" w:pos="129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2022</w:t>
      </w: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572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Jay L. Johnson</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 Lamar Advertising Company</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 Lamar Media Corp.</w:t>
      </w:r>
    </w:p>
    <w:p>
      <w:pPr>
        <w:sectPr>
          <w:pgSz w:w="11900" w:h="16838" w:orient="portrait"/>
          <w:cols w:equalWidth="0" w:num="1">
            <w:col w:w="11240"/>
          </w:cols>
          <w:pgMar w:left="320" w:top="1211"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of the undersigned officers of Lamar Advertising Company (“Lamar Advertising”) and Lamar Media Corp. (“Lamar Media”) certifies, to his knowledge and solely for the purposes of 18 U.S.C. Section 1350, as adopted pursuant to Section 906 of the Sarbanes-Oxley Act of 2002, that the combined Quarterly Report on Form 10-Q of Lamar Advertising and Lamar Media for the period ended September 30, 2022 fully complies with the requirements of Section 13(a) or 15(d) of the Securities Exchange Act of 1934 and that information contained in the combined Form 10-Q fairly presents, in all material respects, the financial condition and results of operations of Lamar Advertising and Lamar Media</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2022</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ind w:left="4920"/>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Sean E. Reilly</w:t>
            </w:r>
          </w:p>
        </w:tc>
      </w:tr>
      <w:tr>
        <w:trPr>
          <w:trHeight w:val="218"/>
        </w:trPr>
        <w:tc>
          <w:tcPr>
            <w:tcW w:w="596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Sean E. Reilly</w:t>
            </w:r>
          </w:p>
        </w:tc>
      </w:tr>
      <w:tr>
        <w:trPr>
          <w:trHeight w:val="229"/>
        </w:trPr>
        <w:tc>
          <w:tcPr>
            <w:tcW w:w="596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Lamar Advertising Company</w:t>
            </w:r>
          </w:p>
        </w:tc>
      </w:tr>
      <w:tr>
        <w:trPr>
          <w:trHeight w:val="234"/>
        </w:trPr>
        <w:tc>
          <w:tcPr>
            <w:tcW w:w="596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Lamar Media Corp.</w:t>
            </w:r>
          </w:p>
        </w:tc>
      </w:tr>
      <w:tr>
        <w:trPr>
          <w:trHeight w:val="405"/>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2022</w:t>
            </w:r>
          </w:p>
        </w:tc>
        <w:tc>
          <w:tcPr>
            <w:tcW w:w="5120" w:type="dxa"/>
            <w:vAlign w:val="bottom"/>
          </w:tcPr>
          <w:p>
            <w:pPr>
              <w:spacing w:after="0"/>
              <w:rPr>
                <w:sz w:val="24"/>
                <w:szCs w:val="24"/>
                <w:color w:val="auto"/>
              </w:rPr>
            </w:pPr>
          </w:p>
        </w:tc>
      </w:tr>
      <w:tr>
        <w:trPr>
          <w:trHeight w:val="459"/>
        </w:trPr>
        <w:tc>
          <w:tcPr>
            <w:tcW w:w="5960" w:type="dxa"/>
            <w:vAlign w:val="bottom"/>
          </w:tcPr>
          <w:p>
            <w:pPr>
              <w:ind w:left="4920"/>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Jay L. Johnson</w:t>
            </w:r>
          </w:p>
        </w:tc>
      </w:tr>
      <w:tr>
        <w:trPr>
          <w:trHeight w:val="218"/>
        </w:trPr>
        <w:tc>
          <w:tcPr>
            <w:tcW w:w="596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Jay L. Johnson</w:t>
            </w:r>
          </w:p>
        </w:tc>
      </w:tr>
      <w:tr>
        <w:trPr>
          <w:trHeight w:val="229"/>
        </w:trPr>
        <w:tc>
          <w:tcPr>
            <w:tcW w:w="596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Lamar Advertising Company</w:t>
            </w:r>
          </w:p>
        </w:tc>
      </w:tr>
      <w:tr>
        <w:trPr>
          <w:trHeight w:val="234"/>
        </w:trPr>
        <w:tc>
          <w:tcPr>
            <w:tcW w:w="596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Lamar Media Corp.</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x"/>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1."/>
      <w:numFmt w:val="decimal"/>
      <w:start w:val="1"/>
    </w:lvl>
  </w:abstractNum>
  <w:abstractNum w:abstractNumId="4">
    <w:nsid w:val="2443A858"/>
    <w:multiLevelType w:val="hybridMultilevel"/>
    <w:lvl w:ilvl="0">
      <w:lvlJc w:val="left"/>
      <w:lvlText w:val="%1."/>
      <w:numFmt w:val="decimal"/>
      <w:start w:val="2"/>
    </w:lvl>
  </w:abstractNum>
  <w:abstractNum w:abstractNumId="5">
    <w:nsid w:val="2D1D5AE9"/>
    <w:multiLevelType w:val="hybridMultilevel"/>
    <w:lvl w:ilvl="0">
      <w:lvlJc w:val="left"/>
      <w:lvlText w:val="%1."/>
      <w:numFmt w:val="decimal"/>
      <w:start w:val="3"/>
    </w:lvl>
  </w:abstractNum>
  <w:abstractNum w:abstractNumId="6">
    <w:nsid w:val="6763845E"/>
    <w:multiLevelType w:val="hybridMultilevel"/>
    <w:lvl w:ilvl="0">
      <w:lvlJc w:val="left"/>
      <w:lvlText w:val="%1."/>
      <w:numFmt w:val="decimal"/>
      <w:start w:val="4"/>
    </w:lvl>
  </w:abstractNum>
  <w:abstractNum w:abstractNumId="7">
    <w:nsid w:val="75A2A8D4"/>
    <w:multiLevelType w:val="hybridMultilevel"/>
    <w:lvl w:ilvl="0">
      <w:lvlJc w:val="left"/>
      <w:lvlText w:val="%1."/>
      <w:numFmt w:val="decimal"/>
      <w:start w:val="5"/>
    </w:lvl>
  </w:abstractNum>
  <w:abstractNum w:abstractNumId="8">
    <w:nsid w:val="8EDBDAB"/>
    <w:multiLevelType w:val="hybridMultilevel"/>
    <w:lvl w:ilvl="0">
      <w:lvlJc w:val="left"/>
      <w:lvlText w:val="%1."/>
      <w:numFmt w:val="decimal"/>
      <w:start w:val="6"/>
    </w:lvl>
  </w:abstractNum>
  <w:abstractNum w:abstractNumId="9">
    <w:nsid w:val="79838CB2"/>
    <w:multiLevelType w:val="hybridMultilevel"/>
    <w:lvl w:ilvl="0">
      <w:lvlJc w:val="left"/>
      <w:lvlText w:val="%1."/>
      <w:numFmt w:val="decimal"/>
      <w:start w:val="7"/>
    </w:lvl>
  </w:abstractNum>
  <w:abstractNum w:abstractNumId="10">
    <w:nsid w:val="4353D0CD"/>
    <w:multiLevelType w:val="hybridMultilevel"/>
    <w:lvl w:ilvl="0">
      <w:lvlJc w:val="left"/>
      <w:lvlText w:val="%1."/>
      <w:numFmt w:val="decimal"/>
      <w:start w:val="8"/>
    </w:lvl>
  </w:abstractNum>
  <w:abstractNum w:abstractNumId="11">
    <w:nsid w:val="B03E0C6"/>
    <w:multiLevelType w:val="hybridMultilevel"/>
    <w:lvl w:ilvl="0">
      <w:lvlJc w:val="left"/>
      <w:lvlText w:val="%1."/>
      <w:numFmt w:val="decimal"/>
      <w:start w:val="9"/>
    </w:lvl>
  </w:abstractNum>
  <w:abstractNum w:abstractNumId="12">
    <w:nsid w:val="189A769B"/>
    <w:multiLevelType w:val="hybridMultilevel"/>
    <w:lvl w:ilvl="0">
      <w:lvlJc w:val="left"/>
      <w:lvlText w:val="%1."/>
      <w:numFmt w:val="decimal"/>
      <w:start w:val="10"/>
    </w:lvl>
  </w:abstractNum>
  <w:abstractNum w:abstractNumId="13">
    <w:nsid w:val="54E49EB4"/>
    <w:multiLevelType w:val="hybridMultilevel"/>
    <w:lvl w:ilvl="0">
      <w:lvlJc w:val="left"/>
      <w:lvlText w:val="%1."/>
      <w:numFmt w:val="decimal"/>
      <w:start w:val="1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1."/>
      <w:numFmt w:val="decimal"/>
      <w:start w:val="12"/>
    </w:lvl>
  </w:abstractNum>
  <w:abstractNum w:abstractNumId="16">
    <w:nsid w:val="836C40E"/>
    <w:multiLevelType w:val="hybridMultilevel"/>
    <w:lvl w:ilvl="0">
      <w:lvlJc w:val="left"/>
      <w:lvlText w:val="%1."/>
      <w:numFmt w:val="decimal"/>
      <w:start w:val="13"/>
    </w:lvl>
  </w:abstractNum>
  <w:abstractNum w:abstractNumId="17">
    <w:nsid w:val="2901D82"/>
    <w:multiLevelType w:val="hybridMultilevel"/>
    <w:lvl w:ilvl="0">
      <w:lvlJc w:val="left"/>
      <w:lvlText w:val="%1."/>
      <w:numFmt w:val="decimal"/>
      <w:start w:val="14"/>
    </w:lvl>
  </w:abstractNum>
  <w:abstractNum w:abstractNumId="18">
    <w:nsid w:val="3A95F874"/>
    <w:multiLevelType w:val="hybridMultilevel"/>
    <w:lvl w:ilvl="0">
      <w:lvlJc w:val="left"/>
      <w:lvlText w:val="%1."/>
      <w:numFmt w:val="decimal"/>
      <w:start w:val="15"/>
    </w:lvl>
  </w:abstractNum>
  <w:abstractNum w:abstractNumId="19">
    <w:nsid w:val="8138641"/>
    <w:multiLevelType w:val="hybridMultilevel"/>
    <w:lvl w:ilvl="0">
      <w:lvlJc w:val="left"/>
      <w:lvlText w:val="%1."/>
      <w:numFmt w:val="decimal"/>
      <w:start w:val="16"/>
    </w:lvl>
  </w:abstractNum>
  <w:abstractNum w:abstractNumId="20">
    <w:nsid w:val="1E7FF521"/>
    <w:multiLevelType w:val="hybridMultilevel"/>
    <w:lvl w:ilvl="0">
      <w:lvlJc w:val="left"/>
      <w:lvlText w:val="%1."/>
      <w:numFmt w:val="decimal"/>
      <w:start w:val="17"/>
    </w:lvl>
  </w:abstractNum>
  <w:abstractNum w:abstractNumId="21">
    <w:nsid w:val="7C3DBD3D"/>
    <w:multiLevelType w:val="hybridMultilevel"/>
    <w:lvl w:ilvl="0">
      <w:lvlJc w:val="left"/>
      <w:lvlText w:val="%1."/>
      <w:numFmt w:val="decimal"/>
      <w:start w:val="1"/>
    </w:lvl>
  </w:abstractNum>
  <w:abstractNum w:abstractNumId="22">
    <w:nsid w:val="737B8DDC"/>
    <w:multiLevelType w:val="hybridMultilevel"/>
    <w:lvl w:ilvl="0">
      <w:lvlJc w:val="left"/>
      <w:lvlText w:val="%1."/>
      <w:numFmt w:val="decimal"/>
      <w:start w:val="2"/>
    </w:lvl>
  </w:abstractNum>
  <w:abstractNum w:abstractNumId="23">
    <w:nsid w:val="6CEAF087"/>
    <w:multiLevelType w:val="hybridMultilevel"/>
    <w:lvl w:ilvl="0">
      <w:lvlJc w:val="left"/>
      <w:lvlText w:val="(%1)"/>
      <w:numFmt w:val="decimal"/>
      <w:start w:val="1"/>
    </w:lvl>
  </w:abstractNum>
  <w:abstractNum w:abstractNumId="24">
    <w:nsid w:val="22221A70"/>
    <w:multiLevelType w:val="hybridMultilevel"/>
    <w:lvl w:ilvl="0">
      <w:lvlJc w:val="left"/>
      <w:lvlText w:val="(%1)"/>
      <w:numFmt w:val="decimal"/>
      <w:start w:val="1"/>
    </w:lvl>
  </w:abstractNum>
  <w:abstractNum w:abstractNumId="25">
    <w:nsid w:val="4516DDE9"/>
    <w:multiLevelType w:val="hybridMultilevel"/>
    <w:lvl w:ilvl="0">
      <w:lvlJc w:val="left"/>
      <w:lvlText w:val="(%1)"/>
      <w:numFmt w:val="decimal"/>
      <w:start w:val="1"/>
    </w:lvl>
  </w:abstractNum>
  <w:abstractNum w:abstractNumId="26">
    <w:nsid w:val="3006C83E"/>
    <w:multiLevelType w:val="hybridMultilevel"/>
    <w:lvl w:ilvl="0">
      <w:lvlJc w:val="left"/>
      <w:lvlText w:val="(%1)"/>
      <w:numFmt w:val="decimal"/>
      <w:start w:val="1"/>
    </w:lvl>
  </w:abstractNum>
  <w:abstractNum w:abstractNumId="27">
    <w:nsid w:val="614FD4A1"/>
    <w:multiLevelType w:val="hybridMultilevel"/>
    <w:lvl w:ilvl="0">
      <w:lvlJc w:val="left"/>
      <w:lvlText w:val="(%1)"/>
      <w:numFmt w:val="lowerRoman"/>
      <w:start w:val="4"/>
    </w:lvl>
  </w:abstractNum>
  <w:abstractNum w:abstractNumId="28">
    <w:nsid w:val="419AC241"/>
    <w:multiLevelType w:val="hybridMultilevel"/>
    <w:lvl w:ilvl="0">
      <w:lvlJc w:val="left"/>
      <w:lvlText w:val="(%1)"/>
      <w:numFmt w:val="lowerRoman"/>
      <w:start w:val="7"/>
    </w:lvl>
  </w:abstractNum>
  <w:abstractNum w:abstractNumId="29">
    <w:nsid w:val="5577F8E1"/>
    <w:multiLevelType w:val="hybridMultilevel"/>
    <w:lvl w:ilvl="0">
      <w:lvlJc w:val="left"/>
      <w:lvlText w:val="(%1)"/>
      <w:numFmt w:val="decimal"/>
      <w:start w:val="2"/>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1)"/>
      <w:numFmt w:val="lowerRoman"/>
      <w:start w:val="5"/>
    </w:lvl>
  </w:abstractNum>
  <w:abstractNum w:abstractNumId="33">
    <w:nsid w:val="77465F01"/>
    <w:multiLevelType w:val="hybridMultilevel"/>
    <w:lvl w:ilvl="0">
      <w:lvlJc w:val="left"/>
      <w:lvlText w:val="(%1)"/>
      <w:numFmt w:val="decimal"/>
      <w:start w:val="1"/>
    </w:lvl>
  </w:abstractNum>
  <w:abstractNum w:abstractNumId="34">
    <w:nsid w:val="7724C67E"/>
    <w:multiLevelType w:val="hybridMultilevel"/>
    <w:lvl w:ilvl="0">
      <w:lvlJc w:val="left"/>
      <w:lvlText w:val="%1)"/>
      <w:numFmt w:val="lowerLetter"/>
      <w:start w:val="1"/>
    </w:lvl>
  </w:abstractNum>
  <w:abstractNum w:abstractNumId="35">
    <w:nsid w:val="5C482A97"/>
    <w:multiLevelType w:val="hybridMultilevel"/>
    <w:lvl w:ilvl="0">
      <w:lvlJc w:val="left"/>
      <w:lvlText w:val="%1)"/>
      <w:numFmt w:val="lowerLetter"/>
      <w:start w:val="2"/>
    </w:lvl>
  </w:abstractNum>
  <w:abstractNum w:abstractNumId="36">
    <w:nsid w:val="2463B9EA"/>
    <w:multiLevelType w:val="hybridMultilevel"/>
    <w:lvl w:ilvl="0">
      <w:lvlJc w:val="left"/>
      <w:lvlText w:val="%1"/>
      <w:numFmt w:val="decimal"/>
      <w:start w:val="101"/>
    </w:lvl>
  </w:abstractNum>
  <w:abstractNum w:abstractNumId="37">
    <w:nsid w:val="5E884ADC"/>
    <w:multiLevelType w:val="hybridMultilevel"/>
    <w:lvl w:ilvl="0">
      <w:lvlJc w:val="left"/>
      <w:lvlText w:val="%1"/>
      <w:numFmt w:val="decimal"/>
      <w:start w:val="104"/>
    </w:lvl>
  </w:abstractNum>
  <w:abstractNum w:abstractNumId="38">
    <w:nsid w:val="51EAD36B"/>
    <w:multiLevelType w:val="hybridMultilevel"/>
    <w:lvl w:ilvl="0">
      <w:lvlJc w:val="left"/>
      <w:lvlText w:val="%1."/>
      <w:numFmt w:val="decimal"/>
      <w:start w:val="1"/>
    </w:lvl>
    <w:lvl w:ilvl="1">
      <w:lvlJc w:val="left"/>
      <w:lvlText w:val="(%2)"/>
      <w:numFmt w:val="lowerLetter"/>
      <w:start w:val="1"/>
    </w:lvl>
  </w:abstractNum>
  <w:abstractNum w:abstractNumId="39">
    <w:nsid w:val="2D51779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77" Type="http://schemas.openxmlformats.org/officeDocument/2006/relationships/hyperlink" Target="https://www.sec.gov/Archives/edgar/data/1090425/000119312514417756/d823054dex31.htm" TargetMode="External"/><Relationship Id="rId78" Type="http://schemas.openxmlformats.org/officeDocument/2006/relationships/hyperlink" Target="https://www.sec.gov/Archives/edgar/data/1090425/000119312514417756/d823054dex32.htm" TargetMode="External"/><Relationship Id="rId79" Type="http://schemas.openxmlformats.org/officeDocument/2006/relationships/hyperlink" Target="https://www.sec.gov/Archives/edgar/data/899045/000095013407011105/d46520exv3w2.htm" TargetMode="External"/><Relationship Id="rId80" Type="http://schemas.openxmlformats.org/officeDocument/2006/relationships/hyperlink" Target="https://www.sec.gov/Archives/edgar/data/1090425/000119312514417756/d823054dex33.htm" TargetMode="External"/><Relationship Id="rId81" Type="http://schemas.openxmlformats.org/officeDocument/2006/relationships/hyperlink" Target="https://www.sec.gov/Archives/edgar/data/899045/000095013499009877/0000950134-99-009877.txt" TargetMode="External"/><Relationship Id="rId82" Type="http://schemas.openxmlformats.org/officeDocument/2006/relationships/hyperlink" Target="https://www.sec.gov/Archives/edgar/data/899045/000119312522189555/d349853dex101.htm" TargetMode="External"/><Relationship Id="rId83" Type="http://schemas.openxmlformats.org/officeDocument/2006/relationships/hyperlink" Target="https://www.sec.gov/Archives/edgar/data/899045/000119312522189555/d349853dex102.htm" TargetMode="External"/><Relationship Id="rId84" Type="http://schemas.openxmlformats.org/officeDocument/2006/relationships/hyperlink" Target="https://www.sec.gov/Archives/edgar/data/899045/000119312522210548/d380331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2022-11-04T11:20:03Z</dcterms:created>
  <dcterms:modified xsi:type="dcterms:W3CDTF">2022-11-04T11:20:03Z</dcterms:modified>
</cp:coreProperties>
</file>