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8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2025</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ind w:left="360" w:hanging="334"/>
        <w:spacing w:after="0" w:line="195" w:lineRule="auto"/>
        <w:tabs>
          <w:tab w:leader="none" w:pos="360" w:val="left"/>
        </w:tabs>
        <w:numPr>
          <w:ilvl w:val="0"/>
          <w:numId w:val="2"/>
        </w:numPr>
        <w:rPr>
          <w:rFonts w:ascii="MS PGothic" w:cs="MS PGothic" w:eastAsia="MS PGothic" w:hAnsi="MS PGothic"/>
          <w:sz w:val="25"/>
          <w:szCs w:val="25"/>
          <w:color w:val="auto"/>
          <w:vertAlign w:val="subscript"/>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5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For the transition period from______to______</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 xml:space="preserve">Commission File Number </w:t>
      </w:r>
      <w:r>
        <w:rPr>
          <w:rFonts w:ascii="Times New Roman" w:cs="Times New Roman" w:eastAsia="Times New Roman" w:hAnsi="Times New Roman"/>
          <w:sz w:val="13"/>
          <w:szCs w:val="13"/>
          <w:b w:val="1"/>
          <w:bCs w:val="1"/>
          <w:i w:val="1"/>
          <w:iCs w:val="1"/>
          <w:color w:val="auto"/>
        </w:rPr>
        <w:t>1-36756</w:t>
      </w:r>
    </w:p>
    <w:p>
      <w:pPr>
        <w:spacing w:after="0" w:line="9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Lamar Advertising Company</w:t>
      </w:r>
    </w:p>
    <w:p>
      <w:pPr>
        <w:spacing w:after="0" w:line="9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1-12407</w:t>
      </w:r>
    </w:p>
    <w:p>
      <w:pPr>
        <w:spacing w:after="0" w:line="9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Lamar Media Corp.</w:t>
      </w:r>
    </w:p>
    <w:p>
      <w:pPr>
        <w:spacing w:after="0" w:line="96"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3960" w:type="dxa"/>
            <w:vAlign w:val="bottom"/>
          </w:tcPr>
          <w:p>
            <w:pPr>
              <w:spacing w:after="0"/>
              <w:rPr>
                <w:sz w:val="14"/>
                <w:szCs w:val="14"/>
                <w:color w:val="auto"/>
              </w:rPr>
            </w:pPr>
          </w:p>
        </w:tc>
        <w:tc>
          <w:tcPr>
            <w:tcW w:w="35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(Exact names of registrants as specified in their charters)</w:t>
            </w:r>
          </w:p>
        </w:tc>
        <w:tc>
          <w:tcPr>
            <w:tcW w:w="3560" w:type="dxa"/>
            <w:vAlign w:val="bottom"/>
          </w:tcPr>
          <w:p>
            <w:pPr>
              <w:spacing w:after="0"/>
              <w:rPr>
                <w:sz w:val="14"/>
                <w:szCs w:val="14"/>
                <w:color w:val="auto"/>
              </w:rPr>
            </w:pPr>
          </w:p>
        </w:tc>
      </w:tr>
      <w:tr>
        <w:trPr>
          <w:trHeight w:val="243"/>
        </w:trPr>
        <w:tc>
          <w:tcPr>
            <w:tcW w:w="3960" w:type="dxa"/>
            <w:vAlign w:val="bottom"/>
          </w:tcPr>
          <w:p>
            <w:pPr>
              <w:spacing w:after="0"/>
              <w:rPr>
                <w:sz w:val="21"/>
                <w:szCs w:val="21"/>
                <w:color w:val="auto"/>
              </w:rPr>
            </w:pPr>
          </w:p>
        </w:tc>
        <w:tc>
          <w:tcPr>
            <w:tcW w:w="2700" w:type="dxa"/>
            <w:vAlign w:val="bottom"/>
            <w:gridSpan w:val="2"/>
          </w:tcPr>
          <w:p>
            <w:pPr>
              <w:jc w:val="center"/>
              <w:ind w:left="577"/>
              <w:spacing w:after="0"/>
              <w:rPr>
                <w:sz w:val="20"/>
                <w:szCs w:val="20"/>
                <w:color w:val="auto"/>
              </w:rPr>
            </w:pPr>
            <w:r>
              <w:rPr>
                <w:rFonts w:ascii="Times New Roman" w:cs="Times New Roman" w:eastAsia="Times New Roman" w:hAnsi="Times New Roman"/>
                <w:sz w:val="13"/>
                <w:szCs w:val="13"/>
                <w:b w:val="1"/>
                <w:bCs w:val="1"/>
                <w:color w:val="auto"/>
                <w:w w:val="97"/>
              </w:rPr>
              <w:t>________________________________</w:t>
            </w:r>
          </w:p>
        </w:tc>
        <w:tc>
          <w:tcPr>
            <w:tcW w:w="82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297"/>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60" w:type="dxa"/>
            <w:vAlign w:val="bottom"/>
          </w:tcPr>
          <w:p>
            <w:pPr>
              <w:jc w:val="center"/>
              <w:ind w:right="1517"/>
              <w:spacing w:after="0"/>
              <w:rPr>
                <w:sz w:val="20"/>
                <w:szCs w:val="20"/>
                <w:color w:val="auto"/>
              </w:rPr>
            </w:pPr>
            <w:r>
              <w:rPr>
                <w:rFonts w:ascii="Times New Roman" w:cs="Times New Roman" w:eastAsia="Times New Roman" w:hAnsi="Times New Roman"/>
                <w:sz w:val="13"/>
                <w:szCs w:val="13"/>
                <w:b w:val="1"/>
                <w:bCs w:val="1"/>
                <w:color w:val="auto"/>
                <w:w w:val="98"/>
              </w:rPr>
              <w:t>47-0961620</w:t>
            </w:r>
          </w:p>
        </w:tc>
      </w:tr>
      <w:tr>
        <w:trPr>
          <w:trHeight w:val="203"/>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60" w:type="dxa"/>
            <w:vAlign w:val="bottom"/>
          </w:tcPr>
          <w:p>
            <w:pPr>
              <w:jc w:val="center"/>
              <w:ind w:right="1517"/>
              <w:spacing w:after="0"/>
              <w:rPr>
                <w:sz w:val="20"/>
                <w:szCs w:val="20"/>
                <w:color w:val="auto"/>
              </w:rPr>
            </w:pPr>
            <w:r>
              <w:rPr>
                <w:rFonts w:ascii="Times New Roman" w:cs="Times New Roman" w:eastAsia="Times New Roman" w:hAnsi="Times New Roman"/>
                <w:sz w:val="13"/>
                <w:szCs w:val="13"/>
                <w:b w:val="1"/>
                <w:bCs w:val="1"/>
                <w:color w:val="auto"/>
                <w:w w:val="98"/>
              </w:rPr>
              <w:t>72-1205791</w:t>
            </w:r>
          </w:p>
        </w:tc>
      </w:tr>
      <w:tr>
        <w:trPr>
          <w:trHeight w:val="203"/>
        </w:trPr>
        <w:tc>
          <w:tcPr>
            <w:tcW w:w="7480" w:type="dxa"/>
            <w:vAlign w:val="bottom"/>
            <w:gridSpan w:val="4"/>
          </w:tcPr>
          <w:p>
            <w:pPr>
              <w:jc w:val="center"/>
              <w:ind w:right="1960"/>
              <w:spacing w:after="0"/>
              <w:rPr>
                <w:sz w:val="20"/>
                <w:szCs w:val="20"/>
                <w:color w:val="auto"/>
              </w:rPr>
            </w:pPr>
            <w:r>
              <w:rPr>
                <w:rFonts w:ascii="Times New Roman" w:cs="Times New Roman" w:eastAsia="Times New Roman" w:hAnsi="Times New Roman"/>
                <w:sz w:val="13"/>
                <w:szCs w:val="13"/>
                <w:b w:val="1"/>
                <w:bCs w:val="1"/>
                <w:i w:val="1"/>
                <w:iCs w:val="1"/>
                <w:color w:val="auto"/>
                <w:w w:val="96"/>
              </w:rPr>
              <w:t>(State or other jurisdiction of incorporation or organization)</w:t>
            </w:r>
          </w:p>
        </w:tc>
        <w:tc>
          <w:tcPr>
            <w:tcW w:w="3560" w:type="dxa"/>
            <w:vAlign w:val="bottom"/>
          </w:tcPr>
          <w:p>
            <w:pPr>
              <w:jc w:val="center"/>
              <w:ind w:right="1537"/>
              <w:spacing w:after="0"/>
              <w:rPr>
                <w:sz w:val="20"/>
                <w:szCs w:val="20"/>
                <w:color w:val="auto"/>
              </w:rPr>
            </w:pPr>
            <w:r>
              <w:rPr>
                <w:rFonts w:ascii="Times New Roman" w:cs="Times New Roman" w:eastAsia="Times New Roman" w:hAnsi="Times New Roman"/>
                <w:sz w:val="13"/>
                <w:szCs w:val="13"/>
                <w:b w:val="1"/>
                <w:bCs w:val="1"/>
                <w:i w:val="1"/>
                <w:iCs w:val="1"/>
                <w:color w:val="auto"/>
                <w:w w:val="96"/>
              </w:rPr>
              <w:t>(I.R.S Employer Identification No.)</w:t>
            </w:r>
          </w:p>
        </w:tc>
      </w:tr>
      <w:tr>
        <w:trPr>
          <w:trHeight w:val="405"/>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7"/>
              </w:rPr>
              <w:t>5321 Corporate Blvd., Baton Rouge, LA</w:t>
            </w: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60" w:type="dxa"/>
            <w:vAlign w:val="bottom"/>
          </w:tcPr>
          <w:p>
            <w:pPr>
              <w:jc w:val="center"/>
              <w:ind w:right="1537"/>
              <w:spacing w:after="0"/>
              <w:rPr>
                <w:sz w:val="20"/>
                <w:szCs w:val="20"/>
                <w:color w:val="auto"/>
              </w:rPr>
            </w:pPr>
            <w:r>
              <w:rPr>
                <w:rFonts w:ascii="Times New Roman" w:cs="Times New Roman" w:eastAsia="Times New Roman" w:hAnsi="Times New Roman"/>
                <w:sz w:val="13"/>
                <w:szCs w:val="13"/>
                <w:b w:val="1"/>
                <w:bCs w:val="1"/>
                <w:color w:val="auto"/>
                <w:w w:val="98"/>
              </w:rPr>
              <w:t>70808</w:t>
            </w:r>
          </w:p>
        </w:tc>
      </w:tr>
      <w:tr>
        <w:trPr>
          <w:trHeight w:val="203"/>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60" w:type="dxa"/>
            <w:vAlign w:val="bottom"/>
          </w:tcPr>
          <w:p>
            <w:pPr>
              <w:jc w:val="center"/>
              <w:ind w:right="151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51"/>
        </w:trPr>
        <w:tc>
          <w:tcPr>
            <w:tcW w:w="7480" w:type="dxa"/>
            <w:vAlign w:val="bottom"/>
            <w:gridSpan w:val="4"/>
          </w:tcPr>
          <w:p>
            <w:pPr>
              <w:ind w:left="3780"/>
              <w:spacing w:after="0"/>
              <w:rPr>
                <w:sz w:val="20"/>
                <w:szCs w:val="20"/>
                <w:color w:val="auto"/>
              </w:rPr>
            </w:pPr>
            <w:r>
              <w:rPr>
                <w:rFonts w:ascii="Times New Roman" w:cs="Times New Roman" w:eastAsia="Times New Roman" w:hAnsi="Times New Roman"/>
                <w:sz w:val="13"/>
                <w:szCs w:val="13"/>
                <w:b w:val="1"/>
                <w:bCs w:val="1"/>
                <w:color w:val="auto"/>
                <w:w w:val="97"/>
              </w:rPr>
              <w:t>Registrants’ telephone number, including area code: (225) 926-1000</w:t>
            </w:r>
          </w:p>
        </w:tc>
        <w:tc>
          <w:tcPr>
            <w:tcW w:w="3560" w:type="dxa"/>
            <w:vAlign w:val="bottom"/>
          </w:tcPr>
          <w:p>
            <w:pPr>
              <w:spacing w:after="0"/>
              <w:rPr>
                <w:sz w:val="24"/>
                <w:szCs w:val="24"/>
                <w:color w:val="auto"/>
              </w:rPr>
            </w:pPr>
          </w:p>
        </w:tc>
      </w:tr>
      <w:tr>
        <w:trPr>
          <w:trHeight w:val="243"/>
        </w:trPr>
        <w:tc>
          <w:tcPr>
            <w:tcW w:w="3960" w:type="dxa"/>
            <w:vAlign w:val="bottom"/>
          </w:tcPr>
          <w:p>
            <w:pPr>
              <w:spacing w:after="0"/>
              <w:rPr>
                <w:sz w:val="21"/>
                <w:szCs w:val="21"/>
                <w:color w:val="auto"/>
              </w:rPr>
            </w:pPr>
          </w:p>
        </w:tc>
        <w:tc>
          <w:tcPr>
            <w:tcW w:w="35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3560" w:type="dxa"/>
            <w:vAlign w:val="bottom"/>
          </w:tcPr>
          <w:p>
            <w:pPr>
              <w:spacing w:after="0"/>
              <w:rPr>
                <w:sz w:val="21"/>
                <w:szCs w:val="21"/>
                <w:color w:val="auto"/>
              </w:rPr>
            </w:pPr>
          </w:p>
        </w:tc>
      </w:tr>
      <w:tr>
        <w:trPr>
          <w:trHeight w:val="124"/>
        </w:trPr>
        <w:tc>
          <w:tcPr>
            <w:tcW w:w="39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r>
      <w:tr>
        <w:trPr>
          <w:trHeight w:val="167"/>
        </w:trPr>
        <w:tc>
          <w:tcPr>
            <w:tcW w:w="3960" w:type="dxa"/>
            <w:vAlign w:val="bottom"/>
            <w:tcBorders>
              <w:left w:val="single" w:sz="8" w:color="auto"/>
            </w:tcBorders>
          </w:tcPr>
          <w:p>
            <w:pPr>
              <w:jc w:val="center"/>
              <w:ind w:left="337"/>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4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820" w:type="dxa"/>
            <w:vAlign w:val="bottom"/>
          </w:tcPr>
          <w:p>
            <w:pPr>
              <w:spacing w:after="0"/>
              <w:rPr>
                <w:sz w:val="14"/>
                <w:szCs w:val="14"/>
                <w:color w:val="auto"/>
              </w:rPr>
            </w:pPr>
          </w:p>
        </w:tc>
        <w:tc>
          <w:tcPr>
            <w:tcW w:w="3560" w:type="dxa"/>
            <w:vAlign w:val="bottom"/>
            <w:tcBorders>
              <w:right w:val="single" w:sz="8" w:color="auto"/>
            </w:tcBorders>
          </w:tcPr>
          <w:p>
            <w:pPr>
              <w:jc w:val="center"/>
              <w:ind w:right="777"/>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30"/>
        </w:trPr>
        <w:tc>
          <w:tcPr>
            <w:tcW w:w="396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166"/>
        </w:trPr>
        <w:tc>
          <w:tcPr>
            <w:tcW w:w="3960" w:type="dxa"/>
            <w:vAlign w:val="bottom"/>
            <w:tcBorders>
              <w:left w:val="single" w:sz="8" w:color="auto"/>
            </w:tcBorders>
          </w:tcPr>
          <w:p>
            <w:pPr>
              <w:jc w:val="center"/>
              <w:ind w:left="337"/>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4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LAMR</w:t>
            </w:r>
          </w:p>
        </w:tc>
        <w:tc>
          <w:tcPr>
            <w:tcW w:w="820" w:type="dxa"/>
            <w:vAlign w:val="bottom"/>
          </w:tcPr>
          <w:p>
            <w:pPr>
              <w:spacing w:after="0"/>
              <w:rPr>
                <w:sz w:val="14"/>
                <w:szCs w:val="14"/>
                <w:color w:val="auto"/>
              </w:rPr>
            </w:pPr>
          </w:p>
        </w:tc>
        <w:tc>
          <w:tcPr>
            <w:tcW w:w="3560" w:type="dxa"/>
            <w:vAlign w:val="bottom"/>
            <w:tcBorders>
              <w:right w:val="single" w:sz="8" w:color="auto"/>
            </w:tcBorders>
          </w:tcPr>
          <w:p>
            <w:pPr>
              <w:jc w:val="center"/>
              <w:ind w:right="777"/>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30"/>
        </w:trPr>
        <w:tc>
          <w:tcPr>
            <w:tcW w:w="396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bl>
    <w:p>
      <w:pPr>
        <w:spacing w:after="0" w:line="162"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60"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1"/>
          <w:szCs w:val="11"/>
          <w:color w:val="auto"/>
        </w:rPr>
        <w:t>☐</w:t>
      </w:r>
    </w:p>
    <w:p>
      <w:pPr>
        <w:spacing w:after="0" w:line="6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1"/>
          <w:szCs w:val="11"/>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3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ind w:left="2580"/>
              <w:spacing w:after="0"/>
              <w:rPr>
                <w:sz w:val="20"/>
                <w:szCs w:val="20"/>
                <w:color w:val="auto"/>
              </w:rPr>
            </w:pPr>
            <w:r>
              <w:rPr>
                <w:rFonts w:ascii="Times New Roman" w:cs="Times New Roman" w:eastAsia="Times New Roman" w:hAnsi="Times New Roman"/>
                <w:sz w:val="11"/>
                <w:szCs w:val="11"/>
                <w:color w:val="auto"/>
              </w:rPr>
              <w:t>Accelerated filer</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3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ind w:left="25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3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81"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60"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1"/>
          <w:szCs w:val="11"/>
          <w:color w:val="auto"/>
        </w:rPr>
        <w: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50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580" w:type="dxa"/>
            <w:vAlign w:val="bottom"/>
          </w:tcPr>
          <w:p>
            <w:pPr>
              <w:ind w:left="2760"/>
              <w:spacing w:after="0"/>
              <w:rPr>
                <w:sz w:val="20"/>
                <w:szCs w:val="20"/>
                <w:color w:val="auto"/>
              </w:rPr>
            </w:pPr>
            <w:r>
              <w:rPr>
                <w:rFonts w:ascii="Times New Roman" w:cs="Times New Roman" w:eastAsia="Times New Roman" w:hAnsi="Times New Roman"/>
                <w:sz w:val="11"/>
                <w:szCs w:val="11"/>
                <w:color w:val="auto"/>
              </w:rPr>
              <w:t>Accelerated filer</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50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580" w:type="dxa"/>
            <w:vAlign w:val="bottom"/>
          </w:tcPr>
          <w:p>
            <w:pPr>
              <w:ind w:left="27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50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58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181" w:lineRule="exact"/>
        <w:rPr>
          <w:sz w:val="24"/>
          <w:szCs w:val="24"/>
          <w:color w:val="auto"/>
        </w:rPr>
      </w:pPr>
    </w:p>
    <w:p>
      <w:pPr>
        <w:ind w:right="20"/>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ectPr>
          <w:pgSz w:w="11900" w:h="16838" w:orient="portrait"/>
          <w:cols w:equalWidth="0" w:num="1">
            <w:col w:w="11240"/>
          </w:cols>
          <w:pgMar w:left="320" w:top="229" w:right="339" w:bottom="1440" w:gutter="0" w:footer="0" w:header="0"/>
        </w:sectPr>
      </w:pP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Yes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89" w:lineRule="exact"/>
        <w:rPr>
          <w:sz w:val="24"/>
          <w:szCs w:val="24"/>
          <w:color w:val="auto"/>
        </w:rPr>
      </w:pPr>
    </w:p>
    <w:p>
      <w:pPr>
        <w:sectPr>
          <w:pgSz w:w="11900" w:h="16838" w:orient="portrait"/>
          <w:cols w:equalWidth="0" w:num="4">
            <w:col w:w="5620" w:space="100"/>
            <w:col w:w="160" w:space="60"/>
            <w:col w:w="180" w:space="100"/>
            <w:col w:w="5020"/>
          </w:cols>
          <w:pgMar w:left="320" w:top="229" w:right="33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No</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53" w:lineRule="exact"/>
        <w:rPr>
          <w:sz w:val="24"/>
          <w:szCs w:val="24"/>
          <w:color w:val="auto"/>
        </w:rPr>
      </w:pPr>
    </w:p>
    <w:p>
      <w:pPr>
        <w:sectPr>
          <w:pgSz w:w="11900" w:h="16838" w:orient="portrait"/>
          <w:cols w:equalWidth="0" w:num="5">
            <w:col w:w="5200" w:space="100"/>
            <w:col w:w="160" w:space="60"/>
            <w:col w:w="200" w:space="100"/>
            <w:col w:w="120" w:space="60"/>
            <w:col w:w="524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The number of shares of Lamar Advertising Company’s Class A common stock outstanding as of May 1, 2025: 87,969,955</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the Lamar Advertising Company’s Class B common stock outstanding as of May 1, 2025: 14,420,085</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Lamar Media Corp. common stock outstanding as of May 1, 2025: 100</w:t>
      </w:r>
    </w:p>
    <w:p>
      <w:pPr>
        <w:spacing w:after="0" w:line="88"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1"/>
          <w:szCs w:val="11"/>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247" w:lineRule="exact"/>
        <w:rPr>
          <w:sz w:val="20"/>
          <w:szCs w:val="20"/>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condition;</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objectives, prospects, growth and operating strategies;</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expenditures and level of acquisition activity;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assets and realize operating efficiency from acquisitions;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opportunities and competitive positions;</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flows and expected cash requirements;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risks;</w:t>
      </w:r>
    </w:p>
    <w:p>
      <w:pPr>
        <w:spacing w:after="0" w:line="103" w:lineRule="exact"/>
        <w:rPr>
          <w:rFonts w:ascii="Times New Roman" w:cs="Times New Roman" w:eastAsia="Times New Roman" w:hAnsi="Times New Roman"/>
          <w:sz w:val="18"/>
          <w:szCs w:val="18"/>
          <w:color w:val="auto"/>
        </w:rPr>
      </w:pPr>
    </w:p>
    <w:p>
      <w:pPr>
        <w:ind w:left="1140" w:right="20" w:hanging="565"/>
        <w:spacing w:after="0" w:line="35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dividend distributions; and</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qualified as a Real Estate Investment Trust (“REIT”).</w:t>
      </w:r>
    </w:p>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247" w:lineRule="exact"/>
        <w:rPr>
          <w:sz w:val="20"/>
          <w:szCs w:val="20"/>
          <w:color w:val="auto"/>
        </w:rPr>
      </w:pPr>
    </w:p>
    <w:p>
      <w:pPr>
        <w:ind w:left="1140" w:hanging="565"/>
        <w:spacing w:after="0" w:line="35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economy and financial markets generally and their effects on the markets in which we operate and the broader demand for advertising including economic changes that may result from new or increased tariffs, trade restrictions or geopolitical tensions;</w:t>
      </w: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expenditures on advertising in general and outdoor advertising in particular;</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relating to our significant indebtedness;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outdoor advertising and its continued popularity as an advertising medium;</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obtain, additional funding for acquisitions, operations and debt refinancing;</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the outdoor advertising industry;</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outdoor advertising industry by federal, state and local governments;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expiring contracts at favorable rates;</w:t>
      </w:r>
    </w:p>
    <w:p>
      <w:pPr>
        <w:spacing w:after="0" w:line="103" w:lineRule="exact"/>
        <w:rPr>
          <w:rFonts w:ascii="Times New Roman" w:cs="Times New Roman" w:eastAsia="Times New Roman" w:hAnsi="Times New Roman"/>
          <w:sz w:val="18"/>
          <w:szCs w:val="18"/>
          <w:color w:val="auto"/>
        </w:rPr>
      </w:pPr>
    </w:p>
    <w:p>
      <w:pPr>
        <w:ind w:left="1140" w:hanging="565"/>
        <w:spacing w:after="0" w:line="35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businesses and assets that we acquire and our ability to recognize cost savings and operating efficiencies as a result of these acquisitions;</w:t>
      </w: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digital deployment strategy;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Class A common stock;</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mitigate the threat of and damages caused by hurricanes and other kinds of severe weather;</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 and</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applicable to REITs or in the interpretation of those laws.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Company and Lamar Media Corp. expressly disclaim any obligation or undertaking to update or revise any forward-looking statement contained in this report, except as required by law.</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a further description of these and other risks and uncertainties, the Company encourages you to read carefully Item 1A to the combined Annual Report on Form 10-K for the year ended December 31, 2024 of the Company and Lamar Media (the “2024 Combined Form 10-K”), filed on February 20, 2025,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4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0440" w:type="dxa"/>
            <w:vAlign w:val="bottom"/>
            <w:gridSpan w:val="19"/>
            <w:vMerge w:val="continue"/>
          </w:tcPr>
          <w:p>
            <w:pPr>
              <w:spacing w:after="0"/>
              <w:rPr>
                <w:sz w:val="15"/>
                <w:szCs w:val="15"/>
                <w:color w:val="auto"/>
              </w:rPr>
            </w:pP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66"/>
        </w:trPr>
        <w:tc>
          <w:tcPr>
            <w:tcW w:w="30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38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93"/>
        </w:trPr>
        <w:tc>
          <w:tcPr>
            <w:tcW w:w="28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Lamar Advertising Company</w:t>
            </w:r>
          </w:p>
        </w:tc>
        <w:tc>
          <w:tcPr>
            <w:tcW w:w="762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93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for the three months ended March 31, 2025 and 2024</w:t>
            </w:r>
          </w:p>
        </w:tc>
        <w:tc>
          <w:tcPr>
            <w:tcW w:w="6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82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2025 and 2024</w:t>
            </w:r>
          </w:p>
        </w:tc>
        <w:tc>
          <w:tcPr>
            <w:tcW w:w="1720" w:type="dxa"/>
            <w:vAlign w:val="bottom"/>
            <w:gridSpan w:val="3"/>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75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2025 and 2024</w:t>
            </w:r>
          </w:p>
        </w:tc>
        <w:tc>
          <w:tcPr>
            <w:tcW w:w="2400" w:type="dxa"/>
            <w:vAlign w:val="bottom"/>
            <w:gridSpan w:val="5"/>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4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Lamar Media Corp.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9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for the three months ended March 31, 2025 and 2024</w:t>
            </w:r>
          </w:p>
        </w:tc>
        <w:tc>
          <w:tcPr>
            <w:tcW w:w="640" w:type="dxa"/>
            <w:vAlign w:val="bottom"/>
            <w:gridSpan w:val="2"/>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2025 and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75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2025 and 2024</w:t>
            </w:r>
          </w:p>
        </w:tc>
        <w:tc>
          <w:tcPr>
            <w:tcW w:w="640" w:type="dxa"/>
            <w:vAlign w:val="bottom"/>
            <w:tcBorders>
              <w:top w:val="single" w:sz="8" w:color="0000FF"/>
            </w:tcBorders>
          </w:tcPr>
          <w:p>
            <w:pPr>
              <w:spacing w:after="0"/>
              <w:rPr>
                <w:sz w:val="21"/>
                <w:szCs w:val="21"/>
                <w:color w:val="auto"/>
              </w:rPr>
            </w:pPr>
          </w:p>
        </w:tc>
        <w:tc>
          <w:tcPr>
            <w:tcW w:w="1760" w:type="dxa"/>
            <w:vAlign w:val="bottom"/>
            <w:gridSpan w:val="4"/>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358"/>
        </w:trPr>
        <w:tc>
          <w:tcPr>
            <w:tcW w:w="50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320" w:type="dxa"/>
            <w:vAlign w:val="bottom"/>
            <w:gridSpan w:val="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398"/>
        </w:trPr>
        <w:tc>
          <w:tcPr>
            <w:tcW w:w="2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800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399"/>
        </w:trPr>
        <w:tc>
          <w:tcPr>
            <w:tcW w:w="2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68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98"/>
        </w:trPr>
        <w:tc>
          <w:tcPr>
            <w:tcW w:w="10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42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99"/>
        </w:trPr>
        <w:tc>
          <w:tcPr>
            <w:tcW w:w="10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98"/>
        </w:trPr>
        <w:tc>
          <w:tcPr>
            <w:tcW w:w="12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tcBorders>
              <w:top w:val="single" w:sz="8" w:color="0000FF"/>
            </w:tcBorders>
            <w:gridSpan w:val="2"/>
          </w:tcPr>
          <w:p>
            <w:pPr>
              <w:spacing w:after="0"/>
              <w:rPr>
                <w:sz w:val="24"/>
                <w:szCs w:val="24"/>
                <w:color w:val="auto"/>
              </w:rPr>
            </w:pPr>
          </w:p>
        </w:tc>
        <w:tc>
          <w:tcPr>
            <w:tcW w:w="846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220" w:type="dxa"/>
            <w:vAlign w:val="bottom"/>
          </w:tcPr>
          <w:p>
            <w:pPr>
              <w:spacing w:after="0"/>
              <w:rPr>
                <w:sz w:val="11"/>
                <w:szCs w:val="11"/>
                <w:color w:val="auto"/>
              </w:rPr>
            </w:pPr>
          </w:p>
        </w:tc>
        <w:tc>
          <w:tcPr>
            <w:tcW w:w="1100" w:type="dxa"/>
            <w:vAlign w:val="bottom"/>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4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489"/>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8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39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49,461</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Receivables, net of allowance for doubtful accounts of $11,879 and $12,404 in 2025 and 2024, respectively</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308,135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334,798</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61,063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41,009</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405,315</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425,268</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4,599,455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4,574,894</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(3,004,117)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(2,974,085)</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1,595,338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1,600,809</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 of use assets</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1,403,224</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1,355,231</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right of use assets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8,331</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2,035,085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2,035,082</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1,046,628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1,062,601</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53,967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99,227</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6,547,175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6,586,549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Trade accounts payable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25,756</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21,586</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maturities of long-term debt, net of deferred financing costs of $557 and $611 in 2025 and 2024, respectively</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223,366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249,806</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218,108</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financing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133,943</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income</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162,253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153,700</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717,291</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778,474</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deferred financing costs of $21,440 and $22,826 in 2025 and 2024,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2,964,419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2,961,058</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1,155,498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1,114,407</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13,283</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8,006</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615,696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614,713</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48,588</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5,515,605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5,538,529</w:t>
            </w:r>
          </w:p>
        </w:tc>
        <w:tc>
          <w:tcPr>
            <w:tcW w:w="0" w:type="dxa"/>
            <w:vAlign w:val="bottom"/>
          </w:tcPr>
          <w:p>
            <w:pPr>
              <w:spacing w:after="0"/>
              <w:rPr>
                <w:sz w:val="1"/>
                <w:szCs w:val="1"/>
                <w:color w:val="auto"/>
              </w:rPr>
            </w:pPr>
          </w:p>
        </w:tc>
      </w:tr>
      <w:tr>
        <w:trPr>
          <w:trHeight w:val="17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AA preferred stock, par value $0.001, $63.80 cumulative dividends, 5,720 shares authorized; 5,720 shares issued and outstanding at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2025 and 2024</w:t>
            </w: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Class A common stock, par value $0.001, 362,500,000 shares authorized; 89,085,085 and 88,867,481 shares issued at 2025 and 2024,</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respectively; 87,969,955 and 87,976,923 outstanding at 2025 and 2024, respectively</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Class B common stock, par value $0.001, 37,500,000 shares authorized, 14,420,085 shares issued and outstanding at 2025 and 2024</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2"/>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2,189,187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2,159,292</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Accumulated comprehensive loss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0" w:type="dxa"/>
            <w:vAlign w:val="bottom"/>
          </w:tcPr>
          <w:p>
            <w:pPr>
              <w:spacing w:after="0"/>
              <w:rPr>
                <w:sz w:val="1"/>
                <w:szCs w:val="1"/>
                <w:color w:val="auto"/>
              </w:rPr>
            </w:pPr>
          </w:p>
        </w:tc>
      </w:tr>
      <w:tr>
        <w:trPr>
          <w:trHeight w:val="192"/>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(1,056,985)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(1,036,582)</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Cost of shares held in treasury, 1,115,130 and 890,558 shares at 2025 and 2024, respectively</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(99,056)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(72,688)</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1,031,570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1,048,020</w:t>
            </w:r>
          </w:p>
        </w:tc>
        <w:tc>
          <w:tcPr>
            <w:tcW w:w="0" w:type="dxa"/>
            <w:vAlign w:val="bottom"/>
          </w:tcPr>
          <w:p>
            <w:pPr>
              <w:spacing w:after="0"/>
              <w:rPr>
                <w:sz w:val="1"/>
                <w:szCs w:val="1"/>
                <w:color w:val="auto"/>
              </w:rPr>
            </w:pPr>
          </w:p>
        </w:tc>
      </w:tr>
      <w:tr>
        <w:trPr>
          <w:trHeight w:val="218"/>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6,547,175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6,586,549</w:t>
            </w:r>
          </w:p>
        </w:tc>
        <w:tc>
          <w:tcPr>
            <w:tcW w:w="0" w:type="dxa"/>
            <w:vAlign w:val="bottom"/>
          </w:tcPr>
          <w:p>
            <w:pPr>
              <w:spacing w:after="0"/>
              <w:rPr>
                <w:sz w:val="1"/>
                <w:szCs w:val="1"/>
                <w:color w:val="auto"/>
              </w:rPr>
            </w:pPr>
          </w:p>
        </w:tc>
      </w:tr>
      <w:tr>
        <w:trPr>
          <w:trHeight w:val="25"/>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2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505,430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498,150</w:t>
            </w: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175,645</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 amortization)</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94,992</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89,161</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35,704</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77,821</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75,228</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7"/>
        </w:trPr>
        <w:tc>
          <w:tcPr>
            <w:tcW w:w="84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314,197</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373,550</w:t>
            </w:r>
          </w:p>
        </w:tc>
      </w:tr>
      <w:tr>
        <w:trPr>
          <w:trHeight w:val="237"/>
        </w:trPr>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191,233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124,600</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44,487</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(earnings) loss of investee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44,579</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153,773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80,021</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78,499</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138,755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78,224</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and paid on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6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138,664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78,133</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70"/>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 of common stock</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computing earnings per share:</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102,437,911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102,115,159</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102,797,307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102,447,333</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78,499</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138,908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78,107</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6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138,434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77,832</w:t>
            </w: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4"/>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9"/>
              </w:rPr>
              <w:t>Series AA</w:t>
            </w:r>
          </w:p>
        </w:tc>
        <w:tc>
          <w:tcPr>
            <w:tcW w:w="160" w:type="dxa"/>
            <w:vAlign w:val="bottom"/>
          </w:tcPr>
          <w:p>
            <w:pPr>
              <w:spacing w:after="0"/>
              <w:rPr>
                <w:sz w:val="9"/>
                <w:szCs w:val="9"/>
                <w:color w:val="auto"/>
              </w:rPr>
            </w:pPr>
          </w:p>
        </w:tc>
        <w:tc>
          <w:tcPr>
            <w:tcW w:w="700" w:type="dxa"/>
            <w:vAlign w:val="bottom"/>
            <w:gridSpan w:val="3"/>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5"/>
              </w:rPr>
              <w:t>Class A</w:t>
            </w:r>
          </w:p>
        </w:tc>
        <w:tc>
          <w:tcPr>
            <w:tcW w:w="160" w:type="dxa"/>
            <w:vAlign w:val="bottom"/>
          </w:tcPr>
          <w:p>
            <w:pPr>
              <w:spacing w:after="0"/>
              <w:rPr>
                <w:sz w:val="9"/>
                <w:szCs w:val="9"/>
                <w:color w:val="auto"/>
              </w:rPr>
            </w:pPr>
          </w:p>
        </w:tc>
        <w:tc>
          <w:tcPr>
            <w:tcW w:w="700" w:type="dxa"/>
            <w:vAlign w:val="bottom"/>
            <w:gridSpan w:val="3"/>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7"/>
              </w:rPr>
              <w:t>Class B</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Add’l</w:t>
            </w:r>
          </w:p>
        </w:tc>
        <w:tc>
          <w:tcPr>
            <w:tcW w:w="100" w:type="dxa"/>
            <w:vAlign w:val="bottom"/>
          </w:tcPr>
          <w:p>
            <w:pPr>
              <w:spacing w:after="0"/>
              <w:rPr>
                <w:sz w:val="9"/>
                <w:szCs w:val="9"/>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4"/>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PREF</w:t>
            </w:r>
          </w:p>
        </w:tc>
        <w:tc>
          <w:tcPr>
            <w:tcW w:w="160" w:type="dxa"/>
            <w:vAlign w:val="bottom"/>
          </w:tcPr>
          <w:p>
            <w:pPr>
              <w:spacing w:after="0"/>
              <w:rPr>
                <w:sz w:val="9"/>
                <w:szCs w:val="9"/>
                <w:color w:val="auto"/>
              </w:rPr>
            </w:pPr>
          </w:p>
        </w:tc>
        <w:tc>
          <w:tcPr>
            <w:tcW w:w="700" w:type="dxa"/>
            <w:vAlign w:val="bottom"/>
            <w:gridSpan w:val="3"/>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2"/>
              </w:rPr>
              <w:t>CMN</w:t>
            </w:r>
          </w:p>
        </w:tc>
        <w:tc>
          <w:tcPr>
            <w:tcW w:w="160" w:type="dxa"/>
            <w:vAlign w:val="bottom"/>
          </w:tcPr>
          <w:p>
            <w:pPr>
              <w:spacing w:after="0"/>
              <w:rPr>
                <w:sz w:val="9"/>
                <w:szCs w:val="9"/>
                <w:color w:val="auto"/>
              </w:rPr>
            </w:pPr>
          </w:p>
        </w:tc>
        <w:tc>
          <w:tcPr>
            <w:tcW w:w="700" w:type="dxa"/>
            <w:vAlign w:val="bottom"/>
            <w:gridSpan w:val="3"/>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CMN</w:t>
            </w:r>
          </w:p>
        </w:tc>
        <w:tc>
          <w:tcPr>
            <w:tcW w:w="180" w:type="dxa"/>
            <w:vAlign w:val="bottom"/>
          </w:tcPr>
          <w:p>
            <w:pPr>
              <w:spacing w:after="0"/>
              <w:rPr>
                <w:sz w:val="9"/>
                <w:szCs w:val="9"/>
                <w:color w:val="auto"/>
              </w:rPr>
            </w:pPr>
          </w:p>
        </w:tc>
        <w:tc>
          <w:tcPr>
            <w:tcW w:w="800" w:type="dxa"/>
            <w:vAlign w:val="bottom"/>
            <w:gridSpan w:val="4"/>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Treasury</w:t>
            </w:r>
          </w:p>
        </w:tc>
        <w:tc>
          <w:tcPr>
            <w:tcW w:w="18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5"/>
              </w:rPr>
              <w:t>Paid in</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120" w:type="dxa"/>
            <w:vAlign w:val="bottom"/>
          </w:tcPr>
          <w:p>
            <w:pPr>
              <w:spacing w:after="0"/>
              <w:rPr>
                <w:sz w:val="9"/>
                <w:szCs w:val="9"/>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8"/>
              </w:rPr>
              <w:t>Non-controlling</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18"/>
        </w:trPr>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4"/>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Stock</w:t>
            </w:r>
          </w:p>
        </w:tc>
        <w:tc>
          <w:tcPr>
            <w:tcW w:w="160" w:type="dxa"/>
            <w:vAlign w:val="bottom"/>
          </w:tcPr>
          <w:p>
            <w:pPr>
              <w:spacing w:after="0"/>
              <w:rPr>
                <w:sz w:val="10"/>
                <w:szCs w:val="10"/>
                <w:color w:val="auto"/>
              </w:rPr>
            </w:pPr>
          </w:p>
        </w:tc>
        <w:tc>
          <w:tcPr>
            <w:tcW w:w="700" w:type="dxa"/>
            <w:vAlign w:val="bottom"/>
            <w:gridSpan w:val="3"/>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160" w:type="dxa"/>
            <w:vAlign w:val="bottom"/>
          </w:tcPr>
          <w:p>
            <w:pPr>
              <w:spacing w:after="0"/>
              <w:rPr>
                <w:sz w:val="10"/>
                <w:szCs w:val="10"/>
                <w:color w:val="auto"/>
              </w:rPr>
            </w:pPr>
          </w:p>
        </w:tc>
        <w:tc>
          <w:tcPr>
            <w:tcW w:w="700" w:type="dxa"/>
            <w:vAlign w:val="bottom"/>
            <w:gridSpan w:val="3"/>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Stock</w:t>
            </w:r>
          </w:p>
        </w:tc>
        <w:tc>
          <w:tcPr>
            <w:tcW w:w="180" w:type="dxa"/>
            <w:vAlign w:val="bottom"/>
          </w:tcPr>
          <w:p>
            <w:pPr>
              <w:spacing w:after="0"/>
              <w:rPr>
                <w:sz w:val="10"/>
                <w:szCs w:val="10"/>
                <w:color w:val="auto"/>
              </w:rPr>
            </w:pPr>
          </w:p>
        </w:tc>
        <w:tc>
          <w:tcPr>
            <w:tcW w:w="800" w:type="dxa"/>
            <w:vAlign w:val="bottom"/>
            <w:gridSpan w:val="4"/>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180" w:type="dxa"/>
            <w:vAlign w:val="bottom"/>
          </w:tcPr>
          <w:p>
            <w:pPr>
              <w:spacing w:after="0"/>
              <w:rPr>
                <w:sz w:val="10"/>
                <w:szCs w:val="10"/>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Loss</w:t>
            </w:r>
          </w:p>
        </w:tc>
        <w:tc>
          <w:tcPr>
            <w:tcW w:w="120" w:type="dxa"/>
            <w:vAlign w:val="bottom"/>
          </w:tcPr>
          <w:p>
            <w:pPr>
              <w:spacing w:after="0"/>
              <w:rPr>
                <w:sz w:val="10"/>
                <w:szCs w:val="10"/>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3"/>
              </w:rPr>
              <w:t>Deficit</w:t>
            </w:r>
          </w:p>
        </w:tc>
        <w:tc>
          <w:tcPr>
            <w:tcW w:w="10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6"/>
              </w:rPr>
              <w:t>interest</w:t>
            </w:r>
          </w:p>
        </w:tc>
        <w:tc>
          <w:tcPr>
            <w:tcW w:w="200" w:type="dxa"/>
            <w:vAlign w:val="bottom"/>
          </w:tcPr>
          <w:p>
            <w:pPr>
              <w:spacing w:after="0"/>
              <w:rPr>
                <w:sz w:val="10"/>
                <w:szCs w:val="10"/>
                <w:color w:val="auto"/>
              </w:rPr>
            </w:pPr>
          </w:p>
        </w:tc>
        <w:tc>
          <w:tcPr>
            <w:tcW w:w="680" w:type="dxa"/>
            <w:vAlign w:val="bottom"/>
          </w:tcPr>
          <w:p>
            <w:pPr>
              <w:jc w:val="right"/>
              <w:ind w:right="278"/>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28"/>
        </w:trPr>
        <w:tc>
          <w:tcPr>
            <w:tcW w:w="2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2,159,292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(1,036,582)</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1,048,020</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Non-cash compensation</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4"/>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3,993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3,993</w:t>
            </w:r>
          </w:p>
        </w:tc>
      </w:tr>
      <w:tr>
        <w:trPr>
          <w:trHeight w:val="29"/>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Issuance of 168,450 shares of common stock</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through stock awards</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22,235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22,235</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Exercise of 6,950 shares of stock options</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4"/>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411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w:t>
            </w:r>
          </w:p>
        </w:tc>
      </w:tr>
      <w:tr>
        <w:trPr>
          <w:trHeight w:val="29"/>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7"/>
              </w:rPr>
              <w:t>Issuance of 42,204 shares of common stock through</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4,082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Purchase of 224,572 shares of treasury stock</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(26,368)</w:t>
            </w:r>
          </w:p>
        </w:tc>
      </w:tr>
      <w:tr>
        <w:trPr>
          <w:trHeight w:val="29"/>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4"/>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138,755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139,229</w:t>
            </w:r>
          </w:p>
        </w:tc>
      </w:tr>
      <w:tr>
        <w:trPr>
          <w:trHeight w:val="29"/>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Reallocation of capital</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Dividends ($1.55 per common share) and other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120" w:type="dxa"/>
            <w:vAlign w:val="bottom"/>
          </w:tcPr>
          <w:p>
            <w:pPr>
              <w:spacing w:after="0"/>
              <w:rPr>
                <w:sz w:val="14"/>
                <w:szCs w:val="14"/>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4"/>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(159,067)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(159,620)</w:t>
            </w:r>
          </w:p>
        </w:tc>
      </w:tr>
      <w:tr>
        <w:trPr>
          <w:trHeight w:val="29"/>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4"/>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7"/>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March 31, 2025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4"/>
                <w:szCs w:val="14"/>
                <w:color w:val="auto"/>
              </w:rPr>
            </w:pPr>
          </w:p>
        </w:tc>
        <w:tc>
          <w:tcPr>
            <w:tcW w:w="16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(99,056)</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2,189,187</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(3,275)</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(1,056,985)</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1,596</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1,031,570</w:t>
            </w:r>
          </w:p>
        </w:tc>
      </w:tr>
      <w:tr>
        <w:trPr>
          <w:trHeight w:val="29"/>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711"/>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4"/>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9"/>
              </w:rPr>
              <w:t>Series AA</w:t>
            </w:r>
          </w:p>
        </w:tc>
        <w:tc>
          <w:tcPr>
            <w:tcW w:w="160" w:type="dxa"/>
            <w:vAlign w:val="bottom"/>
          </w:tcPr>
          <w:p>
            <w:pPr>
              <w:spacing w:after="0"/>
              <w:rPr>
                <w:sz w:val="24"/>
                <w:szCs w:val="24"/>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Class A</w:t>
            </w:r>
          </w:p>
        </w:tc>
        <w:tc>
          <w:tcPr>
            <w:tcW w:w="160" w:type="dxa"/>
            <w:vAlign w:val="bottom"/>
          </w:tcPr>
          <w:p>
            <w:pPr>
              <w:spacing w:after="0"/>
              <w:rPr>
                <w:sz w:val="24"/>
                <w:szCs w:val="24"/>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Class B</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Add’l</w:t>
            </w:r>
          </w:p>
        </w:tc>
        <w:tc>
          <w:tcPr>
            <w:tcW w:w="10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08"/>
        </w:trPr>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4"/>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PREF</w:t>
            </w:r>
          </w:p>
        </w:tc>
        <w:tc>
          <w:tcPr>
            <w:tcW w:w="160" w:type="dxa"/>
            <w:vAlign w:val="bottom"/>
          </w:tcPr>
          <w:p>
            <w:pPr>
              <w:spacing w:after="0"/>
              <w:rPr>
                <w:sz w:val="9"/>
                <w:szCs w:val="9"/>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CMN</w:t>
            </w:r>
          </w:p>
        </w:tc>
        <w:tc>
          <w:tcPr>
            <w:tcW w:w="160" w:type="dxa"/>
            <w:vAlign w:val="bottom"/>
          </w:tcPr>
          <w:p>
            <w:pPr>
              <w:spacing w:after="0"/>
              <w:rPr>
                <w:sz w:val="9"/>
                <w:szCs w:val="9"/>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CMN</w:t>
            </w:r>
          </w:p>
        </w:tc>
        <w:tc>
          <w:tcPr>
            <w:tcW w:w="180" w:type="dxa"/>
            <w:vAlign w:val="bottom"/>
          </w:tcPr>
          <w:p>
            <w:pPr>
              <w:spacing w:after="0"/>
              <w:rPr>
                <w:sz w:val="9"/>
                <w:szCs w:val="9"/>
                <w:color w:val="auto"/>
              </w:rPr>
            </w:pPr>
          </w:p>
        </w:tc>
        <w:tc>
          <w:tcPr>
            <w:tcW w:w="800" w:type="dxa"/>
            <w:vAlign w:val="bottom"/>
            <w:gridSpan w:val="4"/>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5"/>
              </w:rPr>
              <w:t>Treasury</w:t>
            </w:r>
          </w:p>
        </w:tc>
        <w:tc>
          <w:tcPr>
            <w:tcW w:w="18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5"/>
              </w:rPr>
              <w:t>Paid in</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120" w:type="dxa"/>
            <w:vAlign w:val="bottom"/>
          </w:tcPr>
          <w:p>
            <w:pPr>
              <w:spacing w:after="0"/>
              <w:rPr>
                <w:sz w:val="9"/>
                <w:szCs w:val="9"/>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8"/>
              </w:rPr>
              <w:t>Non-controlling</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18"/>
        </w:trPr>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4"/>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160" w:type="dxa"/>
            <w:vAlign w:val="bottom"/>
          </w:tcPr>
          <w:p>
            <w:pPr>
              <w:spacing w:after="0"/>
              <w:rPr>
                <w:sz w:val="10"/>
                <w:szCs w:val="10"/>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Stock</w:t>
            </w:r>
          </w:p>
        </w:tc>
        <w:tc>
          <w:tcPr>
            <w:tcW w:w="160" w:type="dxa"/>
            <w:vAlign w:val="bottom"/>
          </w:tcPr>
          <w:p>
            <w:pPr>
              <w:spacing w:after="0"/>
              <w:rPr>
                <w:sz w:val="10"/>
                <w:szCs w:val="10"/>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Stock</w:t>
            </w:r>
          </w:p>
        </w:tc>
        <w:tc>
          <w:tcPr>
            <w:tcW w:w="180" w:type="dxa"/>
            <w:vAlign w:val="bottom"/>
          </w:tcPr>
          <w:p>
            <w:pPr>
              <w:spacing w:after="0"/>
              <w:rPr>
                <w:sz w:val="10"/>
                <w:szCs w:val="10"/>
                <w:color w:val="auto"/>
              </w:rPr>
            </w:pPr>
          </w:p>
        </w:tc>
        <w:tc>
          <w:tcPr>
            <w:tcW w:w="800" w:type="dxa"/>
            <w:vAlign w:val="bottom"/>
            <w:gridSpan w:val="4"/>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rPr>
              <w:t>Stock</w:t>
            </w:r>
          </w:p>
        </w:tc>
        <w:tc>
          <w:tcPr>
            <w:tcW w:w="180" w:type="dxa"/>
            <w:vAlign w:val="bottom"/>
          </w:tcPr>
          <w:p>
            <w:pPr>
              <w:spacing w:after="0"/>
              <w:rPr>
                <w:sz w:val="10"/>
                <w:szCs w:val="10"/>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Loss</w:t>
            </w:r>
          </w:p>
        </w:tc>
        <w:tc>
          <w:tcPr>
            <w:tcW w:w="120" w:type="dxa"/>
            <w:vAlign w:val="bottom"/>
          </w:tcPr>
          <w:p>
            <w:pPr>
              <w:spacing w:after="0"/>
              <w:rPr>
                <w:sz w:val="10"/>
                <w:szCs w:val="10"/>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Deficit</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6"/>
              </w:rPr>
              <w:t>interest</w:t>
            </w:r>
          </w:p>
        </w:tc>
        <w:tc>
          <w:tcPr>
            <w:tcW w:w="200" w:type="dxa"/>
            <w:vAlign w:val="bottom"/>
          </w:tcPr>
          <w:p>
            <w:pPr>
              <w:spacing w:after="0"/>
              <w:rPr>
                <w:sz w:val="10"/>
                <w:szCs w:val="10"/>
                <w:color w:val="auto"/>
              </w:rPr>
            </w:pPr>
          </w:p>
        </w:tc>
        <w:tc>
          <w:tcPr>
            <w:tcW w:w="680" w:type="dxa"/>
            <w:vAlign w:val="bottom"/>
          </w:tcPr>
          <w:p>
            <w:pPr>
              <w:jc w:val="right"/>
              <w:ind w:right="278"/>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28"/>
        </w:trPr>
        <w:tc>
          <w:tcPr>
            <w:tcW w:w="2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88</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(67,347)</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2,103,282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(819,235)</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1,216,788</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Non-cash compensation</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2,745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w:t>
            </w:r>
          </w:p>
        </w:tc>
      </w:tr>
      <w:tr>
        <w:trPr>
          <w:trHeight w:val="30"/>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Issuance of 137,350 shares of common stock</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through stock awards</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17,868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17,869</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Exercise of 47,000 shares of stock options</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3,415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3,415</w:t>
            </w:r>
          </w:p>
        </w:tc>
      </w:tr>
      <w:tr>
        <w:trPr>
          <w:trHeight w:val="30"/>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7"/>
              </w:rPr>
              <w:t>Issuance of 40,322 shares of common stock through</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3,652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3,652</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Purchase of 49,623 shares of treasury stock</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r>
      <w:tr>
        <w:trPr>
          <w:trHeight w:val="30"/>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78,499</w:t>
            </w:r>
          </w:p>
        </w:tc>
      </w:tr>
      <w:tr>
        <w:trPr>
          <w:trHeight w:val="30"/>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Reallocation of capital</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Dividends ($1.30 per common share) and other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120" w:type="dxa"/>
            <w:vAlign w:val="bottom"/>
          </w:tcPr>
          <w:p>
            <w:pPr>
              <w:spacing w:after="0"/>
              <w:rPr>
                <w:sz w:val="14"/>
                <w:szCs w:val="14"/>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(133,028)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(133,507)</w:t>
            </w:r>
          </w:p>
        </w:tc>
      </w:tr>
      <w:tr>
        <w:trPr>
          <w:trHeight w:val="30"/>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6"/>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2024</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89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2,129,944</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(874,130)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1,183,637</w:t>
            </w:r>
          </w:p>
        </w:tc>
      </w:tr>
      <w:tr>
        <w:trPr>
          <w:trHeight w:val="30"/>
        </w:trPr>
        <w:tc>
          <w:tcPr>
            <w:tcW w:w="2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9"/>
          <w:szCs w:val="9"/>
          <w:b w:val="1"/>
          <w:bCs w:val="1"/>
          <w:color w:val="auto"/>
        </w:rPr>
        <w:t>Three Months Ended</w:t>
      </w:r>
    </w:p>
    <w:p>
      <w:pPr>
        <w:spacing w:after="0" w:line="1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9"/>
          <w:szCs w:val="9"/>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20955</wp:posOffset>
            </wp:positionV>
            <wp:extent cx="1748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84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2025</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ind w:right="517"/>
              <w:spacing w:after="0"/>
              <w:rPr>
                <w:sz w:val="20"/>
                <w:szCs w:val="20"/>
                <w:color w:val="auto"/>
              </w:rPr>
            </w:pPr>
            <w:r>
              <w:rPr>
                <w:rFonts w:ascii="Times New Roman" w:cs="Times New Roman" w:eastAsia="Times New Roman" w:hAnsi="Times New Roman"/>
                <w:sz w:val="9"/>
                <w:szCs w:val="9"/>
                <w:b w:val="1"/>
                <w:bCs w:val="1"/>
                <w:color w:val="auto"/>
              </w:rPr>
              <w:t>2024</w:t>
            </w:r>
          </w:p>
        </w:tc>
        <w:tc>
          <w:tcPr>
            <w:tcW w:w="0" w:type="dxa"/>
            <w:vAlign w:val="bottom"/>
          </w:tcPr>
          <w:p>
            <w:pPr>
              <w:spacing w:after="0"/>
              <w:rPr>
                <w:sz w:val="1"/>
                <w:szCs w:val="1"/>
                <w:color w:val="auto"/>
              </w:rPr>
            </w:pPr>
          </w:p>
        </w:tc>
      </w:tr>
      <w:tr>
        <w:trPr>
          <w:trHeight w:val="28"/>
        </w:trPr>
        <w:tc>
          <w:tcPr>
            <w:tcW w:w="8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7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jc w:val="right"/>
              <w:ind w:right="641"/>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139,229</w:t>
            </w:r>
          </w:p>
        </w:tc>
        <w:tc>
          <w:tcPr>
            <w:tcW w:w="12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78,499</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75,228</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14,466</w:t>
            </w:r>
          </w:p>
        </w:tc>
        <w:tc>
          <w:tcPr>
            <w:tcW w:w="0" w:type="dxa"/>
            <w:vAlign w:val="bottom"/>
          </w:tcPr>
          <w:p>
            <w:pPr>
              <w:spacing w:after="0"/>
              <w:rPr>
                <w:sz w:val="1"/>
                <w:szCs w:val="1"/>
                <w:color w:val="auto"/>
              </w:rPr>
            </w:pP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Amortization included in interest expense</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Gain on disposition of assets and investments</w:t>
            </w:r>
          </w:p>
        </w:tc>
        <w:tc>
          <w:tcPr>
            <w:tcW w:w="7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(69,785)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(2,188)</w:t>
            </w:r>
          </w:p>
        </w:tc>
        <w:tc>
          <w:tcPr>
            <w:tcW w:w="0" w:type="dxa"/>
            <w:vAlign w:val="bottom"/>
          </w:tcPr>
          <w:p>
            <w:pPr>
              <w:spacing w:after="0"/>
              <w:rPr>
                <w:sz w:val="1"/>
                <w:szCs w:val="1"/>
                <w:color w:val="auto"/>
              </w:rPr>
            </w:pP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Equity in (earnings) loss of investee</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Deferred tax (benefit) expense</w:t>
            </w:r>
          </w:p>
        </w:tc>
        <w:tc>
          <w:tcPr>
            <w:tcW w:w="7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0" w:type="dxa"/>
            <w:vAlign w:val="bottom"/>
          </w:tcPr>
          <w:p>
            <w:pPr>
              <w:spacing w:after="0"/>
              <w:rPr>
                <w:sz w:val="1"/>
                <w:szCs w:val="1"/>
                <w:color w:val="auto"/>
              </w:rPr>
            </w:pP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Provision for doubtful accounts</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Decrease (increase) in:</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Receivables</w:t>
            </w:r>
          </w:p>
        </w:tc>
        <w:tc>
          <w:tcPr>
            <w:tcW w:w="7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2,229</w:t>
            </w:r>
          </w:p>
        </w:tc>
        <w:tc>
          <w:tcPr>
            <w:tcW w:w="0" w:type="dxa"/>
            <w:vAlign w:val="bottom"/>
          </w:tcPr>
          <w:p>
            <w:pPr>
              <w:spacing w:after="0"/>
              <w:rPr>
                <w:sz w:val="1"/>
                <w:szCs w:val="1"/>
                <w:color w:val="auto"/>
              </w:rPr>
            </w:pPr>
          </w:p>
        </w:tc>
      </w:tr>
      <w:tr>
        <w:trPr>
          <w:trHeight w:val="173"/>
        </w:trPr>
        <w:tc>
          <w:tcPr>
            <w:tcW w:w="84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Prepaid expenses</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(6,746)</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Other assets</w:t>
            </w:r>
          </w:p>
        </w:tc>
        <w:tc>
          <w:tcPr>
            <w:tcW w:w="7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(12,984)</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(6,306)</w:t>
            </w:r>
          </w:p>
        </w:tc>
        <w:tc>
          <w:tcPr>
            <w:tcW w:w="0" w:type="dxa"/>
            <w:vAlign w:val="bottom"/>
          </w:tcPr>
          <w:p>
            <w:pPr>
              <w:spacing w:after="0"/>
              <w:rPr>
                <w:sz w:val="1"/>
                <w:szCs w:val="1"/>
                <w:color w:val="auto"/>
              </w:rPr>
            </w:pP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Increase (decrease) in:</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Trade accounts payable</w:t>
            </w:r>
          </w:p>
        </w:tc>
        <w:tc>
          <w:tcPr>
            <w:tcW w:w="7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0" w:type="dxa"/>
            <w:vAlign w:val="bottom"/>
          </w:tcPr>
          <w:p>
            <w:pPr>
              <w:spacing w:after="0"/>
              <w:rPr>
                <w:sz w:val="1"/>
                <w:szCs w:val="1"/>
                <w:color w:val="auto"/>
              </w:rPr>
            </w:pPr>
          </w:p>
        </w:tc>
      </w:tr>
      <w:tr>
        <w:trPr>
          <w:trHeight w:val="173"/>
        </w:trPr>
        <w:tc>
          <w:tcPr>
            <w:tcW w:w="84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Accrued expenses</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(20,355)</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7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(31,763)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(32,035)</w:t>
            </w:r>
          </w:p>
        </w:tc>
        <w:tc>
          <w:tcPr>
            <w:tcW w:w="0" w:type="dxa"/>
            <w:vAlign w:val="bottom"/>
          </w:tcPr>
          <w:p>
            <w:pPr>
              <w:spacing w:after="0"/>
              <w:rPr>
                <w:sz w:val="1"/>
                <w:szCs w:val="1"/>
                <w:color w:val="auto"/>
              </w:rPr>
            </w:pPr>
          </w:p>
        </w:tc>
      </w:tr>
      <w:tr>
        <w:trPr>
          <w:trHeight w:val="173"/>
        </w:trPr>
        <w:tc>
          <w:tcPr>
            <w:tcW w:w="84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Other liabilities</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4,697</w:t>
            </w:r>
          </w:p>
        </w:tc>
        <w:tc>
          <w:tcPr>
            <w:tcW w:w="0" w:type="dxa"/>
            <w:vAlign w:val="bottom"/>
          </w:tcPr>
          <w:p>
            <w:pPr>
              <w:spacing w:after="0"/>
              <w:rPr>
                <w:sz w:val="1"/>
                <w:szCs w:val="1"/>
                <w:color w:val="auto"/>
              </w:rPr>
            </w:pPr>
          </w:p>
        </w:tc>
      </w:tr>
      <w:tr>
        <w:trPr>
          <w:trHeight w:val="30"/>
        </w:trPr>
        <w:tc>
          <w:tcPr>
            <w:tcW w:w="8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7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127,745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110,562</w:t>
            </w: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7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Acquisitions</w:t>
            </w:r>
          </w:p>
        </w:tc>
        <w:tc>
          <w:tcPr>
            <w:tcW w:w="7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(18,265)</w:t>
            </w: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Capital expenditures</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(29,887)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(29,482)</w:t>
            </w: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disposition of assets and investments</w:t>
            </w:r>
          </w:p>
        </w:tc>
        <w:tc>
          <w:tcPr>
            <w:tcW w:w="7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117,456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2,731</w:t>
            </w:r>
          </w:p>
        </w:tc>
        <w:tc>
          <w:tcPr>
            <w:tcW w:w="0" w:type="dxa"/>
            <w:vAlign w:val="bottom"/>
          </w:tcPr>
          <w:p>
            <w:pPr>
              <w:spacing w:after="0"/>
              <w:rPr>
                <w:sz w:val="1"/>
                <w:szCs w:val="1"/>
                <w:color w:val="auto"/>
              </w:rPr>
            </w:pPr>
          </w:p>
        </w:tc>
      </w:tr>
      <w:tr>
        <w:trPr>
          <w:trHeight w:val="166"/>
        </w:trPr>
        <w:tc>
          <w:tcPr>
            <w:tcW w:w="84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7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65,426</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(45,016)</w:t>
            </w:r>
          </w:p>
        </w:tc>
        <w:tc>
          <w:tcPr>
            <w:tcW w:w="0" w:type="dxa"/>
            <w:vAlign w:val="bottom"/>
          </w:tcPr>
          <w:p>
            <w:pPr>
              <w:spacing w:after="0"/>
              <w:rPr>
                <w:sz w:val="1"/>
                <w:szCs w:val="1"/>
                <w:color w:val="auto"/>
              </w:rPr>
            </w:pPr>
          </w:p>
        </w:tc>
      </w:tr>
      <w:tr>
        <w:trPr>
          <w:trHeight w:val="30"/>
        </w:trPr>
        <w:tc>
          <w:tcPr>
            <w:tcW w:w="8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7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Cash used for purchase of treasury stock</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proceeds from issuance of common stock</w:t>
            </w:r>
          </w:p>
        </w:tc>
        <w:tc>
          <w:tcPr>
            <w:tcW w:w="7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7,067</w:t>
            </w: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Principal payments on long-term debt</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Principal payments on financing leases</w:t>
            </w:r>
          </w:p>
        </w:tc>
        <w:tc>
          <w:tcPr>
            <w:tcW w:w="7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(200,000)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received from revolving credit facility</w:t>
            </w:r>
          </w:p>
        </w:tc>
        <w:tc>
          <w:tcPr>
            <w:tcW w:w="7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202,000</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143,000</w:t>
            </w: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Payments on accounts receivable securitization program</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(21,200)</w:t>
            </w: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received from accounts receivable securitization program</w:t>
            </w:r>
          </w:p>
        </w:tc>
        <w:tc>
          <w:tcPr>
            <w:tcW w:w="7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6,900</w:t>
            </w: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Debt issuance costs</w:t>
            </w:r>
          </w:p>
        </w:tc>
        <w:tc>
          <w:tcPr>
            <w:tcW w:w="7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7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Dividends/distributions</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(159,158)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(133,119)</w:t>
            </w:r>
          </w:p>
        </w:tc>
        <w:tc>
          <w:tcPr>
            <w:tcW w:w="0" w:type="dxa"/>
            <w:vAlign w:val="bottom"/>
          </w:tcPr>
          <w:p>
            <w:pPr>
              <w:spacing w:after="0"/>
              <w:rPr>
                <w:sz w:val="1"/>
                <w:szCs w:val="1"/>
                <w:color w:val="auto"/>
              </w:rPr>
            </w:pPr>
          </w:p>
        </w:tc>
      </w:tr>
      <w:tr>
        <w:trPr>
          <w:trHeight w:val="30"/>
        </w:trPr>
        <w:tc>
          <w:tcPr>
            <w:tcW w:w="8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7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(206,522)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(73,626)</w:t>
            </w:r>
          </w:p>
        </w:tc>
        <w:tc>
          <w:tcPr>
            <w:tcW w:w="0" w:type="dxa"/>
            <w:vAlign w:val="bottom"/>
          </w:tcPr>
          <w:p>
            <w:pPr>
              <w:spacing w:after="0"/>
              <w:rPr>
                <w:sz w:val="1"/>
                <w:szCs w:val="1"/>
                <w:color w:val="auto"/>
              </w:rPr>
            </w:pPr>
          </w:p>
        </w:tc>
      </w:tr>
      <w:tr>
        <w:trPr>
          <w:trHeight w:val="167"/>
        </w:trPr>
        <w:tc>
          <w:tcPr>
            <w:tcW w:w="8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in cash and cash equivalents</w:t>
            </w:r>
          </w:p>
        </w:tc>
        <w:tc>
          <w:tcPr>
            <w:tcW w:w="7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30"/>
        </w:trPr>
        <w:tc>
          <w:tcPr>
            <w:tcW w:w="8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7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(13,344)</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(8,200)</w:t>
            </w:r>
          </w:p>
        </w:tc>
        <w:tc>
          <w:tcPr>
            <w:tcW w:w="0" w:type="dxa"/>
            <w:vAlign w:val="bottom"/>
          </w:tcPr>
          <w:p>
            <w:pPr>
              <w:spacing w:after="0"/>
              <w:rPr>
                <w:sz w:val="1"/>
                <w:szCs w:val="1"/>
                <w:color w:val="auto"/>
              </w:rPr>
            </w:pPr>
          </w:p>
        </w:tc>
      </w:tr>
      <w:tr>
        <w:trPr>
          <w:trHeight w:val="173"/>
        </w:trPr>
        <w:tc>
          <w:tcPr>
            <w:tcW w:w="8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49,461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44,605</w:t>
            </w:r>
          </w:p>
        </w:tc>
        <w:tc>
          <w:tcPr>
            <w:tcW w:w="0" w:type="dxa"/>
            <w:vAlign w:val="bottom"/>
          </w:tcPr>
          <w:p>
            <w:pPr>
              <w:spacing w:after="0"/>
              <w:rPr>
                <w:sz w:val="1"/>
                <w:szCs w:val="1"/>
                <w:color w:val="auto"/>
              </w:rPr>
            </w:pPr>
          </w:p>
        </w:tc>
      </w:tr>
      <w:tr>
        <w:trPr>
          <w:trHeight w:val="30"/>
        </w:trPr>
        <w:tc>
          <w:tcPr>
            <w:tcW w:w="8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78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36,117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36,405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4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paid for interest</w:t>
            </w:r>
          </w:p>
        </w:tc>
        <w:tc>
          <w:tcPr>
            <w:tcW w:w="78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36,937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42,520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Cash paid for foreign, state and federal income taxes</w:t>
            </w:r>
          </w:p>
        </w:tc>
        <w:tc>
          <w:tcPr>
            <w:tcW w:w="78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7,032</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2,953</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2024 Combined Form 10-K. Subsequent events, if any, are evaluated through the date on which the financial statements are issued.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25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Advertising revenues: </w:t>
      </w:r>
      <w:r>
        <w:rPr>
          <w:rFonts w:ascii="Times New Roman" w:cs="Times New Roman" w:eastAsia="Times New Roman" w:hAnsi="Times New Roman"/>
          <w:sz w:val="18"/>
          <w:szCs w:val="18"/>
          <w:color w:val="auto"/>
        </w:rPr>
        <w:t>The majority of our revenues are derived from contracts for advertising space on billboard, logo and transit displays.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which do not meet the criteria of a lease under ASC 842, Leases are accounted for under ASC 606, Revenue from Contracts with Customers.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209"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Our other component of revenue primarily consists of production services which includes creating and printing the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copy. Revenue for production contracts is recognized under ASC 606. Contract revenues for production services are recognized upon satisfaction of the contract which is typically less than one week.</w:t>
      </w:r>
    </w:p>
    <w:p>
      <w:pPr>
        <w:spacing w:after="0" w:line="20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Our contracts with customers may include multiple performance obligations.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20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We record deferred revenues when cash payments are received or due in advance of our performance obligation.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20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The Company is utilizing the following practical expedients and exemptions from ASC 606. 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source for the three months ended March 31, 2025 and 2024.</w:t>
      </w:r>
    </w:p>
    <w:p>
      <w:pPr>
        <w:spacing w:after="0" w:line="30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advertising</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444,897</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439,385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 advertising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20,742</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advertising</w:t>
            </w: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38,895</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38,023</w:t>
            </w:r>
          </w:p>
        </w:tc>
      </w:tr>
      <w:tr>
        <w:trPr>
          <w:trHeight w:val="26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505,430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498,150</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and 2024, we had operating lease costs of $82,131 and $79,252, respectively, and variable lease costs of $13,932 and $13,442, respectively. These operating lease costs are recorded in direct advertising expenses (exclusive of depreciation and amortization). For the three months ended March 31, 2025 and 2024, we recorded a loss of $21 and $8, respectively, in (gain) loss on disposition of assets and investments related to the amendment and termination of lease agreements. Cash payments of $112,596 and $115,690 were made reducing our operating lease liabilities for the three months ended March 31, 2025 and 2024, respectively, and are included in cash flows provided by operating activities in the Condensed Consolidated Statements of Cash Flows.</w:t>
      </w:r>
    </w:p>
    <w:p>
      <w:pPr>
        <w:spacing w:after="0" w:line="21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$2,634 and $2,527 in direct advertising expenses (exclusive of depreciation and amortization) for these agreements during the three months ended March 31, 2025 and 2024, respectively.</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operating leases have a weighted-average remaining lease term of 12.6 years. The weighted-average discount rate of our operating leases is 5.1%. Also, during the three months ended March 31, 2025 and 2024, we obtained $4,326 and $2,424, respectively, of leased assets in exchange for new operating lease liabilities, which includes liabilities obtained through acquisitions.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the maturities of our operating lease liabilities as of March 31, 2025:</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9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167,022</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218,100</w:t>
            </w:r>
          </w:p>
        </w:tc>
      </w:tr>
      <w:tr>
        <w:trPr>
          <w:trHeight w:val="27"/>
        </w:trPr>
        <w:tc>
          <w:tcPr>
            <w:tcW w:w="9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192,354</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163,107</w:t>
            </w:r>
          </w:p>
        </w:tc>
      </w:tr>
      <w:tr>
        <w:trPr>
          <w:trHeight w:val="27"/>
        </w:trPr>
        <w:tc>
          <w:tcPr>
            <w:tcW w:w="9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142,208</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1,002,715</w:t>
            </w:r>
          </w:p>
        </w:tc>
      </w:tr>
      <w:tr>
        <w:trPr>
          <w:trHeight w:val="27"/>
        </w:trPr>
        <w:tc>
          <w:tcPr>
            <w:tcW w:w="9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1,885,506</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(536,975)</w:t>
            </w:r>
          </w:p>
        </w:tc>
      </w:tr>
      <w:tr>
        <w:trPr>
          <w:trHeight w:val="27"/>
        </w:trPr>
        <w:tc>
          <w:tcPr>
            <w:tcW w:w="9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1,348,531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and 2024, $713 of amortization expense for each period and $110 and $120 of interest expense relating to our financing lease liabilities were recorded in depreciation and amortization and interest expense, respectively, in the Condensed Consolidated Statements of Income and Comprehensive Income. Cash payments of $333 were made reducing our financing lease liabilities for each of the three months ended March 31, 2025 and 2024, and are included in cash flows used in financing activities in the Condensed Consolidated Statements of Cash Flows. Our financing leases have a weighted-average remaining lease term of 2.7 years and a weighted-average discount rate of 3.1%.</w:t>
      </w:r>
    </w:p>
    <w:p>
      <w:pPr>
        <w:spacing w:after="0" w:line="21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Due to our election not to reassess conclusions about lease identification as part of the adoption of ASC 842, Leases, our transit agreements were accounted for as leases on January 1, 2019. As we enter into new or renew current transit agreements, those agreements do not meet the criteria of a lease under ASC 842, therefore they are no longer accounted for as a lease. For the three months ended March 31, 2025 and 2024, non-lease transit costs were $23,448 and $23,563, respectively. These transit expenses are recorded in direct advertising expenses (exclusive of depreciation and amortization) on the Condensed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Stock-Based Compensation</w:t>
      </w:r>
    </w:p>
    <w:p>
      <w:pPr>
        <w:spacing w:after="0" w:line="25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Lamar 1996 Equity Incentive Plan, as amended, (the “1996 Plan”) has reserved 17.5 million shares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for issuance to directors and employees, including shares underlying granted options and common stock reserved for issuance under its performance-based incentive and LTIP unit program. Options granted under the 1996 plan expire ten years from the grant date with vesting terms ranging from three to five years which primarily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21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had 9,000 granted options of its Class A common stock during the three months ended March 31, 2025. At March 31, 2025 a total of 1,225,967 shares were available for future grant.</w:t>
      </w:r>
    </w:p>
    <w:p>
      <w:pPr>
        <w:spacing w:after="0" w:line="20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auto"/>
        </w:rPr>
        <w:t>On May 30, 2019, our shareholders approved Lamar Advertising’s 2019 Employee Stock Purchase Plan (the “2019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of Class A common stock available for issuance under the 2019 ESPP was automatically increased by 87,976 shares on January 1, 2025 pursuant to the automatic increase provisions of the 2019 ESPP.</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2019 ESPP share activity for the three months ended March 31, 2025: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37"/>
        </w:trPr>
        <w:tc>
          <w:tcPr>
            <w:tcW w:w="992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9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2025</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204,528</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shares reserved under 2019 ESPP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87,976</w:t>
            </w:r>
          </w:p>
        </w:tc>
      </w:tr>
      <w:tr>
        <w:trPr>
          <w:trHeight w:val="27"/>
        </w:trPr>
        <w:tc>
          <w:tcPr>
            <w:tcW w:w="9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(42,204)</w:t>
            </w:r>
          </w:p>
        </w:tc>
      </w:tr>
      <w:tr>
        <w:trPr>
          <w:trHeight w:val="237"/>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March 31, 2025</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250,300</w:t>
            </w:r>
          </w:p>
        </w:tc>
      </w:tr>
      <w:tr>
        <w:trPr>
          <w:trHeight w:val="27"/>
        </w:trPr>
        <w:tc>
          <w:tcPr>
            <w:tcW w:w="99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Unrestricted shares of our Class A common stock may be awarded to key officers, employees and directors under the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number of shares to be issued, if any, are generally dependent on the level of achievement of performance measures for key officers and employees, as determined by the Company’s Compensation Committee based on our 2025 results. Any shares issued based on the achievement of performance goals will be issued in the first quarter of 2026. The shares subject to these awards can range from a minimum of 0% to a maximum of 120% of the target number of shares depending on the level at which the goals are attained. Under the Incentive Plan, the Company's Compensation Committee may also award additional shares in its discretion based on other factors, which awards, if any, will also be issued in the first quarter of 2026. For the three months ended March 31, 2025 and 2024, the Company recorded $6,518 and $9,925, respectively, as stock-based compensation expense.</w:t>
      </w:r>
    </w:p>
    <w:p>
      <w:pPr>
        <w:spacing w:after="0" w:line="210"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i w:val="1"/>
          <w:iCs w:val="1"/>
          <w:color w:val="auto"/>
        </w:rPr>
        <w:t>LTIP Units</w:t>
      </w:r>
      <w:r>
        <w:rPr>
          <w:rFonts w:ascii="Times New Roman" w:cs="Times New Roman" w:eastAsia="Times New Roman" w:hAnsi="Times New Roman"/>
          <w:sz w:val="18"/>
          <w:szCs w:val="18"/>
          <w:color w:val="auto"/>
        </w:rPr>
        <w:t>. In addition to stock compensation, the Company may issue LTIP Units of Lamar Advertising Limited Partnership (the "OP"),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the Company, to certain officers, employees and directors under the Incentive Plan of the Company. Such LTIP Units are subject to vesting and forfeiture conditions based on performance criteria approved by the Compensation Committee. The Compensation Committee may also make discretionary grants of LTIP Units based on other factors. LTIP Units are a class of units intended to qualify as “profits interests” of the OP. The LTIP Units convert into Common Units of the OP upon the occurrence of certain events. Common Units are redeemable by the holder for shares of the Company's Class A common stock after a holding period of twelve months, or may be paid out in cash at the option of the general partner of the OP. As of March 31, 2025, the OP has a total of 380,800 LTIP Units issued and outstanding to the Company’s executive officers, of which 260,800 LTIP units have vested. For the three months ended March 31, 2025 and 2024, the Company recorded $2,421 and $3,062, respectively, as stock-based compensation expense related to these LTIP Units.</w:t>
      </w:r>
    </w:p>
    <w:p>
      <w:pPr>
        <w:spacing w:after="0" w:line="215"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compensation. </w:t>
      </w:r>
      <w:r>
        <w:rPr>
          <w:rFonts w:ascii="Times New Roman" w:cs="Times New Roman" w:eastAsia="Times New Roman" w:hAnsi="Times New Roman"/>
          <w:sz w:val="18"/>
          <w:szCs w:val="18"/>
          <w:color w:val="auto"/>
        </w:rPr>
        <w:t>Annually, each non-employee director automatically receives a restricted stock award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election or re-election. The awards vest 50% on grant date and 50% on the last day of the directors' one year term. For the three months ended March 31, 2025 and 2024, the Company recorded $65 and $137, respectively, in stock-based compensation expense related to these awards.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Depreciation and Amortization</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 as follows:</w:t>
      </w:r>
    </w:p>
    <w:p>
      <w:pPr>
        <w:spacing w:after="0" w:line="25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FF0FC"/>
            </w:tcBorders>
          </w:tcPr>
          <w:p>
            <w:pPr>
              <w:spacing w:after="0"/>
              <w:rPr>
                <w:sz w:val="3"/>
                <w:szCs w:val="3"/>
                <w:color w:val="auto"/>
              </w:rPr>
            </w:pPr>
          </w:p>
        </w:tc>
        <w:tc>
          <w:tcPr>
            <w:tcW w:w="1300" w:type="dxa"/>
            <w:vAlign w:val="bottom"/>
            <w:tcBorders>
              <w:bottom w:val="single" w:sz="8" w:color="CFF0FC"/>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118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CFF0FC"/>
            </w:tcBorders>
          </w:tcPr>
          <w:p>
            <w:pPr>
              <w:spacing w:after="0"/>
              <w:rPr>
                <w:sz w:val="3"/>
                <w:szCs w:val="3"/>
                <w:color w:val="auto"/>
              </w:rPr>
            </w:pPr>
          </w:p>
        </w:tc>
        <w:tc>
          <w:tcPr>
            <w:tcW w:w="112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1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71,783</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69,676</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13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77,821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75,228</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2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60" w:type="dxa"/>
            <w:vAlign w:val="bottom"/>
            <w:gridSpan w:val="7"/>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intangible assets at March 31, 2025 and December 31, 2024:</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220" w:type="dxa"/>
            <w:vAlign w:val="bottom"/>
          </w:tcPr>
          <w:p>
            <w:pPr>
              <w:spacing w:after="0"/>
              <w:rPr>
                <w:sz w:val="24"/>
                <w:szCs w:val="24"/>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vMerge w:val="restart"/>
          </w:tcPr>
          <w:p>
            <w:pPr>
              <w:spacing w:after="0"/>
              <w:rPr>
                <w:sz w:val="24"/>
                <w:szCs w:val="24"/>
                <w:color w:val="auto"/>
              </w:rPr>
            </w:pPr>
          </w:p>
        </w:tc>
        <w:tc>
          <w:tcPr>
            <w:tcW w:w="270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24"/>
                <w:szCs w:val="24"/>
                <w:color w:val="auto"/>
              </w:rPr>
            </w:pPr>
          </w:p>
        </w:tc>
        <w:tc>
          <w:tcPr>
            <w:tcW w:w="260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40" w:type="dxa"/>
            <w:vAlign w:val="bottom"/>
            <w:tcBorders>
              <w:bottom w:val="single" w:sz="8" w:color="auto"/>
            </w:tcBorders>
            <w:vMerge w:val="continue"/>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220" w:type="dxa"/>
            <w:vAlign w:val="bottom"/>
          </w:tcPr>
          <w:p>
            <w:pPr>
              <w:spacing w:after="0"/>
              <w:rPr>
                <w:sz w:val="13"/>
                <w:szCs w:val="13"/>
                <w:color w:val="auto"/>
              </w:rPr>
            </w:pPr>
          </w:p>
        </w:tc>
        <w:tc>
          <w:tcPr>
            <w:tcW w:w="1560" w:type="dxa"/>
            <w:vAlign w:val="bottom"/>
            <w:gridSpan w:val="3"/>
          </w:tcPr>
          <w:p>
            <w:pPr>
              <w:jc w:val="center"/>
              <w:ind w:right="150"/>
              <w:spacing w:after="0" w:line="158"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3"/>
                <w:szCs w:val="13"/>
                <w:color w:val="auto"/>
              </w:rPr>
            </w:pPr>
          </w:p>
        </w:tc>
        <w:tc>
          <w:tcPr>
            <w:tcW w:w="12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40" w:type="dxa"/>
            <w:vAlign w:val="bottom"/>
          </w:tcPr>
          <w:p>
            <w:pPr>
              <w:jc w:val="center"/>
              <w:ind w:right="94"/>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04"/>
        </w:trPr>
        <w:tc>
          <w:tcPr>
            <w:tcW w:w="4220" w:type="dxa"/>
            <w:vAlign w:val="bottom"/>
          </w:tcPr>
          <w:p>
            <w:pPr>
              <w:spacing w:after="0"/>
              <w:rPr>
                <w:sz w:val="17"/>
                <w:szCs w:val="17"/>
                <w:color w:val="auto"/>
              </w:rPr>
            </w:pPr>
          </w:p>
        </w:tc>
        <w:tc>
          <w:tcPr>
            <w:tcW w:w="156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FF0FC"/>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665,095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560" w:type="dxa"/>
            <w:vAlign w:val="bottom"/>
            <w:tcBorders>
              <w:bottom w:val="single" w:sz="8" w:color="CFF0FC"/>
            </w:tcBorders>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3—15</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72,110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67,099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66,894</w:t>
            </w: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Site locations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2,999,386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2,982,504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2,002,272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52,825</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42,724</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52,761</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42,461</w:t>
            </w: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3,857,759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2,811,131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3,839,323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2,776,722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2,288,621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2,288,618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Asset Retirement Obligations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614,713</w:t>
            </w:r>
          </w:p>
        </w:tc>
        <w:tc>
          <w:tcPr>
            <w:tcW w:w="0" w:type="dxa"/>
            <w:vAlign w:val="bottom"/>
          </w:tcPr>
          <w:p>
            <w:pPr>
              <w:spacing w:after="0"/>
              <w:rPr>
                <w:sz w:val="1"/>
                <w:szCs w:val="1"/>
                <w:color w:val="auto"/>
              </w:rPr>
            </w:pP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Liabilities settled</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7"/>
        </w:trPr>
        <w:tc>
          <w:tcPr>
            <w:tcW w:w="9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920" w:type="dxa"/>
            <w:vAlign w:val="bottom"/>
            <w:vMerge w:val="continue"/>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615,696</w:t>
            </w:r>
          </w:p>
        </w:tc>
        <w:tc>
          <w:tcPr>
            <w:tcW w:w="0" w:type="dxa"/>
            <w:vAlign w:val="bottom"/>
          </w:tcPr>
          <w:p>
            <w:pPr>
              <w:spacing w:after="0"/>
              <w:rPr>
                <w:sz w:val="1"/>
                <w:szCs w:val="1"/>
                <w:color w:val="auto"/>
              </w:rPr>
            </w:pPr>
          </w:p>
        </w:tc>
      </w:tr>
      <w:tr>
        <w:trPr>
          <w:trHeight w:val="27"/>
        </w:trPr>
        <w:tc>
          <w:tcPr>
            <w:tcW w:w="9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Distribution Restrictions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restricted under both the terms of the indentures relating to Lamar Media’s outstanding notes and by the terms of its senior credit facility. As of March 31, 2025 and December 31, 2024, Lamar Media was permitted under the terms of its outstanding notes to make transfers to Lamar Advertising in the form of cash dividends, loans or advances in amounts up to $4,655,282 and $4,677,837, respectively.</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As of March 31, 2025, Lamar Media’s senior credit facility allows it to make transfers to Lamar Advertising in any taxable year up to the amount of Lamar Advertising’s taxable income (without any deduction for dividends paid). In addition, as of March 31, 2025,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March 31, 2025 and December 31, 2024, the total debt ratio was less than 7.0 to 1 and Lamar Media’s secured debt ratio was less than 4.5 to 1, and the available cumulative credit was $3,405,761 and $3,428,317,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calculation of basic earnings per share excludes any dilutive effect of stock options and LTIP units, while diluted earnings per share includes the dilutive effect of stock options and LTIP units. There were no dilutive shares excluded from this calculation resulting from their anti-dilutive effect for the three months ended March 31, 2025 or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Long-term debt consists of the following at March 31, 2025 and December 31,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204"/>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880,429</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222,943</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596,485</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544,761</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544,973</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397,065</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3,209,782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3,187,785</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(223,366)</w:t>
            </w: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2,985,859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2,964,419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204"/>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877,851</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249,389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596,198</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544,560</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544,741</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396,893</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3,234,301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3,210,864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(249,806)</w:t>
            </w: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2,983,884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2,961,058</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p>
    <w:p>
      <w:pPr>
        <w:spacing w:after="0" w:line="25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210"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color w:val="auto"/>
        </w:rPr>
        <w:t>The senior credit facility, as established by the Fourth Amended and Restated Credit Agreement (the “senior credit facility”), consists of (i) a $750,000 senior secured revolving credit facility which will mature on July 31, 2028, subject to certain conditions (see description of Amendment No. 4 below) (the “revolving credit facility”), (ii) a $600,000 senior secured Term B loan facility (the “Term B loans”) which will mature on February 6, 2027,</w:t>
      </w:r>
    </w:p>
    <w:p>
      <w:pPr>
        <w:spacing w:after="0" w:line="1" w:lineRule="exact"/>
        <w:rPr>
          <w:sz w:val="20"/>
          <w:szCs w:val="20"/>
          <w:color w:val="auto"/>
        </w:rPr>
      </w:pPr>
    </w:p>
    <w:p>
      <w:pPr>
        <w:jc w:val="both"/>
        <w:ind w:firstLine="8"/>
        <w:spacing w:after="0" w:line="25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w:t>
      </w:r>
    </w:p>
    <w:p>
      <w:pPr>
        <w:spacing w:after="0" w:line="21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Term B loans mature on February 6, 2027 with no required amortization payments. The Term B loans bear interest at rates based on the Term Secured Overnight Financing Rate ("Term SOFR") plus a credit spread adjustment of 0.10% (Term SOFR plus such credit spread adjustment, the "Adjusted Term SOFR Rate”) or the Adjusted Base Rate, at Lamar Media’s option. Term B loans bearing interest at a rate based on Term SOFR bear interest at a rate per annum equal to the Adjusted Term SOFR Rate plus 1.50%. Term B loans bearing interest at a rate based on the Adjusted Base Rate bear interest at a rate per annum equal to the Adjusted Base Rate plus 0.50%.</w:t>
      </w:r>
    </w:p>
    <w:p>
      <w:pPr>
        <w:spacing w:after="0" w:line="21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with no required amortization payments prior to maturity and bore interest at rates based on Term SOFR ("Term SOFR Term A loans") or the Adjusted Base Rate ("Base Rate Term A loans"), at Lamar Media's option. Term SOFR Term A loans bore interest at a rate per annum equal to the Adjusted Term SOFR Rate plus 1.50% (or the Adjusted Term SOFR Rate plus 1.25% at any time the Total Debt Ratio is less than or equal to 3.25 to 1). Base Rate Term A loans bore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$350,000 in Term A loans on July 29, 2022. Proceeds from the Term A loans were used to repay outstanding balances on the revolving credit facility and a portion of the outstanding balance on the Accounts Receivable Securitization Program. The Term A loans were subsequently repaid in full on July 31, 2024.</w:t>
      </w:r>
    </w:p>
    <w:p>
      <w:pPr>
        <w:spacing w:after="0" w:line="2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210"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$750,000 revolving credit facility such that the revolving credit facility matures July 31, 2028; provided, that, if on the date (a "Credit Facility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Credit Facility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Amendment No. 4 also establishes a $75,000 swingline as a sublimit of the revolving credit facility, which allows Lamar Media to borrow revolving loans on a same-day basis, in an aggregate outstanding principal amount of up to $75,000.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March 31, 2025, there were $286,000 in borrowings outstanding under the revolving credit facility. Availability under the revolving credit facility is reduced by the amount of any letters of credit outstanding. Lamar Media had $8,770 in letters of credit outstanding as of March 31, 2025 resulting in $455,230 of availability under its revolving credit facility. Revolving credit loans may be requested under the revolving credit facility at any time prior to its maturity.</w:t>
      </w:r>
    </w:p>
    <w:p>
      <w:pPr>
        <w:spacing w:after="0" w:line="207"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among other things, the ability of Lamar Advertising and Lamar Media to:</w:t>
      </w:r>
    </w:p>
    <w:p>
      <w:pPr>
        <w:spacing w:after="0" w:line="229" w:lineRule="exact"/>
        <w:rPr>
          <w:sz w:val="20"/>
          <w:szCs w:val="20"/>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40" w:hanging="565"/>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9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Advertising and Lamar Media were in compliance with all of the terms of their indentures and the senior credit facility provisions during the periods presented.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Program</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20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 based interest rate mechanics for the Accounts Receivable Securitization Program.</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March 31, 2025 there was $223,500 outstanding aggregate borrowings under the Accounts Receivable Securitization Program. Lamar Media had no additional availability for borrowing under the Accounts Receivable Securitization Program as of March 31, 2025. The commitment fees based on the amount of unused commitments under the Accounts Receivable Securitization Program were immaterial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The Accounts Receivable Securitization Program was set to mature on July 21, 2025, but was subsequently extended to October 15, 2027 by the Seventh Amendment to the Receivables Financing Agreement dated October 15, 2024; provided, that, if on the date (a “Securitization Springing Maturity Test Date”) that is 91 days prior to the then scheduled maturity date of Lamar Media’s Term Loan B loans (which is currently February 6, 2027), (a) any of the outstanding Term B loans has a scheduled maturity date prior to the date that is 91 days prior to the then scheduled maturity date of Lamar Media’s revolving credit facility (which is currently July 31, 2028) and (b) the Company and its restricted subsidiaries do not have sufficient liquidity (defined as (i) unused commitments under the revolving credit facility plus (ii) unrestricted cash and cash equivalents of the Company and its restricted subsidiaries plus</w:t>
      </w:r>
    </w:p>
    <w:p>
      <w:pPr>
        <w:spacing w:after="0" w:line="5" w:lineRule="exact"/>
        <w:rPr>
          <w:sz w:val="20"/>
          <w:szCs w:val="20"/>
          <w:color w:val="auto"/>
        </w:rPr>
      </w:pPr>
    </w:p>
    <w:p>
      <w:pPr>
        <w:jc w:val="both"/>
        <w:ind w:firstLine="8"/>
        <w:spacing w:after="0" w:line="253" w:lineRule="auto"/>
        <w:tabs>
          <w:tab w:leader="none" w:pos="3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availability under the Accounts Receivable Securitization Program) to repay in full the aggregate outstanding amount (including all accrued and unpaid interest, premiums and make-whole amounts (if any)) of the Term Loan B loans, then the Accounts Receivable Securitization Program will mature on such Securitization Springing Maturity Test Date.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214"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3/4%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7/8% Senior Notes</w:t>
      </w:r>
    </w:p>
    <w:p>
      <w:pPr>
        <w:spacing w:after="0" w:line="25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5/8%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20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Exchange Offers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October 2020, the Company completed a subsequent exchange offer with respect to each of the 4% Notes, 3 3/4% Notes, and 4 7/8% Notes, in each case, for substantially identical notes registered under the Securities Act of 1933, as amended. In September 2021, the Company completed a subsequent exchange offer with respect to the 3 5/8% Notes for substantially identical notes registered under the Securities Act of 1933, as amended.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 Program</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authorized Lamar Media to repurchase up to $250,000 in outstanding senior or senior subordinated notes and other indebtedness outstanding from time to time under its Fourth Amended and Restated Credit Agreement. On September 24, 2024, the Board of Directors authorized the extension of the repurchase program through March 31, 2026. There were no repurchases under the program as of March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At March 31, 2025 and December 31, 2024,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The estimated fair value of the Company’s long-term debt (including current maturities) was $3,058,118 which does not exceed the carrying amount of $3,209,782 as of March 31, 2025. The majority of the fair value is determined using observed prices of publicly traded debt (level 1 in the fair value hierarchy) and the remaining is valued based on quoted prices for similar debt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Investments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Media, Inc. ("Vistar"), a leading global provider of programmatic technology for the digital out-of-home sector. On February 3, 2025, T-Mobile USA, Inc. acquired 100% of Vistar (the "Sale"). In connection with the closing of the Sale, the Company received $115,112 in cash consideration for the sale of its 20% equity interest in Vistar. Up to an additional $15,086 of consideration for the Sale may be received by the Company in the future, upon release of the remaining purchase price for the Sale from escrow in connection with satisfaction of certain post-closing conditions. During the three months ended March 31, 2025, the Company recognized a gain of $67,659 related to the transaction. An income tax expense of $13,148 was recorded during the three months ended March 31, 2025 as a result of the Sale, of which $21,172 was related to current income tax expense offset by a deferrred tax benefit of $8,024.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New Accounting Pronouncements</w:t>
      </w:r>
    </w:p>
    <w:p>
      <w:pPr>
        <w:spacing w:after="0" w:line="254"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companies to disclose disaggregated information related to the effective tax rate reconciliation and income taxes paid. This guidance is effective for public entities as of December 15, 2024. The adoption of this guidance did not have a material impact on the Company's consolidated financial statements.</w:t>
      </w:r>
    </w:p>
    <w:p>
      <w:pPr>
        <w:spacing w:after="0" w:line="20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disclosures about specific types of expenses included in expense captions presented on the face of the Consolidated Statements of Income and Comprehensive Income. This guidance is effective for public entities for fiscal years beginning after December 31, 2026. The Company is currently reviewing this guidance and its impact on the Company's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Dividends/Distributions</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declared and paid cash distributions in an aggregate amount of $159,067 or $1.55 per share and $133,028 or $1.30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During the three months ended March 31, 2025 and 2024, the Company paid cash dividend distributions to holders of its Series AA Preferred Stock in an aggregate amount of $91 or $15.95 per share for each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Information About Geographic Areas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attributable to foreign countries totaled $8,360 and $7,704 for the three months ended March 31, 2025 and 2024, respectively. Net carrying value of long-lived assets located in foreign countries totaled $13,787 and $13,972 as of March 31, 2025 and December 31, 2024, respectively. All other revenues from external customers and long-lived assets relate to domestic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Stockholders' Equity</w:t>
      </w:r>
    </w:p>
    <w:p>
      <w:pPr>
        <w:spacing w:after="0" w:line="254"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Sales Agreement. </w:t>
      </w:r>
      <w:r>
        <w:rPr>
          <w:rFonts w:ascii="Times New Roman" w:cs="Times New Roman" w:eastAsia="Times New Roman" w:hAnsi="Times New Roman"/>
          <w:sz w:val="18"/>
          <w:szCs w:val="18"/>
          <w:color w:val="auto"/>
        </w:rPr>
        <w:t>On July 24, 2024, the Company entered into an equity distribution agreement, or At-the-Market Offering agreement, (the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which expired by its terms on June 21, 2024. Under the terms of the 2024 Sales Agreement, the Company may, from time to time, issue and sell shares of its Class A common stock, having an aggregate offering price of up to $400,000, through the Sales Agents as either agents or principals.</w:t>
      </w:r>
    </w:p>
    <w:p>
      <w:pPr>
        <w:spacing w:after="0" w:line="2"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2021 Sales Agreement and may at any time suspend solicitations and offers under the 2024 Sales Agreement.</w:t>
      </w:r>
    </w:p>
    <w:p>
      <w:pPr>
        <w:spacing w:after="0" w:line="214"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As of March 31, 2025, no shares of our Class A common stock have been sold under the 2024 Sales Agreement or were sold under the prior Sales Agreement.</w:t>
      </w:r>
    </w:p>
    <w:p>
      <w:pPr>
        <w:spacing w:after="0" w:line="18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On July 24, 2024, the Company filed an automatically effective shelf registration statement that allows Lamar Advertising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and sell an indeterminate amount of additional shares of its Class A common stock. The shelf registration statement replaced a prior shelf registration statement which expired. During the three months ended March 31, 2025 and the year ended December 31, 2024, the Company did not issue any shares under its shelf registration statements.</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The Company’s Board of Directors has authorized the repurchase of up to $250,000 of the Company’s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On September 24, 2024, the Board of Directors authorized the extension of the repurchase program through March 31, 2026. There were no repurchases under the program as of December 31, 2024. During the three months ended March 31, 2025, the Company repurchased 164,529 shares of the Company's Class A common stock outstanding for a total purchase price of $18,446.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revised its segment information to reflect the adoption of ASU 2023-07 and certain changes resulting from our periodic review of factors relevant to how the chief operating decision maker (CODM) assesses performance and allocates resources in accordance with FASB ASC 280, Segment Reporting. As described in Note 1, we currently manage our operations through three operating segments - billboard, logo, and transit advertising. Logo and transit advertising do not meet the criteria to be reportable segments, and accordingly, are included in Other.</w:t>
      </w:r>
    </w:p>
    <w:p>
      <w:pPr>
        <w:spacing w:after="0" w:line="20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We define the term CODM to be our executive management group, which consists of our Executive Chairman, President and Chief Executive Officer, and Chief Financial Officer. Net revenues, advertising expenses and segmented adjusted EBITDA are used to monitor expected versus actual results. Total advertising expenses is the expense category regularly provided to the CODM. There are no other expenses regularly provided to the CODM that are used to manage the segment's operations. Total advertising expenses is defined as direct advertising expenses and general and administrative expenses excluding stock-based compensation expense and capitalized contract fulfillment costs. Segment Adjusted EBITDA is the profitability metric reported to the Company's CODM for purposes of assessing the performance of each operating segment as well as to make decisions related to invested capital, personnel, operational improvement or training, or to allocate other company resources. 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Segment information for total assets is not presented as this information is not used by the Company’s CODM in measuring segment performance or allocating resources between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segment:</w:t>
      </w:r>
    </w:p>
    <w:p>
      <w:pPr>
        <w:spacing w:after="0" w:line="30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440" w:type="dxa"/>
            <w:vAlign w:val="bottom"/>
            <w:tcBorders>
              <w:bottom w:val="single" w:sz="8" w:color="CCEEFF"/>
            </w:tcBorders>
          </w:tcPr>
          <w:p>
            <w:pPr>
              <w:spacing w:after="0"/>
              <w:rPr>
                <w:sz w:val="3"/>
                <w:szCs w:val="3"/>
                <w:color w:val="auto"/>
              </w:rPr>
            </w:pPr>
          </w:p>
        </w:tc>
        <w:tc>
          <w:tcPr>
            <w:tcW w:w="6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444,897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439,385</w:t>
            </w: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58,765</w:t>
            </w:r>
          </w:p>
        </w:tc>
      </w:tr>
      <w:tr>
        <w:trPr>
          <w:trHeight w:val="237"/>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505,430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498,150</w:t>
            </w: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2440" w:type="dxa"/>
            <w:vAlign w:val="bottom"/>
            <w:shd w:val="clear" w:color="auto" w:fill="CCEEFF"/>
          </w:tcPr>
          <w:p>
            <w:pPr>
              <w:spacing w:after="0"/>
              <w:rPr>
                <w:sz w:val="22"/>
                <w:szCs w:val="22"/>
                <w:color w:val="auto"/>
              </w:rPr>
            </w:pPr>
          </w:p>
        </w:tc>
        <w:tc>
          <w:tcPr>
            <w:tcW w:w="6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209,903</w:t>
            </w:r>
          </w:p>
        </w:tc>
      </w:tr>
      <w:tr>
        <w:trPr>
          <w:trHeight w:val="243"/>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49,021</w:t>
            </w:r>
          </w:p>
        </w:tc>
      </w:tr>
      <w:tr>
        <w:trPr>
          <w:trHeight w:val="27"/>
        </w:trPr>
        <w:tc>
          <w:tcPr>
            <w:tcW w:w="244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258,924</w:t>
            </w:r>
          </w:p>
        </w:tc>
      </w:tr>
      <w:tr>
        <w:trPr>
          <w:trHeight w:val="257"/>
        </w:trPr>
        <w:tc>
          <w:tcPr>
            <w:tcW w:w="244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Segmented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227,966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229,482</w:t>
            </w: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w:t>
            </w:r>
          </w:p>
        </w:tc>
      </w:tr>
      <w:tr>
        <w:trPr>
          <w:trHeight w:val="270"/>
        </w:trPr>
        <w:tc>
          <w:tcPr>
            <w:tcW w:w="8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(27,304)</w:t>
            </w:r>
          </w:p>
        </w:tc>
      </w:tr>
      <w:tr>
        <w:trPr>
          <w:trHeight w:val="244"/>
        </w:trPr>
        <w:tc>
          <w:tcPr>
            <w:tcW w:w="84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211,922</w:t>
            </w:r>
          </w:p>
        </w:tc>
      </w:tr>
      <w:tr>
        <w:trPr>
          <w:trHeight w:val="175"/>
        </w:trPr>
        <w:tc>
          <w:tcPr>
            <w:tcW w:w="2440" w:type="dxa"/>
            <w:vAlign w:val="bottom"/>
            <w:tcBorders>
              <w:bottom w:val="single" w:sz="8" w:color="auto"/>
            </w:tcBorders>
          </w:tcPr>
          <w:p>
            <w:pPr>
              <w:spacing w:after="0"/>
              <w:rPr>
                <w:sz w:val="15"/>
                <w:szCs w:val="15"/>
                <w:color w:val="auto"/>
              </w:rPr>
            </w:pPr>
          </w:p>
        </w:tc>
        <w:tc>
          <w:tcPr>
            <w:tcW w:w="6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67" w:lineRule="exact"/>
        <w:rPr>
          <w:sz w:val="20"/>
          <w:szCs w:val="20"/>
          <w:color w:val="auto"/>
        </w:rPr>
      </w:pPr>
    </w:p>
    <w:p>
      <w:pPr>
        <w:ind w:left="340" w:hanging="332"/>
        <w:spacing w:after="0" w:line="298"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Reconciliation of adjusted EBITDA to income before income tax expense:</w:t>
      </w:r>
    </w:p>
    <w:p>
      <w:pPr>
        <w:spacing w:after="0" w:line="30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211,922</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(75,228)</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investee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(44,020)</w:t>
            </w:r>
          </w:p>
        </w:tc>
      </w:tr>
      <w:tr>
        <w:trPr>
          <w:trHeight w:val="237"/>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153,773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80,021</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During April 2025, the Company repurchased 1,223,562 shares of its Class A common stock outstanding at a total purchase price of $131,554 under the Company's Stock Repurchase Program. These repurchases bring the total value purchased under the Stock Purchase Program to $150,000 in 2025. The Company currently has $100,000 remaining under its current share repurchase authorization.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March 31,</w:t>
            </w:r>
          </w:p>
        </w:tc>
        <w:tc>
          <w:tcPr>
            <w:tcW w:w="200" w:type="dxa"/>
            <w:vAlign w:val="bottom"/>
          </w:tcPr>
          <w:p>
            <w:pPr>
              <w:spacing w:after="0"/>
              <w:rPr>
                <w:sz w:val="12"/>
                <w:szCs w:val="12"/>
                <w:color w:val="auto"/>
              </w:rPr>
            </w:pPr>
          </w:p>
        </w:tc>
        <w:tc>
          <w:tcPr>
            <w:tcW w:w="1120" w:type="dxa"/>
            <w:vAlign w:val="bottom"/>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6"/>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8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48,961</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$11,879 and $12,404 in 2025 and 2024, respectively</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334,798</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404,815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424,768</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4,599,455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4,574,894</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(3,004,117)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(2,974,085)</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1,595,338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1,600,809</w:t>
            </w:r>
          </w:p>
        </w:tc>
        <w:tc>
          <w:tcPr>
            <w:tcW w:w="0" w:type="dxa"/>
            <w:vAlign w:val="bottom"/>
          </w:tcPr>
          <w:p>
            <w:pPr>
              <w:spacing w:after="0"/>
              <w:rPr>
                <w:sz w:val="1"/>
                <w:szCs w:val="1"/>
                <w:color w:val="auto"/>
              </w:rPr>
            </w:pPr>
          </w:p>
        </w:tc>
      </w:tr>
      <w:tr>
        <w:trPr>
          <w:trHeight w:val="22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1,403,224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1,355,231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right of use assets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8,331</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2,024,933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2,024,931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1,046,160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1,062,133</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48,344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93,604</w:t>
            </w:r>
          </w:p>
        </w:tc>
        <w:tc>
          <w:tcPr>
            <w:tcW w:w="0" w:type="dxa"/>
            <w:vAlign w:val="bottom"/>
          </w:tcPr>
          <w:p>
            <w:pPr>
              <w:spacing w:after="0"/>
              <w:rPr>
                <w:sz w:val="1"/>
                <w:szCs w:val="1"/>
                <w:color w:val="auto"/>
              </w:rPr>
            </w:pPr>
          </w:p>
        </w:tc>
      </w:tr>
      <w:tr>
        <w:trPr>
          <w:trHeight w:val="262"/>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6,530,432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6,569,807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4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 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21,586</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maturities of long-term debt, net of deferred financing costs of $557 and $611 in 2025 and 2024, respectively</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249,806</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218,108</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financing lease liabilities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123,282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162,253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153,700</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706,427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767,813</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costs of $21,440 and $22,826 in 2025 and 2024, respectively</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2,964,419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2,961,058</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1,155,498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1,114,407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13,283</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615,696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614,713</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49,008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48,588</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5,504,741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5,527,868</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stock, par value $0.01, 3,000 shares authorized, 100 shares issued and outstanding at 2025 and 2024</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3,259,694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3,229,799</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(2,232,324)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(2,185,755)</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1,025,691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1,041,939</w:t>
            </w:r>
          </w:p>
        </w:tc>
        <w:tc>
          <w:tcPr>
            <w:tcW w:w="0" w:type="dxa"/>
            <w:vAlign w:val="bottom"/>
          </w:tcPr>
          <w:p>
            <w:pPr>
              <w:spacing w:after="0"/>
              <w:rPr>
                <w:sz w:val="1"/>
                <w:szCs w:val="1"/>
                <w:color w:val="auto"/>
              </w:rPr>
            </w:pPr>
          </w:p>
        </w:tc>
      </w:tr>
      <w:tr>
        <w:trPr>
          <w:trHeight w:val="261"/>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6,530,432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6,569,807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505,430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498,150</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175,645</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89,161</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35,566</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75,228</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373,412</w:t>
            </w:r>
          </w:p>
        </w:tc>
      </w:tr>
      <w:tr>
        <w:trPr>
          <w:trHeight w:val="237"/>
        </w:trPr>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191,342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124,738</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44,487</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(earnings) loss of investee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44,579</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80,159</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78,637</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138,864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78,362</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78,637</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78,245</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138,543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60" w:type="dxa"/>
            <w:vAlign w:val="bottom"/>
          </w:tcPr>
          <w:p>
            <w:pPr>
              <w:spacing w:after="0"/>
              <w:rPr>
                <w:sz w:val="15"/>
                <w:szCs w:val="15"/>
                <w:color w:val="auto"/>
              </w:rPr>
            </w:pPr>
          </w:p>
        </w:tc>
        <w:tc>
          <w:tcPr>
            <w:tcW w:w="1000" w:type="dxa"/>
            <w:vAlign w:val="bottom"/>
            <w:vMerge w:val="restart"/>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100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1,041,939</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capital</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139,338</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(185,986)</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3,259,694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(2,232,324)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1,025,691</w:t>
            </w:r>
          </w:p>
        </w:tc>
        <w:tc>
          <w:tcPr>
            <w:tcW w:w="0" w:type="dxa"/>
            <w:vAlign w:val="bottom"/>
          </w:tcPr>
          <w:p>
            <w:pPr>
              <w:spacing w:after="0"/>
              <w:rPr>
                <w:sz w:val="1"/>
                <w:szCs w:val="1"/>
                <w:color w:val="auto"/>
              </w:rPr>
            </w:pPr>
          </w:p>
        </w:tc>
      </w:tr>
      <w:tr>
        <w:trPr>
          <w:trHeight w:val="509"/>
        </w:trPr>
        <w:tc>
          <w:tcPr>
            <w:tcW w:w="28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00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100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8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3,173,789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1,209,777</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capital</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(138,848)</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3,200,451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1,176,854</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19685</wp:posOffset>
            </wp:positionV>
            <wp:extent cx="1748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6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89"/>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6"/>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139,338</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78,637</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75,228</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14,466</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Gain on disposition of assets and investments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(69,785)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Equity in (earnings) loss of investee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tax (benefit) expense</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193"/>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Decrease (increase) in:</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Receivables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Prepaid expenses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(6,746)</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r>
      <w:tr>
        <w:trPr>
          <w:trHeight w:val="193"/>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(decrease) in:</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Trade accounts payable</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(20,355)</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(32,035)</w:t>
            </w: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(16,145)</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8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101,424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89,858</w:t>
            </w:r>
          </w:p>
        </w:tc>
      </w:tr>
      <w:tr>
        <w:trPr>
          <w:trHeight w:val="17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(18,265)</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(29,482)</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117,456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w:t>
            </w:r>
          </w:p>
        </w:tc>
      </w:tr>
      <w:tr>
        <w:trPr>
          <w:trHeight w:val="186"/>
        </w:trPr>
        <w:tc>
          <w:tcPr>
            <w:tcW w:w="8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65,426</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(45,016)</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143,000</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(21,200)</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issuance costs</w:t>
            </w:r>
          </w:p>
        </w:tc>
        <w:tc>
          <w:tcPr>
            <w:tcW w:w="3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Contributions from parent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27,680</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Dividend to parent</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(185,433)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(138,369)</w:t>
            </w:r>
          </w:p>
        </w:tc>
      </w:tr>
      <w:tr>
        <w:trPr>
          <w:trHeight w:val="186"/>
        </w:trPr>
        <w:tc>
          <w:tcPr>
            <w:tcW w:w="8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(180,201)</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(52,922)</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(13,344)</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(8,200)</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44,105</w:t>
            </w: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35,617</w:t>
            </w:r>
          </w:p>
        </w:tc>
        <w:tc>
          <w:tcPr>
            <w:tcW w:w="120" w:type="dxa"/>
            <w:vAlign w:val="bottom"/>
          </w:tcPr>
          <w:p>
            <w:pPr>
              <w:spacing w:after="0"/>
              <w:rPr>
                <w:sz w:val="16"/>
                <w:szCs w:val="16"/>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35,905</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6"/>
        </w:trPr>
        <w:tc>
          <w:tcPr>
            <w:tcW w:w="8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36,937</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42,520</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foreign, state and federal income taxes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2024 Combined Form 10-K.</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Certain notes are not provided for the accompanying condensed consolidated financial statements as the information in notes 1, 2, 3, 4, 5, 6, 7, 8, 10, 11, 12, 13, 15, 16 and 18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Summarized Financial Information of Subsidiaries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Summarized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summarized financial information. The following summarized financial information should be read in conjunction with the accompanying consolidated financial statements and notes. Separate financial statements of Lamar Media’s subsidiary guarantors are not included because the guarantors are each a consolidated subsidiary of Lamar Media, Lamar Media’s consolidated financial statements have been filed, and the guaranteed securities are debt securities with Lamar Media as the issuer. The accounts for all companies reflected herein are presented using the equity method of accounting for investments in subsidiaries.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Balance Sheet as of March 31, 2025</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Lamar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5"/>
                <w:szCs w:val="15"/>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Media Corp.</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2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25,011</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FF0FC"/>
              <w:right w:val="single" w:sz="8" w:color="CCEEFF"/>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68,802</w:t>
            </w: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FF0FC"/>
              <w:right w:val="single" w:sz="8" w:color="CCEEFF"/>
            </w:tcBorders>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311,002</w:t>
            </w: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404,815</w:t>
            </w:r>
          </w:p>
        </w:tc>
        <w:tc>
          <w:tcPr>
            <w:tcW w:w="60" w:type="dxa"/>
            <w:vAlign w:val="bottom"/>
            <w:tcBorders>
              <w:top w:val="single" w:sz="8" w:color="auto"/>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4,261,877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6,329,288</w:t>
            </w:r>
          </w:p>
        </w:tc>
        <w:tc>
          <w:tcPr>
            <w:tcW w:w="18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269,833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(4,735,381)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6,125,617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428,880</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242,790</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706,427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3,228,036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1,773,209</w:t>
            </w:r>
          </w:p>
        </w:tc>
        <w:tc>
          <w:tcPr>
            <w:tcW w:w="18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368,648</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4,798,314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2,412</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(816)</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4"/>
        </w:trPr>
        <w:tc>
          <w:tcPr>
            <w:tcW w:w="2700" w:type="dxa"/>
            <w:vAlign w:val="bottom"/>
          </w:tcPr>
          <w:p>
            <w:pPr>
              <w:spacing w:after="0"/>
              <w:rPr>
                <w:sz w:val="24"/>
                <w:szCs w:val="24"/>
                <w:color w:val="auto"/>
              </w:rPr>
            </w:pPr>
          </w:p>
        </w:tc>
        <w:tc>
          <w:tcPr>
            <w:tcW w:w="5780" w:type="dxa"/>
            <w:vAlign w:val="bottom"/>
            <w:gridSpan w:val="8"/>
          </w:tcPr>
          <w:p>
            <w:pPr>
              <w:jc w:val="right"/>
              <w:ind w:right="777"/>
              <w:spacing w:after="0"/>
              <w:rPr>
                <w:sz w:val="20"/>
                <w:szCs w:val="20"/>
                <w:color w:val="auto"/>
              </w:rPr>
            </w:pPr>
            <w:r>
              <w:rPr>
                <w:rFonts w:ascii="Times New Roman" w:cs="Times New Roman" w:eastAsia="Times New Roman" w:hAnsi="Times New Roman"/>
                <w:sz w:val="18"/>
                <w:szCs w:val="18"/>
                <w:b w:val="1"/>
                <w:bCs w:val="1"/>
                <w:color w:val="auto"/>
              </w:rPr>
              <w:t>Summarized Balance Sheet as of December 31, 2024</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2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24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68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Borders>
              <w:top w:val="single" w:sz="8" w:color="CCEEFF"/>
              <w:bottom w:val="single" w:sz="8" w:color="CCEEFF"/>
              <w:right w:val="single" w:sz="8" w:color="CFF0FC"/>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CFF0FC"/>
              <w:right w:val="single" w:sz="8" w:color="CCEEFF"/>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38,950</w:t>
            </w:r>
          </w:p>
        </w:tc>
        <w:tc>
          <w:tcPr>
            <w:tcW w:w="120" w:type="dxa"/>
            <w:vAlign w:val="bottom"/>
            <w:tcBorders>
              <w:top w:val="single" w:sz="8" w:color="CCEEFF"/>
              <w:bottom w:val="single" w:sz="8" w:color="CCEEFF"/>
              <w:right w:val="single" w:sz="8" w:color="CFF0FC"/>
            </w:tcBorders>
            <w:shd w:val="clear" w:color="auto" w:fill="CCEEFF"/>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CFF0FC"/>
              <w:right w:val="single" w:sz="8" w:color="CCEEFF"/>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52,617</w:t>
            </w:r>
          </w:p>
        </w:tc>
        <w:tc>
          <w:tcPr>
            <w:tcW w:w="18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CFF0FC"/>
              <w:right w:val="single" w:sz="8" w:color="CCEEFF"/>
            </w:tcBorders>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333,201</w:t>
            </w:r>
          </w:p>
        </w:tc>
        <w:tc>
          <w:tcPr>
            <w:tcW w:w="18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FF0FC"/>
              <w:right w:val="single" w:sz="8" w:color="CCEEFF"/>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FF0FC"/>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424,768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4,302,475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6,368,402</w:t>
            </w:r>
          </w:p>
        </w:tc>
        <w:tc>
          <w:tcPr>
            <w:tcW w:w="180" w:type="dxa"/>
            <w:vAlign w:val="bottom"/>
          </w:tcPr>
          <w:p>
            <w:pPr>
              <w:spacing w:after="0"/>
              <w:rPr>
                <w:sz w:val="21"/>
                <w:szCs w:val="21"/>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297,831</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(4,823,669)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6,145,039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50,707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444,841</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272,265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3,249,628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1,738,404</w:t>
            </w:r>
          </w:p>
        </w:tc>
        <w:tc>
          <w:tcPr>
            <w:tcW w:w="180" w:type="dxa"/>
            <w:vAlign w:val="bottom"/>
          </w:tcPr>
          <w:p>
            <w:pPr>
              <w:spacing w:after="0"/>
              <w:rPr>
                <w:sz w:val="21"/>
                <w:szCs w:val="21"/>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384,695</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4,760,055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1,770</w:t>
            </w:r>
          </w:p>
        </w:tc>
        <w:tc>
          <w:tcPr>
            <w:tcW w:w="18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(921)</w:t>
            </w:r>
          </w:p>
        </w:tc>
        <w:tc>
          <w:tcPr>
            <w:tcW w:w="180" w:type="dxa"/>
            <w:vAlign w:val="bottom"/>
            <w:shd w:val="clear" w:color="auto" w:fill="CCEEFF"/>
          </w:tcPr>
          <w:p>
            <w:pPr>
              <w:spacing w:after="0"/>
              <w:rPr>
                <w:sz w:val="21"/>
                <w:szCs w:val="21"/>
                <w:color w:val="auto"/>
              </w:rPr>
            </w:pPr>
          </w:p>
        </w:tc>
        <w:tc>
          <w:tcPr>
            <w:tcW w:w="11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shd w:val="clear" w:color="auto" w:fill="CCEEFF"/>
          </w:tcPr>
          <w:p>
            <w:pPr>
              <w:spacing w:after="0"/>
              <w:rPr>
                <w:sz w:val="2"/>
                <w:szCs w:val="2"/>
                <w:color w:val="auto"/>
              </w:rPr>
            </w:pPr>
          </w:p>
        </w:tc>
        <w:tc>
          <w:tcPr>
            <w:tcW w:w="15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5"/>
                <w:szCs w:val="15"/>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8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8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505,430</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314,088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191,342</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138,864</w:t>
            </w:r>
          </w:p>
        </w:tc>
        <w:tc>
          <w:tcPr>
            <w:tcW w:w="0" w:type="dxa"/>
            <w:vAlign w:val="bottom"/>
          </w:tcPr>
          <w:p>
            <w:pPr>
              <w:spacing w:after="0"/>
              <w:rPr>
                <w:sz w:val="1"/>
                <w:szCs w:val="1"/>
                <w:color w:val="auto"/>
              </w:rPr>
            </w:pPr>
          </w:p>
        </w:tc>
      </w:tr>
      <w:tr>
        <w:trPr>
          <w:trHeight w:val="531"/>
        </w:trPr>
        <w:tc>
          <w:tcPr>
            <w:tcW w:w="8480" w:type="dxa"/>
            <w:vAlign w:val="bottom"/>
            <w:gridSpan w:val="11"/>
          </w:tcPr>
          <w:p>
            <w:pPr>
              <w:ind w:left="3180"/>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p>
        </w:tc>
        <w:tc>
          <w:tcPr>
            <w:tcW w:w="350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3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8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384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498,150</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373,412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124,738</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0" w:type="dxa"/>
            <w:vAlign w:val="bottom"/>
          </w:tcPr>
          <w:p>
            <w:pPr>
              <w:spacing w:after="0"/>
              <w:rPr>
                <w:sz w:val="1"/>
                <w:szCs w:val="1"/>
                <w:color w:val="auto"/>
              </w:rPr>
            </w:pPr>
          </w:p>
        </w:tc>
      </w:tr>
      <w:tr>
        <w:trPr>
          <w:trHeight w:val="27"/>
        </w:trPr>
        <w:tc>
          <w:tcPr>
            <w:tcW w:w="3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Reporting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segment:</w:t>
      </w:r>
    </w:p>
    <w:p>
      <w:pPr>
        <w:spacing w:after="0" w:line="30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440" w:type="dxa"/>
            <w:vAlign w:val="bottom"/>
            <w:tcBorders>
              <w:bottom w:val="single" w:sz="8" w:color="CCEEFF"/>
            </w:tcBorders>
          </w:tcPr>
          <w:p>
            <w:pPr>
              <w:spacing w:after="0"/>
              <w:rPr>
                <w:sz w:val="3"/>
                <w:szCs w:val="3"/>
                <w:color w:val="auto"/>
              </w:rPr>
            </w:pPr>
          </w:p>
        </w:tc>
        <w:tc>
          <w:tcPr>
            <w:tcW w:w="6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444,897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439,385</w:t>
            </w: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58,765</w:t>
            </w:r>
          </w:p>
        </w:tc>
      </w:tr>
      <w:tr>
        <w:trPr>
          <w:trHeight w:val="237"/>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505,430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498,150</w:t>
            </w: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2440" w:type="dxa"/>
            <w:vAlign w:val="bottom"/>
            <w:shd w:val="clear" w:color="auto" w:fill="CCEEFF"/>
          </w:tcPr>
          <w:p>
            <w:pPr>
              <w:spacing w:after="0"/>
              <w:rPr>
                <w:sz w:val="22"/>
                <w:szCs w:val="22"/>
                <w:color w:val="auto"/>
              </w:rPr>
            </w:pPr>
          </w:p>
        </w:tc>
        <w:tc>
          <w:tcPr>
            <w:tcW w:w="6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209,903</w:t>
            </w:r>
          </w:p>
        </w:tc>
      </w:tr>
      <w:tr>
        <w:trPr>
          <w:trHeight w:val="243"/>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49,022</w:t>
            </w:r>
          </w:p>
        </w:tc>
      </w:tr>
      <w:tr>
        <w:trPr>
          <w:trHeight w:val="27"/>
        </w:trPr>
        <w:tc>
          <w:tcPr>
            <w:tcW w:w="244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258,925</w:t>
            </w:r>
          </w:p>
        </w:tc>
      </w:tr>
      <w:tr>
        <w:trPr>
          <w:trHeight w:val="257"/>
        </w:trPr>
        <w:tc>
          <w:tcPr>
            <w:tcW w:w="244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Segmented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227,966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229,483</w:t>
            </w: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r>
      <w:tr>
        <w:trPr>
          <w:trHeight w:val="270"/>
        </w:trPr>
        <w:tc>
          <w:tcPr>
            <w:tcW w:w="8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(27,166)</w:t>
            </w:r>
          </w:p>
        </w:tc>
      </w:tr>
      <w:tr>
        <w:trPr>
          <w:trHeight w:val="244"/>
        </w:trPr>
        <w:tc>
          <w:tcPr>
            <w:tcW w:w="84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212,060</w:t>
            </w:r>
          </w:p>
        </w:tc>
      </w:tr>
      <w:tr>
        <w:trPr>
          <w:trHeight w:val="175"/>
        </w:trPr>
        <w:tc>
          <w:tcPr>
            <w:tcW w:w="2440" w:type="dxa"/>
            <w:vAlign w:val="bottom"/>
            <w:tcBorders>
              <w:bottom w:val="single" w:sz="8" w:color="auto"/>
            </w:tcBorders>
          </w:tcPr>
          <w:p>
            <w:pPr>
              <w:spacing w:after="0"/>
              <w:rPr>
                <w:sz w:val="15"/>
                <w:szCs w:val="15"/>
                <w:color w:val="auto"/>
              </w:rPr>
            </w:pPr>
          </w:p>
        </w:tc>
        <w:tc>
          <w:tcPr>
            <w:tcW w:w="6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67" w:lineRule="exact"/>
        <w:rPr>
          <w:sz w:val="20"/>
          <w:szCs w:val="20"/>
          <w:color w:val="auto"/>
        </w:rPr>
      </w:pPr>
    </w:p>
    <w:p>
      <w:pPr>
        <w:ind w:left="340" w:hanging="332"/>
        <w:spacing w:after="0" w:line="298"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Reconciliation of adjusted EBITDA to income before income tax expense:</w:t>
      </w:r>
    </w:p>
    <w:p>
      <w:pPr>
        <w:spacing w:after="0" w:line="30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212,060</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(75,228)</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investee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(44,020)</w:t>
            </w:r>
          </w:p>
        </w:tc>
      </w:tr>
      <w:tr>
        <w:trPr>
          <w:trHeight w:val="236"/>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80,159</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2024 Combined Form 10-K filed on February 20, 2025, and as such risk factors as further updated or supplemented, from time to time, in our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the Company for the three months ended March 31, 2025 and 2024. This discussion should be read in conjunction with the condensed consolidated financial statements of the Company and the related notes thereto.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Company’s net revenues are derived primarily from the rental of advertising space on outdoor advertising displays owned and operated by the Company. We manage our business through three operating segments – billboard, logo and transit advertising.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the Company is able to charge for advertising on its displays and its ability to maximize advertising sales or occupancy on its displays.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the senior credit facility and the Accounts Receivable Securitization Program or the issuance of debt or equity securities. See “Liquidity and Capital Resources- Sources of Cash,” for more information.</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the Company completed multiple acquisitions for a total cash purchase price of approximately $22.1 million. See </w:t>
      </w:r>
      <w:r>
        <w:rPr>
          <w:rFonts w:ascii="Times New Roman" w:cs="Times New Roman" w:eastAsia="Times New Roman" w:hAnsi="Times New Roman"/>
          <w:sz w:val="18"/>
          <w:szCs w:val="18"/>
          <w:i w:val="1"/>
          <w:iCs w:val="1"/>
          <w:color w:val="auto"/>
        </w:rPr>
        <w:t>Uses of Cash – Acquisitions</w:t>
      </w:r>
      <w:r>
        <w:rPr>
          <w:rFonts w:ascii="Times New Roman" w:cs="Times New Roman" w:eastAsia="Times New Roman" w:hAnsi="Times New Roman"/>
          <w:sz w:val="18"/>
          <w:szCs w:val="18"/>
          <w:color w:val="auto"/>
        </w:rPr>
        <w:t xml:space="preserve"> for more information. 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months ended March 31, 2025 and 2024:</w:t>
      </w:r>
    </w:p>
    <w:p>
      <w:pPr>
        <w:spacing w:after="0" w:line="25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Billboard — traditional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Billboard — digital</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13,413</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Logos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Transit</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Land and buildings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equipment</w:t>
            </w: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w:t>
            </w:r>
          </w:p>
        </w:tc>
      </w:tr>
      <w:tr>
        <w:trPr>
          <w:trHeight w:val="236"/>
        </w:trPr>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29,482</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Our management uses this measure internally to evaluate the performance of our business as a whole and our individual business segments.</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FFO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214"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w:t>
      </w:r>
    </w:p>
    <w:p>
      <w:pPr>
        <w:spacing w:after="0" w:line="1" w:lineRule="exact"/>
        <w:rPr>
          <w:sz w:val="20"/>
          <w:szCs w:val="20"/>
          <w:color w:val="auto"/>
        </w:rPr>
      </w:pPr>
    </w:p>
    <w:p>
      <w:pPr>
        <w:jc w:val="both"/>
        <w:ind w:firstLine="8"/>
        <w:spacing w:after="0" w:line="253" w:lineRule="auto"/>
        <w:tabs>
          <w:tab w:leader="none" w:pos="2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net revenue is a supplement to net revenue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21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to three months ended March 31, 2024</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$7.3 million or 1.5% to $505.4 million for the three months ended March 31, 2025 from $498.2 million for the same period in 2024. This increase was primarily attributable to an increase in billboard net revenues of $5.5 million and an increase in transit net revenues of $0.9 million over the same period in 2024.</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there was a $5.4 million increase in net revenues as compared to acquisition-adjusted net revenues for the three months ended March 31, 2024, which represents an increase of 1.1%. See "Reconciliations" below. The $5.4 million increase in revenue is primarily due to an increase of $5.2 million in billboard net revenues and $0.5 million in logo net revenues, offset by a decrease in transit net revenues of $0.3 million over the same period in 2024.</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$5.7 million, or 1.9%, to $306.2 million for the three months ended March 31, 2025 from $300.5 million for the same period in 2024. The $5.7 million increase over the prior year is comprised of a $9.5 million increase in total direct, general and administrative and corporate expenses (excluding stock-based compensation) primarily related to the operations of our outdoor advertising assets, offset by a $3.9 million decrease in stock-based compensation.</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$2.6 million to $77.8 million for the three months ended March 31, 2025 as compared to $75.2 million for the same period in 2024, primarily related to acquisitions and capital expenditures completed in the last twelve months.</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Company recognized a gain on disposition of assets and investments of $69.8 million primarily resulting from the sale of Lamar's equity interest in Vistar Media, Inc., as well as transactions related to the sale of real estate and billboard locations and displays.</w:t>
      </w:r>
    </w:p>
    <w:p>
      <w:pPr>
        <w:spacing w:after="0" w:line="20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$66.6 million to $191.2 million for the three months ended March 31, 2025 as compared to $124.6 million for the same period in 2024.</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decreased $6.2 million for the three months ended March 31, 2025 to $38.3 million as compared to $44.5 million for the three months ended March 31, 2024. The decrease was primarily due to the repayment of the Term A loans outstanding under the senior credit facility in July of 2024 as well as a decrease in interest rates on the senior credit facility and Accounts Receivable Securitization Program.</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Equity in (earnings) loss of investee was $(0.4) million and $0.6 million for the three months ended March 31, 2025 and 2024, respectively.</w:t>
      </w:r>
    </w:p>
    <w:p>
      <w:pPr>
        <w:spacing w:after="0" w:line="25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resulted in a $73.8 million increase in income before income tax expense. The effective tax rate for the three months ended March 31, 2025 was 9.5%, which differs from the federal statutory rate primarily due to our qualification for taxation as a REIT and adjustments for foreign items.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three months ended March 31, 2025 of $139.2 million, as compared to net income of $78.5 million for the same period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2023 have contributed to our net revenue results for the periods presented, we provide 2024 acquisition-adjusted net revenue, which adjusts our 2024 net revenue for the three months ended March 31, 2024 by adding to or subtracting from it the net revenue generated by the acquired or divested assets prior to our acquisition or divestiture of these assets for the same time frame that those assets were owned in the three months ended March 31,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2024 reported net revenue to 2024 acquisition-adjusted net revenue for the three months ended March 31, as well as a comparison of 2024 acquisition-adjusted net revenue to 2025 reported net revenue for the three months ended March 31, are provided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498,150</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505,430</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500,040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0"/>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investee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211,922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March 31, 2025 decreased 0.8% to $210.2 million. The decrease in adjusted EBITDA was primarily attributable to an increase in total general and administrative and corporate expenses of $5.2 million, excluding the impact of stock-based compensation expense, offset by an increase in our gross margin (net revenue less direct advertising expense, exclusive of depreciation and amortization and capitalized contract fulfillment costs, net) of $2.4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210,221</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211,922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3" w:lineRule="exact"/>
        <w:rPr>
          <w:rFonts w:ascii="Times New Roman" w:cs="Times New Roman" w:eastAsia="Times New Roman" w:hAnsi="Times New Roman"/>
          <w:sz w:val="16"/>
          <w:szCs w:val="16"/>
          <w:color w:val="auto"/>
        </w:rPr>
      </w:pPr>
    </w:p>
    <w:p>
      <w:pPr>
        <w:ind w:left="340" w:hanging="332"/>
        <w:spacing w:after="0" w:line="257"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2" w:name="page33"/>
    <w:bookmarkEnd w:id="32"/>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March 31, 2025 decreased 0.8% to $210.2 million. The decrease in adjusted EBITDA was primarily attributable to the decrease in our billboard advertising adjusted EBITDA of $1.5 million and a decrease in other adjusted EBITDA of $1.1 million, offset by a decrease in corporate expenses of $0.9 million, excluding the impact of stock-based compensation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5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and investments,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164,308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158,237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FFO for the three months ended March 31, 2025 increased from $148.5 million in 2024 to $156.1 million for the same period in 2025, an increase of 5.1%. AFFO for the three months ended March 31, 2025 increased 3.8% to $164.3 million as compared to $158.2 million for the same period in 2024. The increase in AFFO was primarily attributable to an increase in our gross margin (net revenue less direct advertising expense, exclusive of depreciation and amortization and capitalized contract fulfillment costs, net) as well as a decrease in interest expense for the three months ended March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has historically satisfied its working capital requirements with cash from operations and borrowings under the senior credit facility and the Accounts Receivable Securitization Program. The Company’s wholly owned subsidiary, Lamar Media Corp., is the borrower under the senior credit facility and maintains all corporate operating cash balances. Certain subsidiaries of Lamar Media are the principal borrowers under the Accounts Receivable Securitization Program. Any cash requirements of the Company, therefore, must be funded by distributions from Lamar Media.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25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March 31, 2025 we had $491.3 million of total liquidity, which is comprised of $36.1 million in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$455.2 million of availability under the revolving portion of Lamar Media’s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212"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Company had a working capital deficit of $312.0 million and $353.2 million, respectively. The decrease in working capital deficit of $41.2 million is primarily due to a decrease in borrowings outstanding on the Accounts Receivable Securitization Program as well as a decrease in current operating lease liabilities.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Generated by Operations. </w:t>
      </w:r>
      <w:r>
        <w:rPr>
          <w:rFonts w:ascii="Times New Roman" w:cs="Times New Roman" w:eastAsia="Times New Roman" w:hAnsi="Times New Roman"/>
          <w:sz w:val="18"/>
          <w:szCs w:val="18"/>
          <w:color w:val="auto"/>
        </w:rPr>
        <w:t>For the three months ended March 31, 2025 and 2024, our cash provided by operating activities was $127.7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$110.6 million, respectively. The increase in cash provided by operating activities for the three months ended March 31, 2025 over the same period in 2024 primarily relates to an increase in revenue as well as an increase in collections on receivables. We expect to generate cash flows from operations during 2025 in excess of our cash needs for operations, capital expenditures and dividends, as described herein. We believe we have sufficient liquidity available under our revolving credit facility to meet our operating cash needs for the next twelve months.</w:t>
      </w:r>
    </w:p>
    <w:p>
      <w:pPr>
        <w:spacing w:after="0" w:line="21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Securitization Program. </w:t>
      </w:r>
      <w:r>
        <w:rPr>
          <w:rFonts w:ascii="Times New Roman" w:cs="Times New Roman" w:eastAsia="Times New Roman" w:hAnsi="Times New Roman"/>
          <w:sz w:val="18"/>
          <w:szCs w:val="18"/>
          <w:color w:val="auto"/>
        </w:rPr>
        <w:t>On June 24, 2022, Lamar Media and the Special Purpose Subsidiaries entered into the Sixth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(the "Sixth Amendment") to the Receivables Financing Agreement. The Sixth Amendment increased the Accounts Receivable Securitization Program from $175.0 million to $250.0 million and extended the maturity date of the Accounts Receivable Securitization Program to July 21, 2025. Additionally, the Sixth Amendment provides for the replacement of LIBOR-based interest rate mechanics with Term Secured Overnight Financing Rate ("Term SOFR") based interest rate mechanics for the Accounts Receivable Securitization Program.</w:t>
      </w:r>
    </w:p>
    <w:p>
      <w:pPr>
        <w:spacing w:after="0" w:line="212"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("TRSs")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Accounts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March 31, 2025, there was $223.5 million in outstanding aggregate borrowings under the Accounts Receivable Securitization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had no additional availability under the Accounts Receivable Securitization Program as of March 31, 2025.</w:t>
      </w:r>
    </w:p>
    <w:p>
      <w:pPr>
        <w:spacing w:after="0" w:line="234"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The Accounts Receivable Securitization Program was set to mature on July 21, 2025, but was subsequently extended to October 15, 2027 by the Seventh Amendment to the Receivables Financing Agreement dated October 15, 2024; provided, that, if on the date (a “Securitization Springing Maturity Test Date”) that is 91 days prior to the then scheduled maturity date of Lamar Media’s Term Loan B loans (which is currently February 6, 2027), (a) any of the outstanding Term B loans has a scheduled maturity date prior to the date that is 91 days prior to the then scheduled maturity date of Lamar Media’s revolving credit facility (which is currently July 31, 2028) and (b) the Company and its restricted subsidiaries do not have sufficient liquidity (defined as (i) unused commitments under the revolving credit facility plus (ii) unrestricted cash and cash equivalents of the Company and its restricted subsidiaries plus</w:t>
      </w:r>
    </w:p>
    <w:p>
      <w:pPr>
        <w:spacing w:after="0" w:line="5" w:lineRule="exact"/>
        <w:rPr>
          <w:sz w:val="20"/>
          <w:szCs w:val="20"/>
          <w:color w:val="auto"/>
        </w:rPr>
      </w:pPr>
    </w:p>
    <w:p>
      <w:pPr>
        <w:jc w:val="both"/>
        <w:ind w:firstLine="8"/>
        <w:spacing w:after="0" w:line="253" w:lineRule="auto"/>
        <w:tabs>
          <w:tab w:leader="none" w:pos="3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availability under the Accounts Receivable Securitization Program) to repay in full the aggregate outstanding amount (including all accrued and unpaid interest, premiums and make-whole amounts (if any)) of the Term Loan B loans, then the Accounts Receivable Securitization Program will mature on such Securitization Springing Maturity Test Date.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4" w:name="page35"/>
    <w:bookmarkEnd w:id="34"/>
    <w:p>
      <w:pPr>
        <w:jc w:val="both"/>
        <w:ind w:firstLine="56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On July 24, 2024, the Company entered into an equity distribution agreement, or At-the-Market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"2024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(the "2021 Sales Agreement". Under the terms of the 2024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2024 Sales Agreement and may at any time suspend solicitations and offers under the 2024 Sales Agreement. The Company intends to use the net proceeds, if any, from the sale of the Class A common stock pursuant to the 2024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the 2024 Sales Agreement during the year ended December 31, 2024 and the three months ended March 31, 2025. The Company did not issue any shares under the 2021 Sales Agreement from inception through expiration.</w:t>
      </w:r>
    </w:p>
    <w:p>
      <w:pPr>
        <w:spacing w:after="0" w:line="212"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Shelf Registration Statement. </w:t>
      </w:r>
      <w:r>
        <w:rPr>
          <w:rFonts w:ascii="Times New Roman" w:cs="Times New Roman" w:eastAsia="Times New Roman" w:hAnsi="Times New Roman"/>
          <w:sz w:val="18"/>
          <w:szCs w:val="18"/>
          <w:color w:val="auto"/>
        </w:rPr>
        <w:t>On June 21, 2021, the Company filed an automatically effective shelf registration statement that allows Lamar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to offer and sell an indeterminate amount of additional shares of its Class A common stock. The shelf registration statement expired on June 21, 2024.</w:t>
      </w:r>
    </w:p>
    <w:p>
      <w:pPr>
        <w:spacing w:after="0" w:line="20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July 24, 2024, the Company filed a new automatically effective shelf registration statement that allows the Company to offer and sell an indeterminate amount of additional shares of its Class A common stock, which replaces the previous shelf registration statement. During the year ended December 31, 2024 and the three months ended March 31, 2025, the Company did not issue any shares under either shelf registration statement.</w:t>
      </w:r>
    </w:p>
    <w:p>
      <w:pPr>
        <w:spacing w:after="0" w:line="20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On February 6, 2020, Lamar Media entered into a Fourth Amended and Restated Credit Agreement (the “Fourth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212"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21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The senior credit facility, as established by the Fourth Amended and Restated Credit Agreement (the “senior credit facility”), consists of (i) a $750.0 million senior secured revolving credit facility which will mature on July 31, 2028, subject to certain conditions (see description of Amendment No. 4 below) (the “revolving credit facility”), (ii) a $600.0 million senior secured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calculated as described under </w:t>
      </w:r>
      <w:r>
        <w:rPr>
          <w:rFonts w:ascii="Times New Roman" w:cs="Times New Roman" w:eastAsia="Times New Roman" w:hAnsi="Times New Roman"/>
          <w:sz w:val="18"/>
          <w:szCs w:val="18"/>
          <w:i w:val="1"/>
          <w:iCs w:val="1"/>
          <w:color w:val="auto"/>
        </w:rPr>
        <w:t>“Restrictions under Senior Credit Facility”</w:t>
      </w:r>
      <w:r>
        <w:rPr>
          <w:rFonts w:ascii="Times New Roman" w:cs="Times New Roman" w:eastAsia="Times New Roman" w:hAnsi="Times New Roman"/>
          <w:sz w:val="18"/>
          <w:szCs w:val="18"/>
          <w:color w:val="auto"/>
        </w:rPr>
        <w:t xml:space="preserve"> of 4.50 to 1.00, as well as certain other conditions including lender approval. Lamar Media borrowed all $600.0 million in Term B loans on February 6, 2020. The entire amount of the Term B loans will be payable at maturity.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5" w:name="page36"/>
    <w:bookmarkEnd w:id="35"/>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Term B loans bear interest at rates based on Term SOFR plus a credit spread adjustment of 0.10% (Term SOFR plus such credit spread adjustment, the "Adjusted Term SOFR Rate”) or the Adjusted Base Rate, at Lamar Media’s option. Term B loans bearing interest at a rate based on Term SOFR bear interest at a rate per annum equal to the Adjusted Term SOFR Rate plus 1.50%. Term B loans bearing interest at a rate based on the Adjusted Base Rate bear interest at a rate per annum equal to the Adjusted Base Rate plus 0.50%. 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215"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and bore interest based on Term SOFR ("Term SOFR Term A loans") or the Adjusted Base Rate ("Base Rate Term A loans"), at Lamar Media's option. Term SOFR Term A loans bore interest at a rate per annum equal to the Adjusted Term SOFR Rate plus 1.50% (or the Adjusted Term SOFR Rate plus 1.25% at any time the Total Debt Ratio is less than or equal to 3.25 to 1). Base Rate Term A loans bore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 million in Term A loans on July 29, 2022. Proceeds from the Term A loans were used to repay outstanding balances on the revolving credit facility and a portion of the outstanding balance on our Accounts Receivable Securitization Program. The Term A loans were subsequently repaid in full on July 31, 2024.</w:t>
      </w:r>
    </w:p>
    <w:p>
      <w:pPr>
        <w:spacing w:after="0" w:line="2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210"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 million revolving credit facility such that the revolving credit facility matures July 31, 2028; provided, that, if on the date (a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Amendment No. 4 also establishes a $75.0 million swingline as a sublimit of the revolving credit facility, which allows Lamar Media to borrow revolving loans on a same-day basis, in an aggregate outstanding principal amount of up to $75.0 million.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March 31, 2025 the aggregate balance outstanding under the senior credit facility was $886.0 million, consisting of $600.0 million in Term B loans aggregate principal balance and $286.0 million outstanding borrowings under our revolving credit facility. Lamar Media had approximately $455.2 million of unused capacity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internally generated cash flow are general economic conditions, specific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in the markets where the Company conducts its business and overall spending on advertising by advertisers. We expect to generate cash flows from operations during 2025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spacing w:after="0" w:line="207"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Other Debt Securities. </w:t>
      </w:r>
      <w:r>
        <w:rPr>
          <w:rFonts w:ascii="Times New Roman" w:cs="Times New Roman" w:eastAsia="Times New Roman" w:hAnsi="Times New Roman"/>
          <w:sz w:val="18"/>
          <w:szCs w:val="18"/>
          <w:color w:val="auto"/>
        </w:rPr>
        <w:t>The Company and Lamar Media must comply with certain covenants and restrictions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credit facility, its outstanding debt securities and its Accounts Receivable Securitization Program.</w:t>
      </w:r>
    </w:p>
    <w:p>
      <w:pPr>
        <w:spacing w:after="0" w:line="18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Debt Securities. </w:t>
      </w:r>
      <w:r>
        <w:rPr>
          <w:rFonts w:ascii="Times New Roman" w:cs="Times New Roman" w:eastAsia="Times New Roman" w:hAnsi="Times New Roman"/>
          <w:sz w:val="18"/>
          <w:szCs w:val="18"/>
          <w:color w:val="auto"/>
        </w:rPr>
        <w:t>The Company and Lamar Media must comply with certain covenants and restrictions related to its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Currently, Lamar Media has outstanding the $600.0 million 3 3/4% Senior Notes issued February 2020, the $550.0 million 4% Senior Notes issued February 2020 and August 2020, the $400.0 million 4 7/8% Senior Notes issued in May 2020 and the $550.0 million 3 5/8% Senior Notes issued in January 2021.</w:t>
      </w:r>
    </w:p>
    <w:p>
      <w:pPr>
        <w:spacing w:after="0" w:line="20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214"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In addition to debt incurred under the provisions described in the preceding paragraph, the indentures relating to Lamar Media’s outstanding notes permit Lamar Media to incur indebtedness pursuant to the following baskets:</w:t>
      </w:r>
    </w:p>
    <w:p>
      <w:pPr>
        <w:spacing w:after="0" w:line="229" w:lineRule="exact"/>
        <w:rPr>
          <w:sz w:val="20"/>
          <w:szCs w:val="20"/>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billion of indebtedness under the senior credit facility;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of the indentures or debt incurred to refinance outstanding debt;</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debt between Lamar Media and its restricted subsidiaries or between restricted subsidiaries;</w:t>
      </w:r>
    </w:p>
    <w:p>
      <w:pPr>
        <w:spacing w:after="0" w:line="103" w:lineRule="exact"/>
        <w:rPr>
          <w:rFonts w:ascii="Times New Roman" w:cs="Times New Roman" w:eastAsia="Times New Roman" w:hAnsi="Times New Roman"/>
          <w:sz w:val="18"/>
          <w:szCs w:val="18"/>
          <w:color w:val="auto"/>
        </w:rPr>
      </w:pPr>
    </w:p>
    <w:p>
      <w:pPr>
        <w:ind w:left="1140" w:hanging="565"/>
        <w:spacing w:after="0" w:line="352"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to exceed $75.0 million; and</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 million of permitted securitization financings.</w:t>
      </w:r>
    </w:p>
    <w:p>
      <w:pPr>
        <w:spacing w:after="0" w:line="30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Senior Credit Facility. </w:t>
      </w:r>
      <w:r>
        <w:rPr>
          <w:rFonts w:ascii="Times New Roman" w:cs="Times New Roman" w:eastAsia="Times New Roman" w:hAnsi="Times New Roman"/>
          <w:sz w:val="18"/>
          <w:szCs w:val="18"/>
          <w:color w:val="auto"/>
        </w:rPr>
        <w:t>Lamar Media is required to comply with certain covenants and restrictions under the senior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If the Company or Lamar Media fails to comply with these tests, the lenders under the senior credit facility will be entitled to exercise certain remedies, including the termination of the lending commitments and the acceleration of the debt payments under the senior credit facility. At March 31, 2025 we were, and currently, we are, in compliance with all such tests under the senior credit facility.</w:t>
      </w:r>
    </w:p>
    <w:p>
      <w:pPr>
        <w:spacing w:after="0" w:line="20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S</w:t>
      </w:r>
      <w:r>
        <w:rPr>
          <w:rFonts w:ascii="Times New Roman" w:cs="Times New Roman" w:eastAsia="Times New Roman" w:hAnsi="Times New Roman"/>
          <w:sz w:val="18"/>
          <w:szCs w:val="18"/>
          <w:i w:val="1"/>
          <w:iCs w:val="1"/>
          <w:color w:val="auto"/>
        </w:rPr>
        <w:t>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Cash – Accounts Receivable Securitization Program)) </w:t>
      </w:r>
      <w:r>
        <w:rPr>
          <w:rFonts w:ascii="Times New Roman" w:cs="Times New Roman" w:eastAsia="Times New Roman" w:hAnsi="Times New Roman"/>
          <w:sz w:val="18"/>
          <w:szCs w:val="18"/>
          <w:color w:val="auto"/>
        </w:rPr>
        <w:t>to EBITDA, as defined below, for the period of four consecutive fiscal quarters then ended, of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or equal to 4.5 to 1.0.</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is also restricted from incurring additional unsecured senior indebtedness under certain circumstances unless, after giving effect to the incurrence of such indebtedness, Lamar Media would have a total debt ratio, defined as (x)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(y) EBITDA, as defined below, for the most recent four fiscal quarters then ended, of less than 7.0 to 1.0.</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89"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21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Under the senior credit facility, "net income" means for any period, the consolidated net income (or loss) of Lamar Advertising, Lamar Media, and its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Lamar Media or any of its restricted subsidiaries, and (b) the income (or deficit) of any person (other than any of our restricted subsidiaries) in which Lamar Advertising, Lamar Media or any of its subsidiaries has an ownership interest, except to the extent that any such income is received by Lamar Advertising, Lamar Media or any of its restricted subsidiaries in the form of dividends or similar distributions.</w:t>
      </w:r>
    </w:p>
    <w:p>
      <w:pPr>
        <w:spacing w:after="0" w:line="21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8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Restrictions under Accounts Receivable Securitization Program. </w:t>
      </w:r>
      <w:r>
        <w:rPr>
          <w:rFonts w:ascii="Times New Roman" w:cs="Times New Roman" w:eastAsia="Times New Roman" w:hAnsi="Times New Roman"/>
          <w:sz w:val="18"/>
          <w:szCs w:val="18"/>
          <w:color w:val="auto"/>
        </w:rPr>
        <w:t>The agreements governing the Accounts Receivable Securitization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the senior credit facility.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excluding acquisitions, were approximately $29.9 million for the three months ended March 31, 2025.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our 2025 total capital expenditures will be approximately $195.0 million.</w:t>
      </w:r>
    </w:p>
    <w:p>
      <w:pPr>
        <w:spacing w:after="0" w:line="23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three months ended March 31, 2025, the Company completed acquisitions for an aggregate purchase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$22.1 million, which were financed using available cash on hand.</w:t>
      </w:r>
    </w:p>
    <w:p>
      <w:pPr>
        <w:spacing w:after="0" w:line="18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On February 19, 2025, the Company's Board of Directors declared a quarterly cash dividend of $1.55 per share, paid on March 28,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stockholders of record of its Class A common stock and Class B common stock on March 14, 2025. Subject to approval of the Company's Board of Directors, the Company expects aggregate quarterly distributions to stockholders in 2025 will be at least $6.20 per share of common stock, including the dividends paid on March 28, 2025.</w:t>
      </w:r>
    </w:p>
    <w:p>
      <w:pPr>
        <w:spacing w:after="0" w:line="209"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spacing w:after="0" w:line="213"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and Debt Repurchasing Program. </w:t>
      </w:r>
      <w:r>
        <w:rPr>
          <w:rFonts w:ascii="Times New Roman" w:cs="Times New Roman" w:eastAsia="Times New Roman" w:hAnsi="Times New Roman"/>
          <w:sz w:val="18"/>
          <w:szCs w:val="18"/>
          <w:color w:val="auto"/>
        </w:rPr>
        <w:t>The Company’s Board of Directors has authorized the repurchase of up to $250.0 million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Class A common stock. Additionally, the Board of Directors has authorized Lamar Media to repurchase up to $250.0 million in outstanding senior or senior subordinated notes and other indebtedness outstanding from time to time under its senior credit agreement. On September 24, 2024, the Board of Directors authorized the extension of the repurchase program through March 31, 2026. The Company’s management may opt not to make any repurchases under the program, or may make aggregate purchases less than the total amount authorized. During the three months ended March 31, 2025, the Company repurchased 164,529 shares of the Company's Class A common stock outstanding for a total purchase price of $18.4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Our expected material cash requirements for the twelve months following March 31, 2025 and thereafter are comprised of contractual obligations, required annual distributions and other opportunistic expenditures.</w:t>
      </w:r>
    </w:p>
    <w:p>
      <w:pPr>
        <w:spacing w:after="0" w:line="187"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Contractual Obligations. </w:t>
      </w:r>
      <w:r>
        <w:rPr>
          <w:rFonts w:ascii="Times New Roman" w:cs="Times New Roman" w:eastAsia="Times New Roman" w:hAnsi="Times New Roman"/>
          <w:sz w:val="18"/>
          <w:szCs w:val="18"/>
          <w:color w:val="auto"/>
        </w:rPr>
        <w:t>The following table summarizes our future debt maturities, interest payment obligations, and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including required payments under operating and financing leases as of March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7"/>
        </w:trPr>
        <w:tc>
          <w:tcPr>
            <w:tcW w:w="2440" w:type="dxa"/>
            <w:vAlign w:val="bottom"/>
            <w:tcBorders>
              <w:bottom w:val="single" w:sz="8" w:color="CCEEFF"/>
            </w:tcBorders>
          </w:tcPr>
          <w:p>
            <w:pPr>
              <w:spacing w:after="0"/>
              <w:rPr>
                <w:sz w:val="3"/>
                <w:szCs w:val="3"/>
                <w:color w:val="auto"/>
              </w:rPr>
            </w:pPr>
          </w:p>
        </w:tc>
        <w:tc>
          <w:tcPr>
            <w:tcW w:w="60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3"/>
        </w:trPr>
        <w:tc>
          <w:tcPr>
            <w:tcW w:w="848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Debt maturities</w:t>
            </w:r>
            <w:r>
              <w:rPr>
                <w:rFonts w:ascii="Times New Roman" w:cs="Times New Roman" w:eastAsia="Times New Roman" w:hAnsi="Times New Roman"/>
                <w:sz w:val="28"/>
                <w:szCs w:val="28"/>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3,187.4</w:t>
            </w:r>
          </w:p>
        </w:tc>
      </w:tr>
      <w:tr>
        <w:trPr>
          <w:trHeight w:val="270"/>
        </w:trPr>
        <w:tc>
          <w:tcPr>
            <w:tcW w:w="848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Interest obligations on long-term debt</w:t>
            </w:r>
            <w:r>
              <w:rPr>
                <w:rFonts w:ascii="Times New Roman" w:cs="Times New Roman" w:eastAsia="Times New Roman" w:hAnsi="Times New Roman"/>
                <w:sz w:val="28"/>
                <w:szCs w:val="28"/>
                <w:color w:val="auto"/>
                <w:vertAlign w:val="superscript"/>
              </w:rPr>
              <w:t>(2)</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r>
      <w:tr>
        <w:trPr>
          <w:trHeight w:val="27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 including operating and financing leases</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w:t>
            </w:r>
          </w:p>
        </w:tc>
      </w:tr>
      <w:tr>
        <w:trPr>
          <w:trHeight w:val="26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5,437.7</w:t>
            </w:r>
          </w:p>
        </w:tc>
      </w:tr>
      <w:tr>
        <w:trPr>
          <w:trHeight w:val="20"/>
        </w:trPr>
        <w:tc>
          <w:tcPr>
            <w:tcW w:w="24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67"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maturities assume there is no refinancing prior to the existing maturity date and is based on contractual maturities.</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on our variable rate instruments assume rates at the March 31, 2025 levels.</w:t>
      </w:r>
    </w:p>
    <w:p>
      <w:pPr>
        <w:spacing w:after="0" w:line="23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Required Annual Distributions. </w:t>
      </w:r>
      <w:r>
        <w:rPr>
          <w:rFonts w:ascii="Times New Roman" w:cs="Times New Roman" w:eastAsia="Times New Roman" w:hAnsi="Times New Roman"/>
          <w:sz w:val="18"/>
          <w:szCs w:val="18"/>
          <w:color w:val="auto"/>
        </w:rPr>
        <w:t>As a REIT, the Company must annually distribute to its stockholders an amount equal to at least 90% of its REIT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(determined before the deduction for distributed earnings and excluding any net capital gain).On February 19, 2025, the Company's Board of Directors declared a quarterly cash dividend of $1.55 per share, paid on March 28, 2025 to its stockholders of record of its Class A common stock and Class B common stock on March 14, 2025. Subject to approval of the Company's Board of Directors, the Company expects aggregate quarterly distributions to stockholders in 2025 will be at least $6.20 per share of common stock, including the dividends paid on March 28, 2025.</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9" w:name="page40"/>
    <w:bookmarkEnd w:id="39"/>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Opportunistic Expenditures. </w:t>
      </w:r>
      <w:r>
        <w:rPr>
          <w:rFonts w:ascii="Times New Roman" w:cs="Times New Roman" w:eastAsia="Times New Roman" w:hAnsi="Times New Roman"/>
          <w:sz w:val="18"/>
          <w:szCs w:val="18"/>
          <w:color w:val="auto"/>
        </w:rPr>
        <w:t>As part of our capital allocation strategy, we plan to continue to allocate our available capital among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alternatives 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cash flows provided by operating activities increased $17.2 million from $110.6 million for the three months ended March 31, 2024 to $127.7 million for the three months ended March 31, 2025, primarily resulting from an increase in revenues as well as an increase in collections on receivables as compared to the same period in 2024.</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Cash flows provided by investing activities for three months ended March 31, 2025 was $65.4 million as compared to cash flows used in investing activities for the three months ended March 31, 2024 of $45.0 million. This change was primarily due to proceeds from the sale of the Company's equity investment in Vistar Media, Inc. of $115.1 million.</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cash flows used in financing activities were $206.5 million for the three months ended March 31, 2025 as compared to $73.6 million for the three months ended March 31, 2024. The cash flows used in financing activities of $206.5 million for the three months ended March 31, 2025 is primarily due to cash paid for dividends and distributions and payments on the Accounts Receivable Securitization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2024 Combined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and Regulatory Update</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See Note 13, "New Accounting Pronouncements" to our condensed consolidated financial statements included in Part 1, Item 1 of this report for a discussion of our Accounting Standards and Regulatory Update.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Lamar Media for the three months ended March 31, 2025 and 2024. This discussion should be read in conjunction with the consolidated financial statements of Lamar Media and the related notes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to three months ended March 31, 2024</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$7.3 million or 1.5% to $505.4 million for the three months ended March 31, 2025 from $498.2 million for the same period in 2024. This increase was primarily attributable to an increase in billboard net revenues of $5.5 million and an increase in transit net revenues of $0.9 million over the same period in 2024.</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there was a $5.4 million increase in net revenues as compared to acquisition-adjusted net revenues for the three months ended March 31, 2024, which represents an increase of 1.1%. See "Reconciliations" below. The $5.4 million increase in revenue is primarily due to an increase of $5.2 million in billboard net revenues and $0.5 million in logo net revenues, offset by a decrease in transit net revenues of $0.3 million over the same period in 2024.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0" w:name="page41"/>
    <w:bookmarkEnd w:id="40"/>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$5.7 million, or 1.9%, to $306.1 million for the three months ended March 31, 2025 from $300.4 million for the same period in 2024. The $5.7 million increase over the prior year is comprised of a $9.6 million increase in total direct, general and administrative and corporate expenses (excluding stock-based compensation) primarily related to the operations of our outdoor advertising assets, offset by a $3.9 million decrease in stock-based compensation.</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$2.6 million to $77.8 million for the three months ended March 31, 2025 as compared to $75.2 million for the same period in 2024, primarily related to acquisitions and capital expenditures completed in the last twelve months.</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Lamar Media recognized a gain on disposition of assets and investments of $69.8 million, primarily resulting from the sale of Lamar's equity interest in Vistar Media, Inc., as well as transactions related to the sale of real estate and billboard locations and displays.</w:t>
      </w:r>
    </w:p>
    <w:p>
      <w:pPr>
        <w:spacing w:after="0" w:line="20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$66.6 million to $191.3 million for the three months ended March 31, 2025 as compared to $124.7 million for the same period in 2024.</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decreased $6.2 million for the three months ended March 31, 2025 to $38.3 million as compared to $44.5 million for the three months ended March 31, 2024. The decrease was primarily due to the repayment of the Term A loans outstanding under the senior credit facility in July of 2024 as well as a decrease in interest rates on the senior credit facility and Accounts Receivable Securitization Program.</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Equity in (earnings) loss of investee was $(0.4) million and $0.6 million for the three months ended March 31, 2025 and 2024, respectively.</w:t>
      </w:r>
    </w:p>
    <w:p>
      <w:pPr>
        <w:spacing w:after="0" w:line="25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resulted in a $73.7 million increase in income before income tax expense. The effective tax rate for the three months ended March 31, 2025 was 9.5%, which differs from the federal statutory rate primarily due to our qualification for taxation as a REIT and adjustments for foreign items.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three months ended March 31, 2025 of $139.3 million, as compared to net income of $78.6 million for the same period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2023 have contributed to our net revenue results for the periods presented, we provide 2024 acquisition-adjusted net revenue, which adjusts our 2024 net revenue for the three months ended March 31, 2024 by adding to or subtracting from it the net revenue generated by the acquired or divested assets prior to our acquisition or divestiture of these assets for the same time frame that those assets were owned in the three months ended March 31, 2025.</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2024 reported net revenue to 2024 acquisition-adjusted net revenue for the three months ended March 31, as well as a comparison of 2024 acquisition-adjusted net revenue to 2025 reported net revenue for the three months ended March 31, are provided below:</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4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4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5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498,150</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4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5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505,430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500,040</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8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investee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212,060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March 31, 2025 decreased 0.8% to $210.3 million. The decrease in adjusted EBITDA was primarily attributable to an increase in total general and administrative and corporate expenses of $5.2 million, excluding the impact of stock-based compensation expense, offset by an increase in our gross margin (net revenue less direct advertising expense, exclusive of depreciation and amortization and capitalized contract fulfillment costs, net) of $2.4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0"/>
        </w:trPr>
        <w:tc>
          <w:tcPr>
            <w:tcW w:w="2440" w:type="dxa"/>
            <w:vAlign w:val="bottom"/>
          </w:tcPr>
          <w:p>
            <w:pPr>
              <w:spacing w:after="0"/>
              <w:rPr>
                <w:sz w:val="4"/>
                <w:szCs w:val="4"/>
                <w:color w:val="auto"/>
              </w:rPr>
            </w:pPr>
          </w:p>
        </w:tc>
        <w:tc>
          <w:tcPr>
            <w:tcW w:w="3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210,330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212,060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440" w:type="dxa"/>
            <w:vAlign w:val="bottom"/>
            <w:tcBorders>
              <w:bottom w:val="single" w:sz="8" w:color="auto"/>
            </w:tcBorders>
          </w:tcPr>
          <w:p>
            <w:pPr>
              <w:spacing w:after="0"/>
              <w:rPr>
                <w:sz w:val="13"/>
                <w:szCs w:val="13"/>
                <w:color w:val="auto"/>
              </w:rPr>
            </w:pPr>
          </w:p>
        </w:tc>
        <w:tc>
          <w:tcPr>
            <w:tcW w:w="3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3" w:lineRule="exact"/>
        <w:rPr>
          <w:rFonts w:ascii="Times New Roman" w:cs="Times New Roman" w:eastAsia="Times New Roman" w:hAnsi="Times New Roman"/>
          <w:sz w:val="16"/>
          <w:szCs w:val="16"/>
          <w:color w:val="auto"/>
        </w:rPr>
      </w:pPr>
    </w:p>
    <w:p>
      <w:pPr>
        <w:ind w:left="340" w:hanging="332"/>
        <w:spacing w:after="0" w:line="275"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9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March 31, 2025 decreased 0.8% to $210.3 million. The decrease in adjusted EBITDA was primarily attributable to the decrease in our billboard advertising adjusted EBITDA of $1.5 million and a decrease in other adjusted EBITDA of $1.1 million, offset by a decrease in corporate expenses of $0.9 million, excluding the impact of stock-based compensation expense.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and investments,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164,417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158,375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FFO for the three months ended March 31, 2025 increased from $148.6 million in 2024 to $156.3 million for the same period in 2025, an increase of 5.1%. AFFO for the three months ended March 31, 2025 increased 3.8% to $164.4 million as compared to $158.4 million for the same period in 2024. The increase in AFFO was primarily attributable to an increase in our gross margin (net revenue less direct advertising expense, exclusive of depreciation and amortization and capitalized contract fulfillment costs, net) as well as a decrease in interest expense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Lamar Advertising Company and Lamar Media Corp.</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March 31, 2025, and should be read in conjunction with Note 10 of the Notes to the Company’s Condensed Consolidated Financial Statements.</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At March 31, 2025 there was approximately $1.11 billion of indebtedness outstanding under the senior credit facility and the Accounts Receivable Securitization Program, or approximately 34.6% of the Company’s outstanding long-term debt on that date, bearing interest at variable rates. The aggregate interest expense for 2025 with respect to borrowings under the senior credit facility and the Accounts Receivable Securitization Program was $15.4 million, and the weighted average interest rate applicable to these borrowings during 2025 was 5.7%. Assuming that the weighted average interest rate was 200 basis points higher (that is 7.7% rather than 5.7%), then the Company’s 2025 interest expense would have increased by approximately $5.2 million for the three months ended March 31, 2025.</w:t>
      </w:r>
    </w:p>
    <w:p>
      <w:pPr>
        <w:spacing w:after="0" w:line="214"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the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ind w:left="560" w:hanging="552"/>
        <w:spacing w:after="0"/>
        <w:tabs>
          <w:tab w:leader="none" w:pos="5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254"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14" w:lineRule="exact"/>
        <w:rPr>
          <w:sz w:val="20"/>
          <w:szCs w:val="20"/>
          <w:color w:val="auto"/>
        </w:rPr>
      </w:pPr>
    </w:p>
    <w:p>
      <w:pPr>
        <w:ind w:left="560" w:hanging="552"/>
        <w:spacing w:after="0"/>
        <w:tabs>
          <w:tab w:leader="none" w:pos="5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combined Annual Report on Form 10-K for the year ended December 31, 2024,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the Company's repurchase of its securities during the three months ended March 31, 2025: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40" w:type="dxa"/>
            <w:vAlign w:val="bottom"/>
          </w:tcPr>
          <w:p>
            <w:pPr>
              <w:spacing w:after="0"/>
              <w:rPr>
                <w:sz w:val="18"/>
                <w:szCs w:val="18"/>
                <w:color w:val="auto"/>
              </w:rPr>
            </w:pPr>
          </w:p>
        </w:tc>
        <w:tc>
          <w:tcPr>
            <w:tcW w:w="1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2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of Shares that May</w:t>
            </w:r>
          </w:p>
        </w:tc>
      </w:tr>
      <w:tr>
        <w:trPr>
          <w:trHeight w:val="216"/>
        </w:trPr>
        <w:tc>
          <w:tcPr>
            <w:tcW w:w="2740" w:type="dxa"/>
            <w:vAlign w:val="bottom"/>
          </w:tcPr>
          <w:p>
            <w:pPr>
              <w:spacing w:after="0"/>
              <w:rPr>
                <w:sz w:val="18"/>
                <w:szCs w:val="18"/>
                <w:color w:val="auto"/>
              </w:rPr>
            </w:pP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200" w:type="dxa"/>
            <w:vAlign w:val="bottom"/>
          </w:tcPr>
          <w:p>
            <w:pPr>
              <w:spacing w:after="0"/>
              <w:rPr>
                <w:sz w:val="18"/>
                <w:szCs w:val="18"/>
                <w:color w:val="auto"/>
              </w:rPr>
            </w:pP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Publicly Announced Plan</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Yet Be Purchased Under</w:t>
            </w:r>
          </w:p>
        </w:tc>
      </w:tr>
      <w:tr>
        <w:trPr>
          <w:trHeight w:val="238"/>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00" w:type="dxa"/>
            <w:vAlign w:val="bottom"/>
          </w:tcPr>
          <w:p>
            <w:pPr>
              <w:spacing w:after="0"/>
              <w:rPr>
                <w:sz w:val="20"/>
                <w:szCs w:val="20"/>
                <w:color w:val="auto"/>
              </w:rPr>
            </w:pPr>
          </w:p>
        </w:tc>
        <w:tc>
          <w:tcPr>
            <w:tcW w:w="19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the Plans or Programs (1)</w:t>
            </w:r>
          </w:p>
        </w:tc>
      </w:tr>
      <w:tr>
        <w:trPr>
          <w:trHeight w:val="27"/>
        </w:trPr>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through January 31, 2025</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through February 28,</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250,000,000</w:t>
            </w:r>
          </w:p>
        </w:tc>
      </w:tr>
      <w:tr>
        <w:trPr>
          <w:trHeight w:val="27"/>
        </w:trPr>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through March 31, 2025</w:t>
            </w:r>
          </w:p>
        </w:tc>
        <w:tc>
          <w:tcPr>
            <w:tcW w:w="2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164,529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112.10</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164,529</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231,553,725</w:t>
            </w:r>
          </w:p>
        </w:tc>
      </w:tr>
      <w:tr>
        <w:trPr>
          <w:trHeight w:val="27"/>
        </w:trPr>
        <w:tc>
          <w:tcPr>
            <w:tcW w:w="27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left="260" w:hanging="252"/>
        <w:spacing w:after="0" w:line="282" w:lineRule="auto"/>
        <w:tabs>
          <w:tab w:leader="none" w:pos="4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has authorized the repurchase of up to $250.0 million of the Company’s Class A common stock. On September 24, 2024, the Board of Directors authorized the extension of the repurchase program through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9"/>
        </w:trPr>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5980" w:type="dxa"/>
            <w:vAlign w:val="bottom"/>
            <w:gridSpan w:val="15"/>
          </w:tcPr>
          <w:p>
            <w:pPr>
              <w:ind w:left="5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3"/>
        </w:trPr>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40" w:type="dxa"/>
            <w:vAlign w:val="bottom"/>
            <w:tcBorders>
              <w:top w:val="single" w:sz="8" w:color="auto"/>
            </w:tcBorders>
            <w:gridSpan w:val="16"/>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Amended and Restated Certificate of Incorporation of Lamar Advertising Company (the “Company”), as filed with the Secretary of the State of</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Delaware effective as of November 18, 2014. Previously filed as Exhibit 3.1 to the Company’s Current Report on Form 8-K (File No. 1-36756)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gridSpan w:val="11"/>
          </w:tcPr>
          <w:p>
            <w:pPr>
              <w:spacing w:after="0" w:line="169"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on November 19, 2014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Certificate of Merger, effective as of November 18, 2014. Previously filed as Exhibit 3.2 to the Company’s Current Report on Form 8-K (File No. 1-</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36756) filed on November 19, 2014 and incorporated herein by reference.</w:t>
              </w:r>
            </w:hyperlink>
          </w:p>
        </w:tc>
        <w:tc>
          <w:tcPr>
            <w:tcW w:w="512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Amended and Restated Certificate of Incorporation of Lamar Media Corp. (“Lamar Media”)  Previously filed as Exhibit 3.2 to the Company’s</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13"/>
          </w:tcPr>
          <w:p>
            <w:pPr>
              <w:spacing w:after="0" w:line="169"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Quarterly Report on Form 10-Q for the period ended March 31, 2007 (File No. 0-30242) filed on May 10, 2007 and 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Amended and Restated Bylaws of the Company, adopted as of November 18, 2014. Previously filed as Exhibit 3.3 to the Company’s Current Report</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12"/>
          </w:tcPr>
          <w:p>
            <w:pPr>
              <w:spacing w:after="0" w:line="169"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on Form 8-K (File No. 1-36756) filed on November 19, 2014 and incorporated herein by reference.</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Amended and Restated Bylaws of Lamar Media. Previously filed as Exhibit 3.1 to Lamar Media’s Quarterly Report on Form 10-Q for the period</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9"/>
          </w:tcPr>
          <w:p>
            <w:pPr>
              <w:spacing w:after="0" w:line="169"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ended September 30, 1999 (File No. 1-12407) filed on November 12, 1999 and incorporated herein by reference.</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3"/>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of the Company and Lamar Media pursuant to Securities Exchange Act Rules 13a-14(a) and 15d-14(a) as</w:t>
            </w: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 2002. Filed herewith.</w:t>
            </w:r>
          </w:p>
        </w:tc>
        <w:tc>
          <w:tcPr>
            <w:tcW w:w="444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of the Company and Lamar Media pursuant to Securities Exchange Act Rules 13a-14(a) and 15d-14(a) as</w:t>
            </w: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 2002. Filed herewith.</w:t>
            </w:r>
          </w:p>
        </w:tc>
        <w:tc>
          <w:tcPr>
            <w:tcW w:w="4360" w:type="dxa"/>
            <w:vAlign w:val="bottom"/>
            <w:tcBorders>
              <w:top w:val="single" w:sz="8" w:color="0000FF"/>
            </w:tcBorders>
            <w:gridSpan w:val="7"/>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34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pursuant to 18 U.S.C. Section 1350 as adopted pursuant to Section 906 of the Sarbanes-Oxley Act of 2002. Filed herewith.</w:t>
            </w: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left="1440" w:right="20" w:hanging="899"/>
        <w:spacing w:after="0" w:line="263" w:lineRule="auto"/>
        <w:tabs>
          <w:tab w:leader="none" w:pos="14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statements from the Company’s Quarterly Report on Form 10-Q for the quarter ended March 31, 2025, formatted in Inline XBRL: (i) Condensed Consolidated Balance Sheets, (ii) Condensed Consolidated Statements of Income and Comprehensive Income, (iii) Condensed Consolidated Statements of Stockholders' Equity, (iv) Condensed Consolidated Statements of Cash Flows, and (v) Notes to the Condensed Consolidated Financial Statements, tagged as blocks of text and including detailed tags.</w:t>
      </w:r>
    </w:p>
    <w:p>
      <w:pPr>
        <w:spacing w:after="0" w:line="139" w:lineRule="exact"/>
        <w:rPr>
          <w:sz w:val="20"/>
          <w:szCs w:val="20"/>
          <w:color w:val="auto"/>
        </w:rPr>
      </w:pPr>
    </w:p>
    <w:p>
      <w:pPr>
        <w:ind w:left="1440" w:hanging="899"/>
        <w:spacing w:after="0"/>
        <w:tabs>
          <w:tab w:leader="none" w:pos="14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Date File (formatted as Inline XBRL and contained in Exhibit 101).</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4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2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37" w:lineRule="exact"/>
        <w:rPr>
          <w:sz w:val="20"/>
          <w:szCs w:val="20"/>
          <w:color w:val="auto"/>
        </w:rPr>
      </w:pPr>
    </w:p>
    <w:p>
      <w:pPr>
        <w:ind w:left="20"/>
        <w:spacing w:after="0"/>
        <w:tabs>
          <w:tab w:leader="none" w:pos="4360" w:val="left"/>
          <w:tab w:leader="none" w:pos="5480" w:val="left"/>
        </w:tabs>
        <w:rPr>
          <w:sz w:val="20"/>
          <w:szCs w:val="20"/>
          <w:color w:val="auto"/>
        </w:rPr>
      </w:pPr>
      <w:r>
        <w:rPr>
          <w:rFonts w:ascii="Times New Roman" w:cs="Times New Roman" w:eastAsia="Times New Roman" w:hAnsi="Times New Roman"/>
          <w:sz w:val="18"/>
          <w:szCs w:val="18"/>
          <w:color w:val="auto"/>
        </w:rPr>
        <w:t>DATED: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3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37" w:lineRule="exact"/>
        <w:rPr>
          <w:sz w:val="20"/>
          <w:szCs w:val="20"/>
          <w:color w:val="auto"/>
        </w:rPr>
      </w:pPr>
    </w:p>
    <w:p>
      <w:pPr>
        <w:ind w:left="20"/>
        <w:spacing w:after="0"/>
        <w:tabs>
          <w:tab w:leader="none" w:pos="4360" w:val="left"/>
          <w:tab w:leader="none" w:pos="5480" w:val="left"/>
        </w:tabs>
        <w:rPr>
          <w:sz w:val="20"/>
          <w:szCs w:val="20"/>
          <w:color w:val="auto"/>
        </w:rPr>
      </w:pPr>
      <w:r>
        <w:rPr>
          <w:rFonts w:ascii="Times New Roman" w:cs="Times New Roman" w:eastAsia="Times New Roman" w:hAnsi="Times New Roman"/>
          <w:sz w:val="18"/>
          <w:szCs w:val="18"/>
          <w:color w:val="auto"/>
        </w:rPr>
        <w:t>DATED: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887" w:right="3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Sean E. Reilly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Media Corp.</w:t>
      </w:r>
    </w:p>
    <w:p>
      <w:pPr>
        <w:sectPr>
          <w:pgSz w:w="11900" w:h="16838" w:orient="portrait"/>
          <w:cols w:equalWidth="0" w:num="1">
            <w:col w:w="11240"/>
          </w:cols>
          <w:pgMar w:left="320" w:top="121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Media Corp.</w:t>
      </w:r>
    </w:p>
    <w:p>
      <w:pPr>
        <w:sectPr>
          <w:pgSz w:w="11900" w:h="16838" w:orient="portrait"/>
          <w:cols w:equalWidth="0" w:num="1">
            <w:col w:w="11240"/>
          </w:cols>
          <w:pgMar w:left="320" w:top="121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March 31, 2025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r>
      <w:tr>
        <w:trPr>
          <w:trHeight w:val="230"/>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Media Corp.</w:t>
            </w:r>
          </w:p>
        </w:tc>
      </w:tr>
      <w:tr>
        <w:trPr>
          <w:trHeight w:val="40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5120" w:type="dxa"/>
            <w:vAlign w:val="bottom"/>
          </w:tcPr>
          <w:p>
            <w:pPr>
              <w:spacing w:after="0"/>
              <w:rPr>
                <w:sz w:val="24"/>
                <w:szCs w:val="24"/>
                <w:color w:val="auto"/>
              </w:rPr>
            </w:pPr>
          </w:p>
        </w:tc>
      </w:tr>
      <w:tr>
        <w:trPr>
          <w:trHeight w:val="459"/>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30"/>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Roman"/>
      <w:start w:val="3"/>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lowerRoman"/>
      <w:start w:val="3"/>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3"/>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lowerRoman"/>
      <w:start w:val="3"/>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2"/>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01"/>
    </w:lvl>
  </w:abstractNum>
  <w:abstractNum w:abstractNumId="20">
    <w:nsid w:val="721DA317"/>
    <w:multiLevelType w:val="hybridMultilevel"/>
    <w:lvl w:ilvl="0">
      <w:lvlJc w:val="left"/>
      <w:lvlText w:val="%1"/>
      <w:numFmt w:val="decimal"/>
      <w:start w:val="104"/>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71" Type="http://schemas.openxmlformats.org/officeDocument/2006/relationships/hyperlink" Target="https://www.sec.gov/Archives/edgar/data/1090425/000119312514417756/d823054dex31.htm" TargetMode="External"/><Relationship Id="rId72" Type="http://schemas.openxmlformats.org/officeDocument/2006/relationships/hyperlink" Target="https://www.sec.gov/Archives/edgar/data/1090425/000119312514417756/d823054dex32.htm" TargetMode="External"/><Relationship Id="rId73" Type="http://schemas.openxmlformats.org/officeDocument/2006/relationships/hyperlink" Target="https://www.sec.gov/Archives/edgar/data/899045/000095013407011105/d46520exv3w2.htm" TargetMode="External"/><Relationship Id="rId74" Type="http://schemas.openxmlformats.org/officeDocument/2006/relationships/hyperlink" Target="https://www.sec.gov/Archives/edgar/data/1090425/000119312514417756/d823054dex33.htm" TargetMode="External"/><Relationship Id="rId75" Type="http://schemas.openxmlformats.org/officeDocument/2006/relationships/hyperlink" Target="https://www.sec.gov/Archives/edgar/data/899045/000095013499009877/0000950134-99-009877.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2025-05-08T10:30:04Z</dcterms:created>
  <dcterms:modified xsi:type="dcterms:W3CDTF">2025-05-08T10:30:04Z</dcterms:modified>
</cp:coreProperties>
</file>