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1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June 30, 2024</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240" w:type="dxa"/>
            <w:vAlign w:val="bottom"/>
          </w:tcPr>
          <w:p>
            <w:pPr>
              <w:spacing w:after="0"/>
              <w:rPr>
                <w:sz w:val="14"/>
                <w:szCs w:val="14"/>
                <w:color w:val="auto"/>
              </w:rPr>
            </w:pPr>
          </w:p>
        </w:tc>
        <w:tc>
          <w:tcPr>
            <w:tcW w:w="5480" w:type="dxa"/>
            <w:vAlign w:val="bottom"/>
          </w:tcPr>
          <w:p>
            <w:pPr>
              <w:ind w:left="5300"/>
              <w:spacing w:after="0"/>
              <w:rPr>
                <w:sz w:val="20"/>
                <w:szCs w:val="20"/>
                <w:color w:val="auto"/>
              </w:rPr>
            </w:pPr>
            <w:r>
              <w:rPr>
                <w:rFonts w:ascii="Times New Roman" w:cs="Times New Roman" w:eastAsia="Times New Roman" w:hAnsi="Times New Roman"/>
                <w:sz w:val="13"/>
                <w:szCs w:val="13"/>
                <w:b w:val="1"/>
                <w:bCs w:val="1"/>
                <w:color w:val="auto"/>
              </w:rPr>
              <w:t>or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2"/>
        </w:trPr>
        <w:tc>
          <w:tcPr>
            <w:tcW w:w="240" w:type="dxa"/>
            <w:vAlign w:val="bottom"/>
          </w:tcPr>
          <w:p>
            <w:pPr>
              <w:spacing w:after="0"/>
              <w:rPr>
                <w:sz w:val="21"/>
                <w:szCs w:val="21"/>
                <w:color w:val="auto"/>
              </w:rPr>
            </w:pPr>
          </w:p>
        </w:tc>
        <w:tc>
          <w:tcPr>
            <w:tcW w:w="5480" w:type="dxa"/>
            <w:vAlign w:val="bottom"/>
          </w:tcPr>
          <w:p>
            <w:pPr>
              <w:ind w:left="382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620" w:type="dxa"/>
            <w:vAlign w:val="bottom"/>
            <w:tcBorders>
              <w:bottom w:val="single" w:sz="8" w:color="auto"/>
            </w:tcBorders>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4150995</wp:posOffset>
            </wp:positionH>
            <wp:positionV relativeFrom="paragraph">
              <wp:posOffset>-8255</wp:posOffset>
            </wp:positionV>
            <wp:extent cx="40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Commission File Number 1-36756</w:t>
      </w:r>
    </w:p>
    <w:p>
      <w:pPr>
        <w:spacing w:after="0" w:line="1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Advertising Company</w:t>
      </w:r>
    </w:p>
    <w:p>
      <w:pPr>
        <w:spacing w:after="0" w:line="3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Commission File Number 1-12407</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Media Corp.</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registrants as specified in their charters)</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175"/>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175"/>
        </w:trPr>
        <w:tc>
          <w:tcPr>
            <w:tcW w:w="7300" w:type="dxa"/>
            <w:vAlign w:val="bottom"/>
            <w:gridSpan w:val="4"/>
          </w:tcPr>
          <w:p>
            <w:pPr>
              <w:jc w:val="center"/>
              <w:ind w:right="2000"/>
              <w:spacing w:after="0"/>
              <w:rPr>
                <w:sz w:val="20"/>
                <w:szCs w:val="20"/>
                <w:color w:val="auto"/>
              </w:rPr>
            </w:pPr>
            <w:r>
              <w:rPr>
                <w:rFonts w:ascii="Times New Roman" w:cs="Times New Roman" w:eastAsia="Times New Roman" w:hAnsi="Times New Roman"/>
                <w:sz w:val="13"/>
                <w:szCs w:val="13"/>
                <w:b w:val="1"/>
                <w:bCs w:val="1"/>
                <w:i w:val="1"/>
                <w:iCs w:val="1"/>
                <w:color w:val="auto"/>
                <w:w w:val="97"/>
              </w:rPr>
              <w:t>(State or other jurisdiction of incorporation or organization)</w:t>
            </w:r>
          </w:p>
        </w:tc>
        <w:tc>
          <w:tcPr>
            <w:tcW w:w="3740" w:type="dxa"/>
            <w:vAlign w:val="bottom"/>
          </w:tcPr>
          <w:p>
            <w:pPr>
              <w:jc w:val="center"/>
              <w:ind w:right="155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351"/>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2"/>
              </w:rPr>
              <w:t>70808</w:t>
            </w:r>
          </w:p>
        </w:tc>
      </w:tr>
      <w:tr>
        <w:trPr>
          <w:trHeight w:val="176"/>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78"/>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(225) 926-1000</w:t>
            </w:r>
          </w:p>
        </w:tc>
        <w:tc>
          <w:tcPr>
            <w:tcW w:w="3740" w:type="dxa"/>
            <w:vAlign w:val="bottom"/>
          </w:tcPr>
          <w:p>
            <w:pPr>
              <w:spacing w:after="0"/>
              <w:rPr>
                <w:sz w:val="24"/>
                <w:szCs w:val="24"/>
                <w:color w:val="auto"/>
              </w:rPr>
            </w:pPr>
          </w:p>
        </w:tc>
      </w:tr>
      <w:tr>
        <w:trPr>
          <w:trHeight w:val="189"/>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740" w:type="dxa"/>
            <w:vAlign w:val="bottom"/>
          </w:tcPr>
          <w:p>
            <w:pPr>
              <w:spacing w:after="0"/>
              <w:rPr>
                <w:sz w:val="16"/>
                <w:szCs w:val="16"/>
                <w:color w:val="auto"/>
              </w:rPr>
            </w:pPr>
          </w:p>
        </w:tc>
      </w:tr>
      <w:tr>
        <w:trPr>
          <w:trHeight w:val="117"/>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130"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300" w:type="dxa"/>
            <w:vAlign w:val="bottom"/>
          </w:tcPr>
          <w:p>
            <w:pPr>
              <w:ind w:left="600"/>
              <w:spacing w:after="0"/>
              <w:rPr>
                <w:sz w:val="20"/>
                <w:szCs w:val="20"/>
                <w:color w:val="auto"/>
              </w:rPr>
            </w:pPr>
            <w:r>
              <w:rPr>
                <w:rFonts w:ascii="Wingdings" w:cs="Wingdings" w:eastAsia="Wingdings" w:hAnsi="Wingdings"/>
                <w:sz w:val="13"/>
                <w:szCs w:val="13"/>
                <w:b w:val="1"/>
                <w:bCs w:val="1"/>
                <w:color w:val="auto"/>
              </w:rPr>
              <w:t>x</w:t>
            </w:r>
          </w:p>
        </w:tc>
        <w:tc>
          <w:tcPr>
            <w:tcW w:w="4640" w:type="dxa"/>
            <w:vAlign w:val="bottom"/>
          </w:tcPr>
          <w:p>
            <w:pPr>
              <w:ind w:left="256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30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5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30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126"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40" w:type="dxa"/>
            <w:vAlign w:val="bottom"/>
          </w:tcPr>
          <w:p>
            <w:pPr>
              <w:ind w:left="580"/>
              <w:spacing w:after="0"/>
              <w:rPr>
                <w:sz w:val="20"/>
                <w:szCs w:val="20"/>
                <w:color w:val="auto"/>
              </w:rPr>
            </w:pPr>
            <w:r>
              <w:rPr>
                <w:rFonts w:ascii="Wingdings" w:cs="Wingdings" w:eastAsia="Wingdings" w:hAnsi="Wingdings"/>
                <w:sz w:val="13"/>
                <w:szCs w:val="13"/>
                <w:b w:val="1"/>
                <w:bCs w:val="1"/>
                <w:color w:val="auto"/>
              </w:rPr>
              <w:t>x</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113"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40"/>
          </w:cols>
          <w:pgMar w:left="320" w:top="1161" w:right="339" w:bottom="1440" w:gutter="0" w:footer="0" w:header="0"/>
        </w:sectPr>
      </w:pP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x</w:t>
      </w:r>
    </w:p>
    <w:p>
      <w:pPr>
        <w:spacing w:after="0" w:line="35" w:lineRule="exact"/>
        <w:rPr>
          <w:sz w:val="24"/>
          <w:szCs w:val="24"/>
          <w:color w:val="auto"/>
        </w:rPr>
      </w:pPr>
    </w:p>
    <w:p>
      <w:pPr>
        <w:sectPr>
          <w:pgSz w:w="11900" w:h="16838" w:orient="portrait"/>
          <w:cols w:equalWidth="0" w:num="4">
            <w:col w:w="6540" w:space="120"/>
            <w:col w:w="200" w:space="60"/>
            <w:col w:w="100" w:space="120"/>
            <w:col w:w="4100"/>
          </w:cols>
          <w:pgMar w:left="320" w:top="1161" w:right="3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50" w:lineRule="exact"/>
        <w:rPr>
          <w:sz w:val="24"/>
          <w:szCs w:val="24"/>
          <w:color w:val="auto"/>
        </w:rPr>
      </w:pPr>
    </w:p>
    <w:p>
      <w:pPr>
        <w:sectPr>
          <w:pgSz w:w="11900" w:h="16838" w:orient="portrait"/>
          <w:cols w:equalWidth="0" w:num="5">
            <w:col w:w="6060" w:space="120"/>
            <w:col w:w="200" w:space="60"/>
            <w:col w:w="100" w:space="120"/>
            <w:col w:w="160" w:space="60"/>
            <w:col w:w="4360"/>
          </w:cols>
          <w:pgMar w:left="320" w:top="11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The number of shares of Lamar Advertising Company’s Class A common stock outstanding as of August 2, 2024: 87,881,548</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number of shares of the Lamar Advertising Company’s Class B common stock outstanding as of August 2, 2024: 14,420,085</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Lamar Media Corp. common stock outstanding as of August 2, 2024: 100</w:t>
      </w:r>
    </w:p>
    <w:p>
      <w:pPr>
        <w:sectPr>
          <w:pgSz w:w="11900" w:h="16838" w:orient="portrait"/>
          <w:cols w:equalWidth="0" w:num="1">
            <w:col w:w="11240"/>
          </w:cols>
          <w:pgMar w:left="320" w:top="1161" w:right="339" w:bottom="1440" w:gutter="0" w:footer="0" w:header="0"/>
          <w:type w:val="continuous"/>
        </w:sectPr>
      </w:pPr>
    </w:p>
    <w:p>
      <w:pPr>
        <w:spacing w:after="0" w:line="51" w:lineRule="exact"/>
        <w:rPr>
          <w:sz w:val="24"/>
          <w:szCs w:val="24"/>
          <w:color w:val="auto"/>
        </w:rPr>
      </w:pPr>
    </w:p>
    <w:p>
      <w:pPr>
        <w:spacing w:after="0" w:line="295" w:lineRule="auto"/>
        <w:rPr>
          <w:sz w:val="20"/>
          <w:szCs w:val="20"/>
          <w:color w:val="auto"/>
        </w:rPr>
      </w:pPr>
      <w:r>
        <w:rPr>
          <w:rFonts w:ascii="Times New Roman" w:cs="Times New Roman" w:eastAsia="Times New Roman" w:hAnsi="Times New Roman"/>
          <w:sz w:val="13"/>
          <w:szCs w:val="13"/>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dividend distributions;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2" w:lineRule="exact"/>
        <w:rPr>
          <w:sz w:val="20"/>
          <w:szCs w:val="20"/>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2023 of the Company and Lamar Media (the “2023 Combined Form 10-K”), filed on February 23, 2024,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20" w:type="dxa"/>
            <w:vAlign w:val="bottom"/>
            <w:gridSpan w:val="18"/>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420" w:type="dxa"/>
            <w:vAlign w:val="bottom"/>
            <w:gridSpan w:val="18"/>
            <w:vMerge w:val="continue"/>
          </w:tcPr>
          <w:p>
            <w:pPr>
              <w:spacing w:after="0"/>
              <w:rPr>
                <w:sz w:val="14"/>
                <w:szCs w:val="14"/>
                <w:color w:val="auto"/>
              </w:rPr>
            </w:pPr>
          </w:p>
        </w:tc>
        <w:tc>
          <w:tcPr>
            <w:tcW w:w="7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26"/>
        </w:trPr>
        <w:tc>
          <w:tcPr>
            <w:tcW w:w="3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6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48"/>
        </w:trPr>
        <w:tc>
          <w:tcPr>
            <w:tcW w:w="2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and six months ended June 30, 2024 and 2023</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8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2024 and 2023</w:t>
            </w:r>
          </w:p>
        </w:tc>
        <w:tc>
          <w:tcPr>
            <w:tcW w:w="1280" w:type="dxa"/>
            <w:vAlign w:val="bottom"/>
            <w:gridSpan w:val="2"/>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2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68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and six months ended June 30, 2024 and 2023</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86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132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2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68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318"/>
        </w:trPr>
        <w:tc>
          <w:tcPr>
            <w:tcW w:w="50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58"/>
        </w:trPr>
        <w:tc>
          <w:tcPr>
            <w:tcW w:w="2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9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58"/>
        </w:trPr>
        <w:tc>
          <w:tcPr>
            <w:tcW w:w="2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358"/>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358"/>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358"/>
        </w:trPr>
        <w:tc>
          <w:tcPr>
            <w:tcW w:w="12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00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44,605</w:t>
            </w: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$11,146 and $12,477 in 2024 and 2023, respectively</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301,189</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27,392</w:t>
            </w:r>
          </w:p>
        </w:tc>
      </w:tr>
      <w:tr>
        <w:trPr>
          <w:trHeight w:val="189"/>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440,724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373,186</w:t>
            </w: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4,312,353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4,274,831</w:t>
            </w:r>
          </w:p>
        </w:tc>
      </w:tr>
      <w:tr>
        <w:trPr>
          <w:trHeight w:val="19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(2,764,577)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(2,708,361)</w:t>
            </w:r>
          </w:p>
        </w:tc>
      </w:tr>
      <w:tr>
        <w:trPr>
          <w:trHeight w:val="19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1,547,776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1,566,470</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jc w:val="both"/>
        <w:ind w:left="20"/>
        <w:spacing w:after="0" w:line="297" w:lineRule="auto"/>
        <w:rPr>
          <w:sz w:val="20"/>
          <w:szCs w:val="20"/>
          <w:color w:val="auto"/>
        </w:rPr>
      </w:pPr>
      <w:r>
        <w:rPr>
          <w:rFonts w:ascii="Times New Roman" w:cs="Times New Roman" w:eastAsia="Times New Roman" w:hAnsi="Times New Roman"/>
          <w:sz w:val="14"/>
          <w:szCs w:val="14"/>
          <w:color w:val="auto"/>
        </w:rPr>
        <w:t>Operating lease right of use assets Financing lease right of use assets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1,335,503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1,315,433</w:t>
            </w:r>
          </w:p>
        </w:tc>
      </w:tr>
      <w:tr>
        <w:trPr>
          <w:trHeight w:val="193"/>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11,184</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2,035,196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2,035,271</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1,120,619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1,171,434</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92,845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90,644</w:t>
            </w:r>
          </w:p>
        </w:tc>
      </w:tr>
      <w:tr>
        <w:trPr>
          <w:trHeight w:val="23"/>
        </w:trPr>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6,582,421</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6,563,622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-641985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-384810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-127635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-85725</wp:posOffset>
            </wp:positionV>
            <wp:extent cx="205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980" w:space="460"/>
            <w:col w:w="8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 accounts payable</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21,280</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$590 and $380 in 2024 and 2023, respectively</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599,817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250,018</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184,528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210,568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107,195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161,976</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126,547</w:t>
            </w: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1,064,534</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713,897</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$25,571 and $28,865 in 2024 and 2023, respectively</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2,749,360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3,091,109</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1,095,076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1,075,285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14,614</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12,047</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397,991</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46,980</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41,891</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5,384,012</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5,346,834</w:t>
            </w:r>
          </w:p>
        </w:tc>
        <w:tc>
          <w:tcPr>
            <w:tcW w:w="0" w:type="dxa"/>
            <w:vAlign w:val="bottom"/>
          </w:tcPr>
          <w:p>
            <w:pPr>
              <w:spacing w:after="0"/>
              <w:rPr>
                <w:sz w:val="1"/>
                <w:szCs w:val="1"/>
                <w:color w:val="auto"/>
              </w:rPr>
            </w:pPr>
          </w:p>
        </w:tc>
      </w:tr>
      <w:tr>
        <w:trPr>
          <w:trHeight w:val="17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outstanding at 2024 and 2023</w:t>
            </w:r>
          </w:p>
        </w:tc>
        <w:tc>
          <w:tcPr>
            <w:tcW w:w="5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Class A common stock, par value $0.001, 362,500,000 shares authorized; 88,765,631 and 88,486,495 shares issued at 2024 and 2023,</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respectively; 87,875,073 and 87,645,560 outstanding at 2024 and 2023, respectively</w:t>
            </w: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2024 and 2023</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2,140,977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2,103,282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comprehensive loss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(869,971)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(819,235)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shares held in treasury, 890,558 and 840,935 shares at 2024 and 2023, respectively</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(67,347)</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Non-controlling interest</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1,198,409</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1,216,788</w:t>
            </w:r>
          </w:p>
        </w:tc>
        <w:tc>
          <w:tcPr>
            <w:tcW w:w="0" w:type="dxa"/>
            <w:vAlign w:val="bottom"/>
          </w:tcPr>
          <w:p>
            <w:pPr>
              <w:spacing w:after="0"/>
              <w:rPr>
                <w:sz w:val="1"/>
                <w:szCs w:val="1"/>
                <w:color w:val="auto"/>
              </w:rPr>
            </w:pPr>
          </w:p>
        </w:tc>
      </w:tr>
      <w:tr>
        <w:trPr>
          <w:trHeight w:val="203"/>
        </w:trPr>
        <w:tc>
          <w:tcPr>
            <w:tcW w:w="8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6,582,421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6,563,622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09"/>
        </w:trPr>
        <w:tc>
          <w:tcPr>
            <w:tcW w:w="56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56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565,251</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541,137</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1,063,401</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1,012,469</w:t>
            </w:r>
          </w:p>
        </w:tc>
      </w:tr>
      <w:tr>
        <w:trPr>
          <w:trHeight w:val="19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advertising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340,215</w:t>
            </w:r>
          </w:p>
        </w:tc>
      </w:tr>
      <w:tr>
        <w:trPr>
          <w:trHeight w:val="219"/>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 (exclusive of 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88,341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90,525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177,502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175,660</w:t>
            </w:r>
          </w:p>
        </w:tc>
      </w:tr>
      <w:tr>
        <w:trPr>
          <w:trHeight w:val="213"/>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Corporate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57,083</w:t>
            </w:r>
          </w:p>
        </w:tc>
      </w:tr>
      <w:tr>
        <w:trPr>
          <w:trHeight w:val="219"/>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77,191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75,158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152,419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148,283</w:t>
            </w:r>
          </w:p>
        </w:tc>
      </w:tr>
      <w:tr>
        <w:trPr>
          <w:trHeight w:val="213"/>
        </w:trPr>
        <w:tc>
          <w:tcPr>
            <w:tcW w:w="56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w:t>
            </w:r>
          </w:p>
        </w:tc>
      </w:tr>
      <w:tr>
        <w:trPr>
          <w:trHeight w:val="212"/>
        </w:trPr>
        <w:tc>
          <w:tcPr>
            <w:tcW w:w="56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381,024</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364,346</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754,574</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716,877</w:t>
            </w:r>
          </w:p>
        </w:tc>
      </w:tr>
      <w:tr>
        <w:trPr>
          <w:trHeight w:val="207"/>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295,592</w:t>
            </w:r>
          </w:p>
        </w:tc>
      </w:tr>
      <w:tr>
        <w:trPr>
          <w:trHeight w:val="21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85,093</w:t>
            </w:r>
          </w:p>
        </w:tc>
      </w:tr>
      <w:tr>
        <w:trPr>
          <w:trHeight w:val="213"/>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Equity in (earnings) loss of investee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12"/>
        </w:trPr>
        <w:tc>
          <w:tcPr>
            <w:tcW w:w="5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83,528</w:t>
            </w: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220,487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212,064</w:t>
            </w: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216,093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207,086</w:t>
            </w: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206,661</w:t>
            </w: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on preferred stock</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stock</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137,275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215,408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206,479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6"/>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dividends declared per share of common stock</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used in computing earnings per share: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102,248,621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101,917,200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102,181,890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101,855,104</w:t>
            </w: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102,594,217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102,104,429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102,522,569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102,047,875</w:t>
            </w: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Comprehensive Income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207,086</w:t>
            </w: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207,487</w:t>
            </w:r>
          </w:p>
        </w:tc>
      </w:tr>
      <w:tr>
        <w:trPr>
          <w:trHeight w:val="21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136,935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131,023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214,767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207,062</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620" w:type="dxa"/>
            <w:vAlign w:val="bottom"/>
          </w:tcPr>
          <w:p>
            <w:pPr>
              <w:spacing w:after="0"/>
              <w:rPr>
                <w:sz w:val="11"/>
                <w:szCs w:val="11"/>
                <w:color w:val="auto"/>
              </w:rPr>
            </w:pPr>
          </w:p>
        </w:tc>
        <w:tc>
          <w:tcPr>
            <w:tcW w:w="720" w:type="dxa"/>
            <w:vAlign w:val="bottom"/>
          </w:tcPr>
          <w:p>
            <w:pPr>
              <w:jc w:val="center"/>
              <w:ind w:left="162"/>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80" w:type="dxa"/>
            <w:vAlign w:val="bottom"/>
          </w:tcPr>
          <w:p>
            <w:pPr>
              <w:spacing w:after="0"/>
              <w:rPr>
                <w:sz w:val="11"/>
                <w:szCs w:val="11"/>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720" w:type="dxa"/>
            <w:vAlign w:val="bottom"/>
          </w:tcPr>
          <w:p>
            <w:pPr>
              <w:jc w:val="center"/>
              <w:ind w:left="142"/>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42"/>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42"/>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0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720" w:type="dxa"/>
            <w:vAlign w:val="bottom"/>
          </w:tcPr>
          <w:p>
            <w:pPr>
              <w:jc w:val="center"/>
              <w:ind w:left="162"/>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2023</w:t>
            </w:r>
          </w:p>
        </w:tc>
        <w:tc>
          <w:tcPr>
            <w:tcW w:w="720" w:type="dxa"/>
            <w:vAlign w:val="bottom"/>
            <w:tcBorders>
              <w:top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2,103,282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(819,235)</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414</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1,216,788</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Issuance of 137,350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awards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17,869</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Exercise of 47,000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Issuance of 40,322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Purchase of 49,623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treasury stock</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78,499</w:t>
            </w:r>
          </w:p>
        </w:tc>
        <w:tc>
          <w:tcPr>
            <w:tcW w:w="0" w:type="dxa"/>
            <w:vAlign w:val="bottom"/>
          </w:tcPr>
          <w:p>
            <w:pPr>
              <w:spacing w:after="0"/>
              <w:rPr>
                <w:sz w:val="1"/>
                <w:szCs w:val="1"/>
                <w:color w:val="auto"/>
              </w:rPr>
            </w:pPr>
          </w:p>
        </w:tc>
      </w:tr>
      <w:tr>
        <w:trPr>
          <w:trHeight w:val="181"/>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Reallocation of capital</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Dividends ($1.30 per common</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(133,028)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(133,507)</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63"/>
        </w:trPr>
        <w:tc>
          <w:tcPr>
            <w:tcW w:w="1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Balance, March 31, 2024</w:t>
            </w:r>
          </w:p>
        </w:tc>
        <w:tc>
          <w:tcPr>
            <w:tcW w:w="7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2,129,944</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(874,130)</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1,228</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1,183,637</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5,821</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Issuance of 5,652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awards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Exercise of 18,475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Issuance of 30,337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0" w:type="dxa"/>
            <w:vAlign w:val="bottom"/>
          </w:tcPr>
          <w:p>
            <w:pPr>
              <w:spacing w:after="0"/>
              <w:rPr>
                <w:sz w:val="1"/>
                <w:szCs w:val="1"/>
                <w:color w:val="auto"/>
              </w:rPr>
            </w:pPr>
          </w:p>
        </w:tc>
      </w:tr>
      <w:tr>
        <w:trPr>
          <w:trHeight w:val="184"/>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137,594</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Dividends ($1.30 per common</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(133,333)</w:t>
            </w:r>
          </w:p>
        </w:tc>
        <w:tc>
          <w:tcPr>
            <w:tcW w:w="0" w:type="dxa"/>
            <w:vAlign w:val="bottom"/>
          </w:tcPr>
          <w:p>
            <w:pPr>
              <w:spacing w:after="0"/>
              <w:rPr>
                <w:sz w:val="1"/>
                <w:szCs w:val="1"/>
                <w:color w:val="auto"/>
              </w:rPr>
            </w:pPr>
          </w:p>
        </w:tc>
      </w:tr>
      <w:tr>
        <w:trPr>
          <w:trHeight w:val="122"/>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200"/>
        </w:trPr>
        <w:tc>
          <w:tcPr>
            <w:tcW w:w="1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June 30, 2024</w:t>
            </w:r>
          </w:p>
        </w:tc>
        <w:tc>
          <w:tcPr>
            <w:tcW w:w="72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2,140,977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(869,971)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1,239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1,198,409</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640" w:type="dxa"/>
            <w:vAlign w:val="bottom"/>
          </w:tcPr>
          <w:p>
            <w:pPr>
              <w:spacing w:after="0"/>
              <w:rPr>
                <w:sz w:val="11"/>
                <w:szCs w:val="11"/>
                <w:color w:val="auto"/>
              </w:rPr>
            </w:pPr>
          </w:p>
        </w:tc>
        <w:tc>
          <w:tcPr>
            <w:tcW w:w="720" w:type="dxa"/>
            <w:vAlign w:val="bottom"/>
          </w:tcPr>
          <w:p>
            <w:pPr>
              <w:jc w:val="center"/>
              <w:ind w:left="162"/>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720" w:type="dxa"/>
            <w:vAlign w:val="bottom"/>
          </w:tcPr>
          <w:p>
            <w:pPr>
              <w:jc w:val="center"/>
              <w:ind w:left="142"/>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42"/>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42"/>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Paid in</w:t>
            </w:r>
          </w:p>
        </w:tc>
        <w:tc>
          <w:tcPr>
            <w:tcW w:w="10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720" w:type="dxa"/>
            <w:vAlign w:val="bottom"/>
          </w:tcPr>
          <w:p>
            <w:pPr>
              <w:jc w:val="center"/>
              <w:ind w:left="162"/>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720" w:type="dxa"/>
            <w:vAlign w:val="bottom"/>
            <w:tcBorders>
              <w:top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2,061,671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(804,382)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1,195,374</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3,305</w:t>
            </w: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161,050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awards</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15,934</w:t>
            </w: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Exercise of 10,595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0" w:type="dxa"/>
            <w:vAlign w:val="bottom"/>
          </w:tcPr>
          <w:p>
            <w:pPr>
              <w:spacing w:after="0"/>
              <w:rPr>
                <w:sz w:val="1"/>
                <w:szCs w:val="1"/>
                <w:color w:val="auto"/>
              </w:rPr>
            </w:pPr>
          </w:p>
        </w:tc>
      </w:tr>
      <w:tr>
        <w:trPr>
          <w:trHeight w:val="129"/>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45,232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Purchase of 56,808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treasury stock</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(5,946)</w:t>
            </w:r>
          </w:p>
        </w:tc>
        <w:tc>
          <w:tcPr>
            <w:tcW w:w="0" w:type="dxa"/>
            <w:vAlign w:val="bottom"/>
          </w:tcPr>
          <w:p>
            <w:pPr>
              <w:spacing w:after="0"/>
              <w:rPr>
                <w:sz w:val="1"/>
                <w:szCs w:val="1"/>
                <w:color w:val="auto"/>
              </w:rPr>
            </w:pPr>
          </w:p>
        </w:tc>
      </w:tr>
      <w:tr>
        <w:trPr>
          <w:trHeight w:val="18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76,198</w:t>
            </w: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Reallocation of capital</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($1.25 per common</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(127,674)</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63"/>
        </w:trPr>
        <w:tc>
          <w:tcPr>
            <w:tcW w:w="164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March 31, 2023</w:t>
            </w:r>
          </w:p>
        </w:tc>
        <w:tc>
          <w:tcPr>
            <w:tcW w:w="7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(67,304)</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2,084,102</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(855,892)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1,160,687</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compensation</w:t>
            </w: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w:t>
            </w: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7,126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awards</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Exercise of 11,540 shares of</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options</w:t>
            </w: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34,283 shares of</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common stock through</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purchase plan</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2,675</w:t>
            </w:r>
          </w:p>
        </w:tc>
        <w:tc>
          <w:tcPr>
            <w:tcW w:w="0" w:type="dxa"/>
            <w:vAlign w:val="bottom"/>
          </w:tcPr>
          <w:p>
            <w:pPr>
              <w:spacing w:after="0"/>
              <w:rPr>
                <w:sz w:val="1"/>
                <w:szCs w:val="1"/>
                <w:color w:val="auto"/>
              </w:rPr>
            </w:pPr>
          </w:p>
        </w:tc>
      </w:tr>
      <w:tr>
        <w:trPr>
          <w:trHeight w:val="18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130,888</w:t>
            </w: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($1.25 per common</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 and other</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(127,691)</w:t>
            </w: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($15.95 per</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preferred share)</w:t>
            </w:r>
          </w:p>
        </w:tc>
        <w:tc>
          <w:tcPr>
            <w:tcW w:w="7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95"/>
        </w:trPr>
        <w:tc>
          <w:tcPr>
            <w:tcW w:w="1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2023</w:t>
            </w:r>
          </w:p>
        </w:tc>
        <w:tc>
          <w:tcPr>
            <w:tcW w:w="72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2,090,400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1,170,494</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216,093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207,086</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152,419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148,283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12,446</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Equity in loss (earnings) of investee</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benefit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Decrease (increase) in: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Receivables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(42,589)</w:t>
            </w:r>
          </w:p>
        </w:tc>
        <w:tc>
          <w:tcPr>
            <w:tcW w:w="0" w:type="dxa"/>
            <w:vAlign w:val="bottom"/>
          </w:tcPr>
          <w:p>
            <w:pPr>
              <w:spacing w:after="0"/>
              <w:rPr>
                <w:sz w:val="1"/>
                <w:szCs w:val="1"/>
                <w:color w:val="auto"/>
              </w:rPr>
            </w:pPr>
          </w:p>
        </w:tc>
      </w:tr>
      <w:tr>
        <w:trPr>
          <w:trHeight w:val="195"/>
        </w:trPr>
        <w:tc>
          <w:tcPr>
            <w:tcW w:w="84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Trade 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0" w:type="dxa"/>
            <w:vAlign w:val="bottom"/>
          </w:tcPr>
          <w:p>
            <w:pPr>
              <w:spacing w:after="0"/>
              <w:rPr>
                <w:sz w:val="1"/>
                <w:szCs w:val="1"/>
                <w:color w:val="auto"/>
              </w:rPr>
            </w:pPr>
          </w:p>
        </w:tc>
      </w:tr>
      <w:tr>
        <w:trPr>
          <w:trHeight w:val="195"/>
        </w:trPr>
        <w:tc>
          <w:tcPr>
            <w:tcW w:w="84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(16,531)</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(30,656)</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36,501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36,902</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366,904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306,873</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(42,122)</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(76,661)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(130,009)</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used for purchase of treasury stock</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(5,946)</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7,692</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198,000</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Dividends/distributions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(255,180)</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(256,744)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(181,780)</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44,605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52,619</w:t>
            </w:r>
          </w:p>
        </w:tc>
        <w:tc>
          <w:tcPr>
            <w:tcW w:w="0" w:type="dxa"/>
            <w:vAlign w:val="bottom"/>
          </w:tcPr>
          <w:p>
            <w:pPr>
              <w:spacing w:after="0"/>
              <w:rPr>
                <w:sz w:val="1"/>
                <w:szCs w:val="1"/>
                <w:color w:val="auto"/>
              </w:rPr>
            </w:pPr>
          </w:p>
        </w:tc>
      </w:tr>
      <w:tr>
        <w:trPr>
          <w:trHeight w:val="228"/>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77,932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47,779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85,653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81,882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5,205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2023 Combined Form 10-K. Subsequent events, if any, are evaluated through the date on which the financial statements are issued.</w:t>
      </w:r>
    </w:p>
    <w:p>
      <w:pPr>
        <w:spacing w:after="0" w:line="29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Advertising revenues</w:t>
      </w:r>
      <w:r>
        <w:rPr>
          <w:rFonts w:ascii="Times New Roman" w:cs="Times New Roman" w:eastAsia="Times New Roman" w:hAnsi="Times New Roman"/>
          <w:sz w:val="18"/>
          <w:szCs w:val="18"/>
          <w:color w:val="auto"/>
        </w:rPr>
        <w:t>: The majority of our revenues are derived from contracts for advertising space on billboard, logo and transit displays. Contracts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 copy.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production contracts is recognized under ASC 606. Contract revenues for production services are recognized upon satisfaction of the contract which is typically less than one week.</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allocate revenue to each performance obligation based on the relative standalone selling price. We determine standalone selling prices based on the prices charged to customers using expected cost plus margin.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and six months ended June 30, 2024 and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502,144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483,278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941,529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900,453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41,538</w:t>
            </w:r>
          </w:p>
        </w:tc>
      </w:tr>
      <w:tr>
        <w:trPr>
          <w:trHeight w:val="22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41,590</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36,631</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79,613</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70,478</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1,012,469</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2024 and 2023, we had operating lease costs of $79,519 and $79,640, respectively, and variable lease costs of $16,868 and $16,153, respectively. During the six months ended June 30, 2024 and 2023, we had operating lease costs of $158,770 and $159,086, respectively, and variable lease costs of $30,310 and $28,528, respectively. These operating lease costs are recorded in direct advertising expenses (exclusive of depreciation and amortization). For the three months ended June 30, 2024 and 2023, we recorded a gain of $260 and $337, respectively, in gain on disposition of assets related to the amendment and termination of lease agreements. For the six months ended June 30, 2024 and 2023, we recorded a gain of $268 and $192, respectively, in gain on disposition of assets related to the amendment and termination of lease agreements. Cash payments of $221,401 and $202,129 were made reducing our operating lease liabilities for the six months ended June 30, 2024 and 2023, respectively, and are included in cash flows provided by operating activities in the Condensed Consolidated Statements of Cash Flows.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$2,647 and $2,598 in direct advertising expenses (exclusive of depreciation and amortization) for these agreements during the three months ended June 30, 2024 and 2023, respectively. We recorded $5,174 and $5,008 in direct advertising expenses (exclusive of depreciation and amortization) for these agreements during the six months ended June 30, 2024 and 2023,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12.3 years. The weighted-average discount rate of our operating leases is 5.1%. Also, during the periods ended June 30, 2024 and 2023, we obtained $5,169 and $9,910, respectively, of leased assets in exchange for new operating lease liabilities, which includes liabilities obtained through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June 30, 2024:</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105,156</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217,513</w:t>
            </w:r>
          </w:p>
        </w:tc>
      </w:t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185,869</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162,358</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139,767</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966,077</w:t>
            </w: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1,776,740</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(497,136)</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1,279,604</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2024 and 2023, $713 of amortization expense for each period and $117 and $127 of interest expense relating to our financing lease liabilities were recorded in depreciation and amortization and interest expense, respectively, in the Condensed Consolidated Statements of Income and Comprehensive Income. During the six months ended June 30, 2024 and 2023, $1,427 of amortization expense for each period and $237 and $257 of interest expense relating to our financing lease liabilities were recorded in depreciation and amortization and interest expense, respectively, in the Condensed Consolidated Statements of Income and Comprehensive Income. Cash payments of $666 were made reducing our financing lease liabilities for each of the six months ended June 30, 2024 and 2023, and are included in cash flows used in financing activities in the Condensed Consolidated Statements of Cash Flows. Our financing leases have a weighted-average remaining lease term of 3.4 years and a weighted-average discount rate of 3.1%.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June 30, 2024 and 2023, non-lease variable transit costs were $23,429 and $20,320, respectively. For the six months ended June 30, 2024 and 2023, non-lease variable transit costs were $46,992 and $40,638,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transit expenses are recorded in direct advertising expenses (exclusive of depreciation and amortization) on the Condensed Consolidated Statements of Income and Comprehensive Income.</w:t>
      </w:r>
    </w:p>
    <w:p>
      <w:pPr>
        <w:spacing w:after="0" w:line="270"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Stock-Based Compensation</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 Advertising’s 1996 Equity Incentive Plan, as amended, (the “Incentive Plan”) has reserved 17.5 million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had no granted options of its Class A common stock during the six months ended June 30, 2024. At June 30, 2024 a total of 1,481,374 shares were available for future grant.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Class A common stock available under the 2019 ESPP was automatically increased by 87,645 shares on January 1, 2024 pursuant to the automatic increase provisions of the 2019 ESPP.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six months ended June 30,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8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242,292</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87,645</w:t>
            </w:r>
          </w:p>
        </w:tc>
      </w:tr>
      <w:tr>
        <w:trPr>
          <w:trHeight w:val="230"/>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(70,659)</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June 30, 2024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259,278</w:t>
            </w:r>
          </w:p>
        </w:tc>
      </w:tr>
      <w:tr>
        <w:trPr>
          <w:trHeight w:val="21"/>
        </w:trPr>
        <w:tc>
          <w:tcPr>
            <w:tcW w:w="9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 the Incentive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to be issued, if any, are generally dependent on the level of achievement of performance measures for key officers and employees, as determined by the Company’s Compensation Committee based on our 2024 results. Any shares issued based on the achievement of performance goals will be issued in the first quarter of 2025. The shares subject to these awards can range from a minimum of 0% to a maximum of 120% of the target number of shares depending on the level at which the goals are attained. Under the Incentive Plan, the Company's Compensation Committee may also award additional shares in its discretion based on other factors, which awards, if any, for 2025, will also be issued in the first quarter of 2025. For the three months ended June 30, 2024 and 2023, the Company recorded $4,893 and $1,855, respectively, as stock-based compensation expense. For the six months ended June 30, 2024 and 2023, the Company recorded $14,818 and $6,445, respectively, as stock-based compensation expense.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LTIP Units</w:t>
      </w:r>
      <w:r>
        <w:rPr>
          <w:rFonts w:ascii="Times New Roman" w:cs="Times New Roman" w:eastAsia="Times New Roman" w:hAnsi="Times New Roman"/>
          <w:sz w:val="18"/>
          <w:szCs w:val="18"/>
          <w:color w:val="auto"/>
        </w:rPr>
        <w:t>. In addition to stock compensation, the Company may issue LTIP Units of Lamar Advertising Limited Partnership (the "OP"),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certain officers, employees and directors under the Incentive Plan of the Company. Such LTIP Units are subject to vesting and forfeiture conditions based on performance criteria approved by the Compensation Committee. The Compensation Committee may also make discretionary grants of LTIP Units based on other factors.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As of June 30, 2024, the OP has a total of 260,800 LTIP Units issued and outstanding to the Company’s executive officers, of which 140,800 LTIP units have vested. For the three months ended June 30, 2024 and 2023, the Company recorded $4,501</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$1,012, respectively, as stock-based compensation expense related to these LTIP Units. For the six months ended June 30, 2024 and 2023, the Company recorded $7,563 and $2,903, respectively, as stock-based compensation expense related to these LTIP Units.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or re-election. The awards vest 50% on grant date and 50% on the last day of the directors' one year term. For the three months ended June 30, 2024 and 2023, the Company recorded $434 and $419, respectively, in stock-based compensation expense related to these awards. For the six months ended June 30, 2024 and 2023, the Company recorded $571 and $520, respectively, in stock-based compensation expense related to these awards.</w:t>
      </w:r>
    </w:p>
    <w:p>
      <w:pPr>
        <w:spacing w:after="0" w:line="290"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Depreciation and Amortization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141,247</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138,674</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23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7,051</w:t>
            </w: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148,283</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at June 30, 2024 and December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6"/>
                <w:szCs w:val="16"/>
                <w:color w:val="auto"/>
              </w:rPr>
            </w:pPr>
          </w:p>
        </w:tc>
        <w:tc>
          <w:tcPr>
            <w:tcW w:w="27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560" w:type="dxa"/>
            <w:vAlign w:val="bottom"/>
            <w:gridSpan w:val="3"/>
          </w:tcPr>
          <w:p>
            <w:pPr>
              <w:jc w:val="center"/>
              <w:ind w:right="150"/>
              <w:spacing w:after="0" w:line="15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731,323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640,635</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66,455</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Site locations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2,973,371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1,891,078</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3,829,054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2,708,435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3,811,018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2,639,584</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2,288,732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r>
        <w:trPr>
          <w:trHeight w:val="900"/>
        </w:trPr>
        <w:tc>
          <w:tcPr>
            <w:tcW w:w="42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Retirement Obligations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ectPr>
          <w:pgSz w:w="11900" w:h="16838" w:orient="portrait"/>
          <w:cols w:equalWidth="0" w:num="1">
            <w:col w:w="11240"/>
          </w:cols>
          <w:pgMar w:left="320" w:top="445"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Additions to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20"/>
        <w:spacing w:after="0" w:line="207" w:lineRule="auto"/>
        <w:rPr>
          <w:sz w:val="20"/>
          <w:szCs w:val="20"/>
          <w:color w:val="auto"/>
        </w:rPr>
      </w:pPr>
      <w:r>
        <w:rPr>
          <w:rFonts w:ascii="Times New Roman" w:cs="Times New Roman" w:eastAsia="Times New Roman" w:hAnsi="Times New Roman"/>
          <w:sz w:val="18"/>
          <w:szCs w:val="18"/>
          <w:color w:val="auto"/>
        </w:rPr>
        <w:t>Correction in estimate</w:t>
      </w:r>
      <w:r>
        <w:rPr>
          <w:rFonts w:ascii="Times New Roman" w:cs="Times New Roman" w:eastAsia="Times New Roman" w:hAnsi="Times New Roman"/>
          <w:sz w:val="28"/>
          <w:szCs w:val="28"/>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1517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Liabilities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397,991</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4,196</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3,432</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401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401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445" w:right="339" w:bottom="1440" w:gutter="0" w:footer="0" w:header="0"/>
          <w:type w:val="continuous"/>
        </w:sectPr>
      </w:pPr>
    </w:p>
    <w:p>
      <w:pPr>
        <w:spacing w:after="0" w:line="57" w:lineRule="exact"/>
        <w:rPr>
          <w:sz w:val="20"/>
          <w:szCs w:val="20"/>
          <w:color w:val="auto"/>
        </w:rPr>
      </w:pPr>
    </w:p>
    <w:p>
      <w:pPr>
        <w:ind w:left="260" w:hanging="252"/>
        <w:spacing w:after="0" w:line="298" w:lineRule="auto"/>
        <w:tabs>
          <w:tab w:leader="none" w:pos="25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six months ended June 30, 2024, the Company had an immaterial correction of $4,196 to asset retirement obligations due to system data conversion. This correction resulted in a $4,196 increase in asset retirement obligations and depreciation and amortization expense during the period.</w:t>
      </w:r>
    </w:p>
    <w:p>
      <w:pPr>
        <w:spacing w:after="0" w:line="146"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June 30, 2024 and December 31, 2023, Lamar Media was permitted under the terms of its outstanding notes to make transfers to Lamar Advertising in the form of cash dividends, loans or advances in amounts up to $4,542,820 and $4,438,406,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Lamar Media’s senior credit facility allows it to make transfers to Lamar Advertising in any taxable year up to the amount of Lamar Advertising’s taxable income (without any deduction for dividends paid). In addition, as of June 30, 2024,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June 30, 2024 and December 31, 2023, the total debt ratio was less than 7.0 to 1 and Lamar Media’s secured debt ratio was less than 4.5 to 1, and the available cumulative credit was $3,293,300 and $3,188,886, respectively.</w:t>
      </w:r>
    </w:p>
    <w:p>
      <w:pPr>
        <w:spacing w:after="0" w:line="29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and LTIP units. There were no dilutive shares excluded from this calculation resulting from their anti-dilutive effect for the three and six months ended June 30, 2024 or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at June 30, 2024 and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1,017,381</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249,725</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595,632</w:t>
            </w:r>
          </w:p>
        </w:tc>
        <w:tc>
          <w:tcPr>
            <w:tcW w:w="0" w:type="dxa"/>
            <w:vAlign w:val="bottom"/>
          </w:tcPr>
          <w:p>
            <w:pPr>
              <w:spacing w:after="0"/>
              <w:rPr>
                <w:sz w:val="1"/>
                <w:szCs w:val="1"/>
                <w:color w:val="auto"/>
              </w:rPr>
            </w:pPr>
          </w:p>
        </w:tc>
      </w:tr>
      <w:tr>
        <w:trPr>
          <w:trHeight w:val="229"/>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544,163</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544,287</w:t>
            </w:r>
          </w:p>
        </w:tc>
        <w:tc>
          <w:tcPr>
            <w:tcW w:w="0" w:type="dxa"/>
            <w:vAlign w:val="bottom"/>
          </w:tcPr>
          <w:p>
            <w:pPr>
              <w:spacing w:after="0"/>
              <w:rPr>
                <w:sz w:val="1"/>
                <w:szCs w:val="1"/>
                <w:color w:val="auto"/>
              </w:rPr>
            </w:pPr>
          </w:p>
        </w:tc>
      </w:tr>
      <w:tr>
        <w:trPr>
          <w:trHeight w:val="229"/>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396,555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3,375,338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3,349,177</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(599,817)</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2,774,931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2,749,360</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1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8"/>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1,010,956</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595,077</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543,774</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543,841</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396,225</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3,370,372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3,341,127</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3,119,974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the senior credit facility, as established by the Fourth Amended and Restated Credit Agreement (the “senior credit facility”), consised of (i) a $750,000 senior secured revolving credit facility which will mature on July 31, 2028, subject to certain conditions (see description of Amendment No. 4 below) (the “revolving credit facility”), (ii) a $600,000 senior secured Term B loan facility (the “Term B loans”) which will mature on February 6, 2027, (iii) a $350,000 senior secured Term A loan facility (the "Term A loans") which was set to mature on February 6, 2025, and (iv) an incremental facility (the “Incremental Facility”) pursuant to which Lamar Media may incur additional term loan tranches or increase its revolving credit facility subject to a pro forma secured debt ratio of 4.50 to 1.00, as well as certain other conditions including</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Term Secured Overnight Financing Rate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and bear interest at rates based on Term SOFR ("Term SOFR Term A loans") or the Adjusted Base Rate ("Base Rate Term A loans"), at Lamar Media's option. Term SOFR Term A loans bore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$350,000 in Term A loans on July 29, 2022.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$750,000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revolving credit facility, the entire principal amount of revolving loans outstanding under the revolving credit facility, together with all accrued and unpaid interest on such revolving loans, will be due and payable.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there were $75,000 in borrowings outstanding under the revolving credit facility. Availability under the revolving credit facility is reduced by the amount of any letters of credit outstanding. Lamar Media had $8,587 in letters of credit outstanding as of June 30, 2024 resulting in $666,413 of availability under its revolving credit facility. Revolving credit loans may be requested under the revolving credit facility at any time prior to its maturity.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and Lamar Media to:</w:t>
      </w:r>
    </w:p>
    <w:p>
      <w:pPr>
        <w:spacing w:after="0" w:line="4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Program to July 21, 2025. Additionally, the Sixth Amendment provides for the replacement of LIBOR-based interest rate mechanics with Term SOFR based interest rate mechanics for the Accounts Receivable Securitization Program.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was $250,000 outstanding aggregate borrowings under the Accounts Receivable Securitization Program. Lamar Media had no additional availability for borrowing under the Accounts Receivable Securitization Program as of June 30, 2024. The commitment fees based on the amount of unused commitments under the Accounts Receivable Securitization Program were immaterial during the six months ended June 30,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Accounts Receivable Securitization Program will mature on July 21, 2025.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On February 23, 2023, the Board of Directors authorized the extension of the repurchase program through September 30, 2024. There were no repurchases under the program as of June 30, 2024.</w:t>
      </w:r>
    </w:p>
    <w:p>
      <w:pPr>
        <w:spacing w:after="0" w:line="288"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2024 and December 31, 2023,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$3,196,601 which does not exceed the carrying amount of $3,375,338 as of June 30, 2024. The majority of the fair value is determined using observed prices of publicly traded debt (level 1 in the fair value hierarchy) and the remaining is valued based on quoted prices for similar debt (level 2 in the fair value hierarchy).</w:t>
      </w:r>
    </w:p>
    <w:p>
      <w:pPr>
        <w:spacing w:after="0" w:line="295" w:lineRule="exact"/>
        <w:rPr>
          <w:sz w:val="20"/>
          <w:szCs w:val="20"/>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Pronouncements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requires companies to disclose significant segment expenses and other segment items that impact each reported measure of segment income or loss. This guidance is effective for fiscal years beginning after December 15, 2023 and interim periods within fiscal years beginning after December 15, 2024. We are currently evaluating the impact of this guidance on the Company's consolidated financial statements.</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disaggregated information related to the effective tax rate reconciliation and income taxes paid. This guidance is effective for public entities as of December 15, 2024. We do not anticipate the adoption of this guidance will have a material impact on the Company's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Dividends/Distributions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declared and paid cash distributions in an aggregate amount of $133,116 or $1.30 per share and $127,538 or $1.25 per share, respectively. During the six months ended June 30, 2024 and 2023, the Company declared and paid cash distributions in an aggregate amount of $266,144 or $2.60 per share and $254,998 or $2.50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six months ended June 30, 2024 and 2023, the Company paid cash dividend distributions to holders of its Series AA Preferred Stock in an aggregate amount of $91 or $15.95 per share and $182 or $31.90 per share, respectively, for each period.</w:t>
      </w:r>
    </w:p>
    <w:p>
      <w:pPr>
        <w:spacing w:after="0" w:line="300"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about Geographic Areas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$16,773 and $13,762 for the six months ended June 30, 2024 and 2023, respectively. Net carrying value of long-lived assets located in foreign countries totaled $13,260 and $13,930 as of June 30, 2024 and December 31, 2023, respectively. All other revenues from external customers and long-lived assets relate to domestic operations.</w:t>
      </w:r>
    </w:p>
    <w:p>
      <w:pPr>
        <w:spacing w:after="0" w:line="284" w:lineRule="exact"/>
        <w:rPr>
          <w:sz w:val="20"/>
          <w:szCs w:val="20"/>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Equity</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June 21, 2021, the Company entered into an equity distribution agreement, or At-the-Market Offering agreement, (the "2021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no shares of our Class A common stock have been sold under the 2021 Sales Agreement. The 2021 Sales Agreement expired by its terms on June 21, 2024.</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June 21, 2021, the Company filed an automatically effective shelf registration statement that allows Lamar Advertising to offer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an indeterminate amount of additional shares of its Class A common stock. During the six months ended June 30, 2024 and the year ended December 31, 2023, the Company did not issue any shares under this shelf registration. The shelf registration statement expired on June 21,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On March 16, 2020, the Company’s Board of Directors authorized the repurchase of up to $250,000 of the Company’s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On February 23, 2023, the Board of Directors authorized the extension of the repurchase program through September 30, 2024. There were no repurchases under the program as of June 30, 2024.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Events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24, 2024, the Company filed a new automatically effective shelf registration statement that allows Lamar Advertising to offer and sell an indeterminate amount of additional shares of its Class A common stock, which replaces the previous shelf registration statement that expired during the period ended June 30, 2024.</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24, 2024, the Company entered into a new equity distribution agreement, or At-the-Market Offering agreement, (the "2024 Sales Agreement"). Under the terms of the 2024 Sales Agreement, the Company may, from time to time, issue and sell shares of its Class A common stock, having an aggregate offering price of up to $400,000, through the Sales Agents as either agents or principals. The 2024 Sales Agreement retains substantially similar terms and conditions from the 2021 Sales Agreement, which expired by its terms on June 21, 2024.</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2024 Lamar Media paid in full its $350,000 in Term A loans outstanding under its Senior Credit facility. The repayment of the Term A loans was completed using a combination of our revolving credit facility and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44,105</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$11,146 and $12,477 in 2024 and 2023, respectively</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301,189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27,392</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440,224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372,686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4,312,353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4,274,831</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(2,764,577)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(2,708,361)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1,547,776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1,566,470</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1,335,503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1,315,433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2,025,045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2,025,119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1,120,151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1,170,967</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6,565,679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6,546,880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$590 and $380 in 2024 and 2023, respectively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250,018</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210,568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97,464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126,547</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1,054,304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704,166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$25,571 and $28,865 in 2024 and 2023, respectively</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2,749,360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3,091,109</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1,095,076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1,075,285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397,991</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5,373,782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5,337,103</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2024 and 2023</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3,211,484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3,173,789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(2,019,575)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(1,963,998)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1,191,897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1,209,777</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6,565,679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6,546,880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1,012,469</w:t>
            </w:r>
          </w:p>
        </w:tc>
      </w:tr>
      <w:tr>
        <w:trPr>
          <w:trHeight w:val="20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340,215</w:t>
            </w:r>
          </w:p>
        </w:tc>
      </w:tr>
      <w:tr>
        <w:trPr>
          <w:trHeight w:val="175"/>
        </w:trPr>
        <w:tc>
          <w:tcPr>
            <w:tcW w:w="56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5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175,660</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56,838</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148,283</w:t>
            </w:r>
          </w:p>
        </w:tc>
      </w:tr>
      <w:tr>
        <w:trPr>
          <w:trHeight w:val="229"/>
        </w:trPr>
        <w:tc>
          <w:tcPr>
            <w:tcW w:w="5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23"/>
        </w:trPr>
        <w:tc>
          <w:tcPr>
            <w:tcW w:w="5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754,255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716,632</w:t>
            </w: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295,837</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85,093</w:t>
            </w:r>
          </w:p>
        </w:tc>
      </w:tr>
      <w:tr>
        <w:trPr>
          <w:trHeight w:val="230"/>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3"/>
        </w:trPr>
        <w:tc>
          <w:tcPr>
            <w:tcW w:w="5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83,528</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212,309</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207,331</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206,906</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5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216,412</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207,331</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207,732</w:t>
            </w:r>
          </w:p>
        </w:tc>
      </w:tr>
      <w:tr>
        <w:trPr>
          <w:trHeight w:val="230"/>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207,307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980" w:type="dxa"/>
            <w:vAlign w:val="bottom"/>
            <w:vMerge w:val="restart"/>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98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98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Reallocation of capital</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(138,848)</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98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1,176,854</w:t>
            </w:r>
          </w:p>
        </w:tc>
        <w:tc>
          <w:tcPr>
            <w:tcW w:w="0" w:type="dxa"/>
            <w:vAlign w:val="bottom"/>
          </w:tcPr>
          <w:p>
            <w:pPr>
              <w:spacing w:after="0"/>
              <w:rPr>
                <w:sz w:val="1"/>
                <w:szCs w:val="1"/>
                <w:color w:val="auto"/>
              </w:rPr>
            </w:pPr>
          </w:p>
        </w:tc>
      </w:tr>
      <w:tr>
        <w:trPr>
          <w:trHeight w:val="223"/>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(133,334)</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98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3,211,484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1,191,897</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860" w:type="dxa"/>
            <w:vAlign w:val="bottom"/>
          </w:tcPr>
          <w:p>
            <w:pPr>
              <w:spacing w:after="0"/>
              <w:rPr>
                <w:sz w:val="24"/>
                <w:szCs w:val="24"/>
                <w:color w:val="auto"/>
              </w:rPr>
            </w:pPr>
          </w:p>
        </w:tc>
        <w:tc>
          <w:tcPr>
            <w:tcW w:w="980" w:type="dxa"/>
            <w:vAlign w:val="bottom"/>
            <w:vMerge w:val="restart"/>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98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98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3,132,178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Reallocation of capital</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76,334</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(133,620)</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98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3,154,609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1,153,041</w:t>
            </w:r>
          </w:p>
        </w:tc>
        <w:tc>
          <w:tcPr>
            <w:tcW w:w="0" w:type="dxa"/>
            <w:vAlign w:val="bottom"/>
          </w:tcPr>
          <w:p>
            <w:pPr>
              <w:spacing w:after="0"/>
              <w:rPr>
                <w:sz w:val="1"/>
                <w:szCs w:val="1"/>
                <w:color w:val="auto"/>
              </w:rPr>
            </w:pPr>
          </w:p>
        </w:tc>
      </w:tr>
      <w:tr>
        <w:trPr>
          <w:trHeight w:val="223"/>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(127,692)</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98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3,160,907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(1,998,057)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1,163,047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4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216,412</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207,331</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152,419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148,283</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compensation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12,446</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Equity in loss (earnings) of investee</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benefit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Receivables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(42,589)</w:t>
            </w:r>
          </w:p>
        </w:tc>
      </w:tr>
      <w:tr>
        <w:trPr>
          <w:trHeight w:val="195"/>
        </w:trPr>
        <w:tc>
          <w:tcPr>
            <w:tcW w:w="84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w:t>
            </w:r>
          </w:p>
        </w:tc>
      </w:tr>
      <w:tr>
        <w:trPr>
          <w:trHeight w:val="210"/>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r>
      <w:tr>
        <w:trPr>
          <w:trHeight w:val="19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Trade 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r>
      <w:tr>
        <w:trPr>
          <w:trHeight w:val="195"/>
        </w:trPr>
        <w:tc>
          <w:tcPr>
            <w:tcW w:w="84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(16,531)</w:t>
            </w:r>
          </w:p>
        </w:tc>
      </w:tr>
      <w:tr>
        <w:trPr>
          <w:trHeight w:val="210"/>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(30,656)</w:t>
            </w:r>
          </w:p>
        </w:tc>
      </w:tr>
      <w:tr>
        <w:trPr>
          <w:trHeight w:val="196"/>
        </w:trPr>
        <w:tc>
          <w:tcPr>
            <w:tcW w:w="84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14,423</w:t>
            </w:r>
          </w:p>
        </w:tc>
      </w:tr>
      <w:tr>
        <w:trPr>
          <w:trHeight w:val="203"/>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339,515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284,639</w:t>
            </w:r>
          </w:p>
        </w:tc>
      </w:tr>
      <w:tr>
        <w:trPr>
          <w:trHeight w:val="17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(42,122)</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(93,007)</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w:t>
            </w:r>
          </w:p>
        </w:tc>
      </w:tr>
      <w:tr>
        <w:trPr>
          <w:trHeight w:val="19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(76,661)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(130,009)</w:t>
            </w: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198,000</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31,900</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38,713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29,745</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Dividend to parent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(260,945)</w:t>
            </w:r>
          </w:p>
        </w:tc>
      </w:tr>
      <w:tr>
        <w:trPr>
          <w:trHeight w:val="190"/>
        </w:trPr>
        <w:tc>
          <w:tcPr>
            <w:tcW w:w="844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(229,355)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(159,546)</w:t>
            </w:r>
          </w:p>
        </w:tc>
      </w:tr>
      <w:tr>
        <w:trPr>
          <w:trHeight w:val="203"/>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9"/>
        </w:trPr>
        <w:tc>
          <w:tcPr>
            <w:tcW w:w="84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44,105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52,119</w:t>
            </w:r>
          </w:p>
        </w:tc>
      </w:tr>
      <w:tr>
        <w:trPr>
          <w:trHeight w:val="190"/>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77,432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47,279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6"/>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85,653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81,882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5,205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31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2023 Combined Form 10-K.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10, 11, 12, 14, 15 and 16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88"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June 30,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440,224</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1,547,776</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1,335,503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3,145,196</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4,558,971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(5,068,339)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96,980</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4,618,714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6,379,307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(5,068,339)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6,565,679</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599,817</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184,528</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269,958</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391,114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386,539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276,650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1,054,303</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2,749,360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1,095,076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475,043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3,428,056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1,890,747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5,373,782</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4,488,560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(4,465,296)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1,191,897</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4,618,714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6,379,307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(5,068,339)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6,565,679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December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309,906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372,686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1,566,470</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1,281,503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1,315,433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3,196,086</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4,596,516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349,680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249,662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96,205</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6,388,141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6,546,880</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210,568</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243,580</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387,408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271,533</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704,166</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3,089,874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1,075,285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285,929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424,532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343,253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(587,171)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466,543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3,421,028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1,863,505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639,741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(587,171)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5,337,103</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1,209,363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4,524,636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(4,512,482)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6,388,141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6,546,880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4"/>
        </w:trPr>
        <w:tc>
          <w:tcPr>
            <w:tcW w:w="418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1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183,265</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88,341</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368,409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380,843</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184,408</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140,647</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w:t>
            </w:r>
            <w:r>
              <w:rPr>
                <w:rFonts w:ascii="Times New Roman" w:cs="Times New Roman" w:eastAsia="Times New Roman" w:hAnsi="Times New Roman"/>
                <w:sz w:val="26"/>
                <w:szCs w:val="26"/>
                <w:color w:val="auto"/>
                <w:vertAlign w:val="superscript"/>
              </w:rPr>
              <w:t>(2)</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137,344</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56"/>
        </w:trPr>
        <w:tc>
          <w:tcPr>
            <w:tcW w:w="41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controlling</w:t>
            </w:r>
          </w:p>
        </w:tc>
        <w:tc>
          <w:tcPr>
            <w:tcW w:w="3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182,241</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137,116</w:t>
            </w:r>
          </w:p>
        </w:tc>
        <w:tc>
          <w:tcPr>
            <w:tcW w:w="0" w:type="dxa"/>
            <w:vAlign w:val="bottom"/>
          </w:tcPr>
          <w:p>
            <w:pPr>
              <w:spacing w:after="0"/>
              <w:rPr>
                <w:sz w:val="1"/>
                <w:szCs w:val="1"/>
                <w:color w:val="auto"/>
              </w:rPr>
            </w:pPr>
          </w:p>
        </w:tc>
      </w:tr>
      <w:tr>
        <w:trPr>
          <w:trHeight w:val="236"/>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ind w:right="480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right"/>
        <w:ind w:right="47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2023</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4"/>
        </w:trPr>
        <w:tc>
          <w:tcPr>
            <w:tcW w:w="418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1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541,137</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171,783</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90,525</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353,433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364,237</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176,900</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134,177</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w:t>
            </w:r>
            <w:r>
              <w:rPr>
                <w:rFonts w:ascii="Times New Roman" w:cs="Times New Roman" w:eastAsia="Times New Roman" w:hAnsi="Times New Roman"/>
                <w:sz w:val="26"/>
                <w:szCs w:val="26"/>
                <w:color w:val="auto"/>
                <w:vertAlign w:val="superscript"/>
              </w:rPr>
              <w:t>(2)</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130,997</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130,997</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131,400</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156"/>
        </w:trPr>
        <w:tc>
          <w:tcPr>
            <w:tcW w:w="41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controlling</w:t>
            </w:r>
          </w:p>
        </w:tc>
        <w:tc>
          <w:tcPr>
            <w:tcW w:w="3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130,729</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131,132</w:t>
            </w:r>
          </w:p>
        </w:tc>
        <w:tc>
          <w:tcPr>
            <w:tcW w:w="0" w:type="dxa"/>
            <w:vAlign w:val="bottom"/>
          </w:tcPr>
          <w:p>
            <w:pPr>
              <w:spacing w:after="0"/>
              <w:rPr>
                <w:sz w:val="1"/>
                <w:szCs w:val="1"/>
                <w:color w:val="auto"/>
              </w:rPr>
            </w:pPr>
          </w:p>
        </w:tc>
      </w:tr>
      <w:tr>
        <w:trPr>
          <w:trHeight w:val="236"/>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358,910</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177,502</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68,436</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730,552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754,255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309,146</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220,806</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w:t>
            </w:r>
            <w:r>
              <w:rPr>
                <w:rFonts w:ascii="Times New Roman" w:cs="Times New Roman" w:eastAsia="Times New Roman" w:hAnsi="Times New Roman"/>
                <w:sz w:val="26"/>
                <w:szCs w:val="26"/>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155"/>
        </w:trPr>
        <w:tc>
          <w:tcPr>
            <w:tcW w:w="42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controlling</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215,909</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306,201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(296,898)</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215,086</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1,012,469</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340,215</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56,838</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716,632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155"/>
        </w:trPr>
        <w:tc>
          <w:tcPr>
            <w:tcW w:w="42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controlling</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294,541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(285,124)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207,307</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Six Months Ended June 30,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on accounts receivable securitization program</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securitization program</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(227,773)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Six Months Ended June 30,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on accounts receivable securitization program</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securitization program</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loan (payment) proceeds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(261,551)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201,423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20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Net (decrease) increase in cash and cash</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2023 Combined Form 10-K filed on February 23, 2024, and as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and six months ended June 30, 2024 and 2023. This discussion should be read in conjunction with the condensed consolidated financial statements of the Company and the related notes thereto.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 </w:t>
      </w:r>
      <w:r>
        <w:rPr>
          <w:rFonts w:ascii="Times New Roman" w:cs="Times New Roman" w:eastAsia="Times New Roman" w:hAnsi="Times New Roman"/>
          <w:sz w:val="18"/>
          <w:szCs w:val="18"/>
          <w:i w:val="1"/>
          <w:iCs w:val="1"/>
          <w:color w:val="auto"/>
        </w:rPr>
        <w:t>Sources of Cash</w:t>
      </w:r>
      <w:r>
        <w:rPr>
          <w:rFonts w:ascii="Times New Roman" w:cs="Times New Roman" w:eastAsia="Times New Roman" w:hAnsi="Times New Roman"/>
          <w:sz w:val="18"/>
          <w:szCs w:val="18"/>
          <w:color w:val="auto"/>
        </w:rPr>
        <w:t>” for more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six months ended June 30, 2024, the Company completed multiple acquisitions for a total cash purchase price of approximately $28.2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six months ended June 30, 2024 and 2023: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28,961</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41,541</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equipment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w:t>
            </w: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93,007</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w:t>
      </w:r>
    </w:p>
    <w:p>
      <w:pPr>
        <w:spacing w:after="0" w:line="27"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portion of tax expense (benefit); (v) non-real estate related depreciation and amortization; (vi) amortization of deferred financing costs;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(viii) transaction expenses; (ix) non-recurring infrequent or unusual losses (gains); (x) less maintenance capital expenditures; and (xi) an adjustment for unconsolidated affiliates and non-controlling interest.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w:t>
      </w:r>
    </w:p>
    <w:p>
      <w:pPr>
        <w:spacing w:after="0" w:line="5" w:lineRule="exact"/>
        <w:rPr>
          <w:sz w:val="20"/>
          <w:szCs w:val="20"/>
          <w:color w:val="auto"/>
        </w:rPr>
      </w:pPr>
    </w:p>
    <w:p>
      <w:pPr>
        <w:jc w:val="both"/>
        <w:ind w:firstLine="8"/>
        <w:spacing w:after="0" w:line="252" w:lineRule="auto"/>
        <w:tabs>
          <w:tab w:leader="none" w:pos="2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$50.9 million or 5.0% to $1.06 billion for the six months ended June 30, 2024 from $1.01 billion for the same period in 2023. This increase was primarily attributable to an increase in billboard net revenues of $41.1 million and an increase in transit net revenues of $9.1 million over the same period in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there was a $46.5 million increase in net revenues as compared to acquisition-adjusted net revenue for the six months ended June 30, 2023, which represents an increase of 4.6%. See "Reconciliations" below. The $46.5 million increase in revenue is primarily due to an increase of $35.9 million in billboard net revenues as well as an increase in transit net revenues of $9.9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$32.2 million, or 5.6%, to $605.2 million for the six months ended June 30, 2024 from $573.0 million for the same period in 2023. The $32.2 million increase over the prior year is comprised of a $19.0 million increase in total direct, general and administrative and corporate expenses (excluding stock-based compensation) primarily related to the operations of our outdoor advertising assets, as well as a $13.2 million increase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$4.1 million to $152.4 million for the six months ended June 30, 2024 as compared to $148.3 million for the same period in 2023, primarily related to acquisitions and capital expenditures completed during 2023 and the first half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Company recognized a gain on disposition of assets of $3.0 million primarily resulting from transactions related to the sale of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$13.2 million to $308.8 million for the six months ended June 30, 2024 as compared to $295.6 million for the same period in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$3.7 million for the six months ended June 30, 2024 to $88.8 million as compared to $85.1 million for the six months ended June 30, 2023 primarily due to the increase in interest rates on the Accounts Receivable Securitization Program and senior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loss (earnings) of investee was a loss of $0.6 million and earnings of $0.6 million for the six months ended June 30, 2024 and 2023,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$8.4 million increase in net income before income taxes. The effective tax rate for the six months ended June 30, 2024 was 2.0%,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six months ended June 30, 2024 of $216.1 million, as compared to net income of $207.1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six months ended June 30, 2023 by adding to or subtracting from it the net revenue generated by the acquired or divested assets prior to our acquisition or divestiture of these assets for the same time frame that those assets were owned in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six months ended June 30, as well as a comparison of 2023 acquisition-adjusted net revenue to 2024 reported net revenue for the six months ended June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6"/>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1,012,469</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1,016,886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7"/>
                <w:szCs w:val="17"/>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7"/>
                <w:szCs w:val="17"/>
                <w:color w:val="auto"/>
              </w:rPr>
            </w:pP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for the six months ended June 30, 2024 increased 7.0% to $483.5 million. The increase in adjusted EBITDA was primarily attributable to an increase in our gross margin (net revenue less direct advertising expense, exclusive of depreciation and amortization and capitalized contract fulfillment costs, net) of $31.9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338,471</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for the six months ended June 30, 2024 increased from $344.1 million in 2023 to $357.8 million for the same period in 2024, an increase of 4.0%. AFFO for the six months ended June 30, 2024 increased 9.8% to $371.8 million as compared to $338.5 million for the same period in 2023. The increase in AFFO was primarily attributable to a $31.9 million increase in our gross margin (net revenue less direct advertising expense, exclusive of depreciation and amortization and capitalized contract fulfillment costs, net).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$24.1 million or 4.5% to $565.3 million for the three months ended June 30, 2024 from $541.1 million for the same period in 2023. This increase was primarily attributable to an increase in billboard net revenues of $18.9 million and an increase in transit net revenues of $5.0 million over the same period in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there was a $21.4 million increase in net revenues as compared to acquisition-adjusted net revenue for the three months ended June 30, 2023, which represents an increase of 3.9%. See "Reconciliations" below. The $21.4 million increase in revenue is primarily due to an increase of $16.3 million in billboard net revenues as well as an increase in transit net revenues of $4.8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$13.8 million, or 4.7%, to $304.7 million for the three months ended June 30, 2024 from $290.9 million for the same period in 2023. The $13.8 million increase over the prior year is comprised of a $7.0 million increase in total direct, general and administrative and corporate expenses (excluding stock-based compensation) primarily related to the operations of our outdoor advertising assets, as well as a $6.7 million increase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$2.0 million to $77.2 million for the three months ended June 30, 2024 as compared to $75.2 million for the same period in 2023, primarily related to acquisitions and capital expenditures completed during 2023 and the first half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the Company recognized a gain on disposition of assets of $0.8 million, primarily resulting from transactions related to the sale of billboard locations and displays.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$7.4 million to $184.2 million for the three months ended June 30, 2024 as compared to $176.8 million for the same period in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$0.7 million for the three months ended June 30, 2024 to $44.3 million as compared to $43.6 million for the three months ended June 30, 2023, primarily due to the increase in interest rates on the Accounts Receivable Securitization Program and senior credit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$6.4 million increase in net income before income taxes. The effective tax rate for the three months ended June 30, 2024 was 2.0%, which differs from the federal statutory rate primarily due to our qualification for taxation as a REIT and adjustments for foreign items.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June 30, 2024 of $137.6 million, as compared to net income of $130.9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three months ended June 30, 2023 by adding to or subtracting from it the net revenue generated by the acquired or divested assets prior to our acquisition or divestiture of these assets for the same time frame that those assets were owned in the three months ended June 30,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three months ended June 30, as well as a comparison of 2023 acquisition-adjusted net revenue to 2024 reported net revenue for the three months ended June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541,137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r>
      <w:tr>
        <w:trPr>
          <w:trHeight w:val="248"/>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543,860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June 30, 2024 increased 6.9% to $271.6 million. The increase in adjusted EBITDA was primarily attributable to an increase in our gross margin (net revenue less direct advertising expense, exclusive of depreciation and amortization and capitalized contract fulfillment costs, net) of $13.2 million, as well as a decrease in total general and administrative and corporate expenses of $4.4 million, excluding the impact of stock-based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6"/>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7"/>
                <w:szCs w:val="17"/>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194,399</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three months ended June 30, 2024 increased from $200.6 million in 2023 to $209.3 million for the same period in 2024, an increase of 4.3%. AFFO for the three months ended June 30, 2024 increased 9.8% to $213.5 million as compared to $194.4 million for the same period in 2023. The increase in AFFO was primarily attributable to an increase in our gross margin (net revenue less direct advertising expense, exclusive of depreciation and amortization and capitalized contract fulfillment costs, net) of $13.2 million and a decrease in total general and administrative and corporate expenses (excluding the effect of stock-based compensation expense) of $4.4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June 30, 2024 we had $744.3 million of total liquidity, which is comprised of $77.9 million in cash and cash equivalents and $666.4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a working capital deficit of $623.8 million and $340.7 million, respectively. The increase in working capital deficit of $283.1 million is primarily due to an increase in current maturities of long term debt.</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Cash Generated by Operations</w:t>
      </w:r>
      <w:r>
        <w:rPr>
          <w:rFonts w:ascii="Times New Roman" w:cs="Times New Roman" w:eastAsia="Times New Roman" w:hAnsi="Times New Roman"/>
          <w:sz w:val="18"/>
          <w:szCs w:val="18"/>
          <w:color w:val="auto"/>
        </w:rPr>
        <w:t>. For the six months ended June 30, 2024 and 2023, our cash provided by operating activities was $366.9 million and $306.9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cash provided by operating activities for the six months ended June 30, 2024 over the same period in 2023 primarily relates to an increase in revenue of $50.9 million, offset by an increase in operating expenses (excluding stock-based compensation, gain on disposition of assets, and depreciation and amortization) of $19.0 million and an increase in interest expense of $3.7 million. We expect to generate cash flows from operations during 2024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was $250.0 million in outstanding aggregate borrowings under the Accounts Receivable Securitization Program. Lamar Media had no additional availability under the Accounts Receivable Securitization Program as of June 30, 2024. The Accounts Receivable Securitization Program will mature on July 21, 2025.</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June 21, 2021, the Company entered into an equity distribution agreement, or At-the-Market Offering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June 30, 2024. The 2021 Sales Agreement expired by its terms on June 21,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24, 2024, the Company entered into a a new equity distribution agreement, or At-the-Market Offering agreement, (the "2024 Sales Agreement"). Under the terms of the 2024 Sales Agreement, the Company may, from time to time, issue and sell shares of its Class A common stock, having an aggregate offering price of up to $400,000, through the Sales Agents as either agents or principals. The 2024 Sales Agreement retains substantially similar terms and conditions from the 2021 Sales Agreement, which expired by its terms on June 21, 2024.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Shelf Registration Statement</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21, 2021, the Company filed a new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During the six months ended June 30, 2024 and the year ended December 31, 2023, the Company did not issue any shares under the shelf registration statement. The shelf registration statement expired on June 21,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2024, the Company filed a new automatically effective shelf registration statement that allows the Company to offer and sell an indeterminate amount of additional shares of its Class A common stock, which replaces the previous shelf registration statement.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On February 6, 2020, Lamar Media entered into a Fourth Amended and Restated Credit Agreement (the “Fourth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 senior credit facility, as established by the Fourth Amended and Restated Credit Agreement (the “senior credit facility”), consisted of (i) a $750.0 million senior secured revolving credit facility which will mature on July 31, 2028, subject to certain conditions (see description of Amendment No. 4 below) (the “revolving credit facility”), (ii) a $600.0 million senior secured Term B loan facility (the “Term B loans”) which will mature on February 6, 2027, (iii) a $350.0 million senior secured Term A loan facility (the "Term A loans") which were set to mature on February 6, 2025, and (iv) an incremental facility (the “Incremental Facility”) pursuant to which Lamar Media may incur additional term loan tranches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 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and bore interest based on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 The Term A loans were susequently repaid in full on July 31, 2024.</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 million swingline as a sublimit of the revolving credit facility, which allows Lamar Media to borrow revolving loans on a same-day basis, in an aggregate outstanding principal amount of up to $75.0 million.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aggregate balance outstanding under the senior credit facility was $1.03 billion, consisting of $600.0 million in Term B loans aggregate principal balance, $350.0 million in Term A loans aggregate principal balance and $75.0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outstanding borrowings under our revolving credit facility. Lamar Media had approximately $666.4 million of unused capacity under the revolving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 conditions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where the Company conducts its business and overall spending on advertising by advertisers. We expect to generate cash flows from operations during 2024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its outstanding debt securities and its Accounts Receivable Securitization Program.</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Media's outstanding Term A loans were set to mature on February 6, 2025. On July 31, 2024, Lamar Media paid in full its $350.0 million in Term A loans outstanding under its Senior Credit facility. The repayment of the Term A loans was completed using a combination of borrowings under our revolving credit facility and cash on hand.</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to incur indebtedness pursuant to the following baskets:</w:t>
      </w:r>
    </w:p>
    <w:p>
      <w:pPr>
        <w:spacing w:after="0" w:line="99"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 facility.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June 30, 2024 we were, and currently, we are, in compliance with all such tests under the senior credit facility.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Times New Roman" w:cs="Times New Roman" w:eastAsia="Times New Roman" w:hAnsi="Times New Roman"/>
          <w:sz w:val="18"/>
          <w:szCs w:val="18"/>
          <w:i w:val="1"/>
          <w:iCs w:val="1"/>
          <w:color w:val="auto"/>
        </w:rPr>
        <w:t>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Cash – Accounts Receivable Securitization Program</w:t>
      </w:r>
      <w:r>
        <w:rPr>
          <w:rFonts w:ascii="Times New Roman" w:cs="Times New Roman" w:eastAsia="Times New Roman" w:hAnsi="Times New Roman"/>
          <w:sz w:val="18"/>
          <w:szCs w:val="18"/>
          <w:color w:val="auto"/>
        </w:rPr>
        <w:t>)) 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w:t>
      </w:r>
    </w:p>
    <w:p>
      <w:pPr>
        <w:jc w:val="both"/>
        <w:ind w:firstLine="8"/>
        <w:spacing w:after="0" w:line="251" w:lineRule="auto"/>
        <w:tabs>
          <w:tab w:leader="none" w:pos="2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us, and our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 indebtedness, a change of control occurs, or if Lamar Media fails to maintain the maximum secured debt ratio of 4.5 to 1.0 required under Lamar Media’s senior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prepayments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July 31, 2024, Lamar Media paid in full its $350.0 million in Term A loans outstanding under its Senior Credit facility.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repayment of the Term A loans was completed using a combination of borrowings under our revolving credit facility and cash on hand.</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$52.1 million for the six months ended June 30, 2024.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our 2024 total capital expenditures will be approximately $125.0 million.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six months ended June 30, 2024, the Company completed acquisitions for an aggregate purchase price of approximately $28.2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which were financed using available cash on hand and borrowings on the senior credit facility.</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22, 2024, the Company's Board of Directors declared a quarterly cash dividend of $1.30 per share, paid on March 28, 2024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record of its Class A common stock and Class B common stock on March 15, 2024. On May 16, 2024, the Company's Board of Directors declared a quarterly cash dividend of $1.30 per share, paid on June 28, 2024 to its stockholders of record of its Class A common stock and Class B common stock on June 17, 2024. Subject to approval of the Company's Board of Directors, the Company expects aggregate quarterly distributions to stockholders in 2024 will be at least $5.40 per share of common stock, including the dividends paid on March 28, 2024 and June 28, 2024.</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On March 16, 2020, the Company’s Board of Directors authorized the repurchase of up to $250.0 million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On February 23, 2023, the Board of Directors authorized the extension of the repurchase program through September 30, 2024. There were no repurchases under the program as of June 30, 2024. The Company’s management may opt not to make any repurchases under the program, or may make aggregate purchases less than the total amount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following June 30, 2024 and thereafter are comprised of contractual obligations, required annual distributions and other opportunistic expenditures.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required payments under operating and financing leases as of June 30, 2024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Debt maturities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w:t>
            </w: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Interest obligations on long-term debt</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4,923.9</w:t>
            </w:r>
          </w:p>
        </w:tc>
      </w:tr>
      <w:tr>
        <w:trPr>
          <w:trHeight w:val="20"/>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w:t>
      </w:r>
    </w:p>
    <w:p>
      <w:pPr>
        <w:spacing w:after="0" w:line="2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June 2024 levels.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Media's outstanding Term A loans were set to mature on February 6, 2025. On July 31, 2024, Lamar Media paid in full its $350.0 million in Term A loans outstanding under its Senior Credit facility. The repayment of the Term A loans was completed using a combination of borrowings under our revolving credit facility and cash on hand.</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Required Annual Distributions</w:t>
      </w:r>
      <w:r>
        <w:rPr>
          <w:rFonts w:ascii="Times New Roman" w:cs="Times New Roman" w:eastAsia="Times New Roman" w:hAnsi="Times New Roman"/>
          <w:sz w:val="18"/>
          <w:szCs w:val="18"/>
          <w:color w:val="auto"/>
        </w:rPr>
        <w:t>. As a REIT, the Company must annually distribute to its stockholders an amount equal to at least 90% of its REIT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(determined before the deduction for distributed earnings and excluding any net capital gain). On February 22, 2024, the Company's Board of Directors declared a quarterly cash dividend of $1.30 per share, paid on March 28, 2024 to its stockholders of record of its Class A common stock and Class B common stock on March 15, 2024. On May 16, 2024, the Company's Board of Directors declared a quarterly cash dividend of $1.30 per share, paid on June 28, 2024 to its stockholders of record of its Class A common stock and Class B common stock on June 17, 2024. Subject to approval of the Company's Board of Directors, the Company expects aggregate quarterly distributions to stockholders in 2024 will be at least $5.40 per share of common stock, including the dividends paid on March 28, 2024 and June 28,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Opportunistic Expenditures</w:t>
      </w:r>
      <w:r>
        <w:rPr>
          <w:rFonts w:ascii="Times New Roman" w:cs="Times New Roman" w:eastAsia="Times New Roman" w:hAnsi="Times New Roman"/>
          <w:sz w:val="18"/>
          <w:szCs w:val="18"/>
          <w:color w:val="auto"/>
        </w:rPr>
        <w:t>. As part of our capital allocation strategy, we plan to continue to allocate our available capital among investment alternatives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$60.0 million from $306.9 million for the six months ended June 30, 2023 to $366.9 million for the six months ended June 30, 2024, primarily resulting from an increase in revenues of $50.9 million, offset by an increase in operating expenses (excluding stock-based compensation, gain on disposition of assets, and depreciation and amortization) of $19.0 million and an increase in interest expense of $3.7 million, as compared to the same period in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decreased $53.3 million from $130.0 million for the six months ended June 30, 2023 to $76.7 million for the six months ended June 30, 2024 primarily due to a net decrease in the amount of assets acquired through acquisitions, investments and capital expenditures of $54.8 million, as compared to the same period in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flows used in financing activities were $256.7 million for the six months ended June 30, 2024 as compared to $181.8 million for the six months ended June 30, 2023. The cash flows used in financing activities of $256.7 million for the six months ended June 30, 2024 is primarily due to cash paid for dividends and distributions offset by net borrowings on the senior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2023 Combined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12, "New Accounting Pronouncements" to our condensed consolidated financial statements included in Part 1, Item 1 of this report for a discussion of our Accounting Standards and Regulatory Update.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and six months ended June 30, 2024 and 2023. This discussion should be read in conjunction with the consolidated financial statements of Lamar Media and the related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$50.9 million or 5.0% to $1.06 billion for the six months ended June 30, 2024 from $1.01 billion for the same period in 2023. This increase was primarily attributable to an increase in billboard net revenues of $41.1 million and an increase in transit net revenues of $9.1 million over the same period in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there was a $46.5 million increase in net revenues as compared to acquisition-adjusted net revenue for the six months ended June 30, 2023, which represents an increase of 4.6%. See "Reconciliations" below. The $46.5 million increase in revenue is primarily due to an increase of $35.9 million in billboard net revenues as well as an increase in transit net revenues of $9.9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$32.1 million, or 5.6%, to $604.8 million for the six months ended June 30, 2024 from $572.7 million for the same period in 2023. The $32.1 million increase over the prior year is comprised of a $19.0 million increase in total direct, general and administrative and corporate expenses (excluding stock-based compensation) primarily related to the operations of our outdoor advertising assets, as well as a $13.2 million increase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$4.1 million to $152.4 million for the six months ended June 30, 2024 as compared to $148.3 million for the same period in 2023, primarily related to acquisitions and capital expenditures completed during 2023 and the first half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Lamar Media recognized a gain on disposition of assets of $3.0 million, primarily resulting from transactions related to the sale of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$13.3 million to $309.1 million for the six months ended June 30, 2024 as compared to $295.8 million for the same period in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$3.7 million for the six months ended June 30, 2024 to $88.8 million as compared to $85.1 million for the six months ended June 30, 2023 primarily due to the increase in interest rates on the Accounts Receivable Securitization Program and senior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loss (earnings) of investee was a loss of $0.6 million and earnings of $0.6 million for the six months ended June 30, 2024 and 2023,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$8.5 million increase in net income before income taxes. The effective tax rate for the six months ended June 30, 2024 was 2.0%, which differs from the federal statutory rate primarily due to our qualification for taxation as a REIT and adjustments for foreign items.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six months ended June 30, 2024 of $216.4 million, as compared to net income of $207.3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six months ended June 30,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adding to or subtracting from it the net revenue generated by the acquired or divested assets prior to our acquisition or divestiture of these assets for the same time frame that those assets were owned in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six months ended June 30, as well as a comparison of 2023 acquisition-adjusted net revenue to 2024 reported net revenue for the six months ended June 30, are provided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1,063,401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1,012,469</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1,063,401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1,016,886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7"/>
                <w:szCs w:val="17"/>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for the six months ended June 30, 2024 increased 7.0% to $483.8 million. The increase in adjusted EBITDA was primarily attributable to an increase in our gross margin (net revenue less direct advertising expense, exclusive of depreciation and amortization and capitalized contract fulfillment costs, net) of $31.9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for the six months ended June 30, 2024 increased from $344.4 million in 2023 to $358.1 million for the same period in 2024, an increase of 4.0%. AFFO for the six months ended June 30, 2024 increased 9.8% to $372.1 million as compared to $338.7 million for the same period in 2023. The increase in AFFO was primarily attributable to a $31.9 million increase in our gross margin (net revenue less direct advertising expense, exclusive of depreciation and amortization and capitalized contract fulfillment costs, net).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$24.1 million or 4.5% to $565.3 million for the three months ended June 30, 2024 from $541.1 million for the same period in 2023. This increase was primarily attributable to an increase in billboard net revenues of $18.9 million and an increase in transit net revenues of $5.0 million over the same period in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there was a $21.4 million increase in net revenues as compared to acquisition-adjusted net revenues for the three months ended June 30, 2023, which represents an increase of 3.9%. See "Reconciliations" below. The $21.4 million increase in revenue is primarily due to an increase of $16.3 million in billboard net revenues as well as an increase in transit net revenues of $4.8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$13.7 million, or 4.7%, to $304.5 million for the three months ended June 30, 2024 from $290.8 million for the same period in 2023. The $13.7 million increase over the prior year is comprised of a $7.0 million increase in total direct, general and administrative and corporate expenses (excluding stock-based compensation) primarily related to the operations of our outdoor advertising assets, as well as a $6.7 million increase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$2.0 million to $77.2 million for the three months ended June 30, 2024 as compared to $75.2 million for the same period in 2023, primarily related to acquisitions and capital expenditures completed during 2023 and the first half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Lamar Media recognized a gain on disposition of assets of $0.8 million, primarily resulting from transactions related to the sale of billboard locations and displays.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$7.5 million to $184.4 million for the three months ended June 30, 2024 as compared to $176.9 million for the same period in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$0.7 million for the three months ended June 30, 2024 to $44.3 million as compared to $43.6 million for the three months ended June 30, 2023 primarily due to the increase in interest rates on the Accounts Receivable Securitization Program and senior credit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$6.5 million increase in net income before income taxes. The effective tax rate for the three months ended June 30, 2024 was 2.0%,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June 30, 2024 of $137.8 million, as compared to net income of $131.0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three months ended June 30, 2023 by adding to or subtracting from it the net revenue generated by the acquired or divested assets prior to our acquisition or divestiture of these assets for the same time frame that those assets were owned in the three months ended June 30, 2024.</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three months ended June 30, as well as a comparison of 2023 acquisition-adjusted net revenue to 2024 reported net revenue for the three months ended June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565,251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541,137</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565,251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543,860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7"/>
                <w:szCs w:val="17"/>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June 30, 2024 increased 7.0% to $271.7 million. The increase in adjusted EBITDA was primarily attributable to an increase in our gross margin (net revenue less direct advertising expense, exclusive of depreciation and amortization and capitalized contract fulfillment costs, net) of $13.2 million, as well as a decrease in total general and administrative and corporate expenses of $4.5 million, excluding the impact of stock-based compensation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0" w:type="dxa"/>
            <w:vAlign w:val="bottom"/>
          </w:tcPr>
          <w:p>
            <w:pPr>
              <w:spacing w:after="0"/>
              <w:rPr>
                <w:sz w:val="1"/>
                <w:szCs w:val="1"/>
                <w:color w:val="auto"/>
              </w:rPr>
            </w:pPr>
          </w:p>
        </w:tc>
      </w:tr>
      <w:tr>
        <w:trPr>
          <w:trHeight w:val="194"/>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5"/>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130,997</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3"/>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209,454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5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3"/>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Increase</w:t>
      </w:r>
    </w:p>
    <w:p>
      <w:pPr>
        <w:spacing w:after="0" w:line="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(Decrease)</w:t>
      </w:r>
    </w:p>
    <w:p>
      <w:pPr>
        <w:spacing w:after="0" w:line="3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5.2 %</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9.9 %</w:t>
      </w:r>
    </w:p>
    <w:p>
      <w:pPr>
        <w:spacing w:after="0" w:line="254" w:lineRule="exact"/>
        <w:rPr>
          <w:sz w:val="20"/>
          <w:szCs w:val="20"/>
          <w:color w:val="auto"/>
        </w:rPr>
      </w:pPr>
    </w:p>
    <w:p>
      <w:pPr>
        <w:sectPr>
          <w:pgSz w:w="11900" w:h="16838" w:orient="portrait"/>
          <w:cols w:equalWidth="0" w:num="2">
            <w:col w:w="9680" w:space="320"/>
            <w:col w:w="1240"/>
          </w:cols>
          <w:pgMar w:left="320" w:top="121" w:right="339" w:bottom="1440" w:gutter="0" w:footer="0" w:header="0"/>
        </w:sectPr>
      </w:pP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three months ended June 30, 2024 increased from $200.7 million in 2023 to $209.5 million for the same period in 2024, an increase of 4.3%. AFFO for the three months ended June 30, 2024 increased 9.9% to $213.7 million as compared to $194.5 million for the same period in 2023. The increase in AFFO was primarily attributable to an increase in our gross margin (net revenue less direct advertising expense, exclusive of depreciation and amortization and capitalized contract fulfillment costs, net) of $13.2 million and a decrease in total general and administrative and corporate expenses (excluding the effect of stock-based compensation expense) of $4.5 million.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9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Lamar Advertising Company and Lamar Media Corp.</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June 30, 2024, and should be read in conjunction with Note 10 of the Notes to the Company’s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2024 there was approximately $1.27 billion of indebtedness outstanding under the senior credit facility and the Accounts Receivable Securitization Program, or approximately 37.8% of the Company’s outstanding long-term debt on that date, bearing interest at variable rates. The aggregate interest expense for 2024 with respect to borrowings under the senior credit facility and the Accounts Receivable Securitization Program was $42.8 million, and the weighted average interest rate applicable to these borrowings during 2024 was 6.7%. Assuming that the weighted average interest rate was 200 basis points higher (that is 8.7% rather than 6.7%), then the Company’s 2024 interest expense would have increased by approximately $12.5 million for the six months ended June 30, 2024.</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93" w:lineRule="exact"/>
        <w:rPr>
          <w:sz w:val="20"/>
          <w:szCs w:val="20"/>
          <w:color w:val="auto"/>
        </w:rPr>
      </w:pPr>
    </w:p>
    <w:p>
      <w:pPr>
        <w:ind w:left="200" w:hanging="192"/>
        <w:spacing w:after="0"/>
        <w:tabs>
          <w:tab w:leader="none" w:pos="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2023,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2023.</w:t>
      </w:r>
    </w:p>
    <w:p>
      <w:pPr>
        <w:spacing w:after="0" w:line="284" w:lineRule="exact"/>
        <w:rPr>
          <w:sz w:val="20"/>
          <w:szCs w:val="20"/>
          <w:color w:val="auto"/>
        </w:rPr>
      </w:pPr>
    </w:p>
    <w:p>
      <w:pPr>
        <w:ind w:right="4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80" w:type="dxa"/>
            <w:vAlign w:val="bottom"/>
            <w:gridSpan w:val="22"/>
            <w:vMerge w:val="restart"/>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80" w:type="dxa"/>
            <w:vAlign w:val="bottom"/>
            <w:gridSpan w:val="2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080" w:type="dxa"/>
            <w:vAlign w:val="bottom"/>
            <w:tcBorders>
              <w:top w:val="single" w:sz="8" w:color="auto"/>
            </w:tcBorders>
            <w:gridSpan w:val="2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(File No. 1-36756) filed on November 19, 2014 and incorporated herein by reference.</w:t>
              </w:r>
            </w:hyperlink>
          </w:p>
        </w:tc>
        <w:tc>
          <w:tcPr>
            <w:tcW w:w="388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080" w:type="dxa"/>
            <w:vAlign w:val="bottom"/>
            <w:gridSpan w:val="26"/>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K (File No. 1-36756) filed on November 19, 2014 and incorporated herein by reference.</w:t>
              </w:r>
            </w:hyperlink>
          </w:p>
        </w:tc>
        <w:tc>
          <w:tcPr>
            <w:tcW w:w="35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0080" w:type="dxa"/>
            <w:vAlign w:val="bottom"/>
            <w:gridSpan w:val="26"/>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Company’s Quarterly Report on Form 10-Q for the period ended March 31, 2007 (File No. 0-30242) filed on May 10, 2007 and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incorporated herein by reference.</w:t>
              </w:r>
            </w:hyperlink>
          </w:p>
        </w:tc>
        <w:tc>
          <w:tcPr>
            <w:tcW w:w="758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10080" w:type="dxa"/>
            <w:vAlign w:val="bottom"/>
            <w:gridSpan w:val="26"/>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Current Report on Form 8-K (File No. 1-36756) filed on November 19, 2014 and incorporated herein by reference.</w:t>
              </w:r>
            </w:hyperlink>
          </w:p>
        </w:tc>
        <w:tc>
          <w:tcPr>
            <w:tcW w:w="160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10080" w:type="dxa"/>
            <w:vAlign w:val="bottom"/>
            <w:gridSpan w:val="26"/>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the period ended September 30, 1999 (File No. 1-12407) filed on November 12, 1999 and incorporated herein by reference.</w:t>
              </w:r>
            </w:hyperlink>
          </w:p>
        </w:tc>
        <w:tc>
          <w:tcPr>
            <w:tcW w:w="10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May 14, 2024, among Lamar Media, the Guarantors named therein and U.S. Bank</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Trust Company, National Association, as Trustee, dated as of January 22, 2021, relating to Lamar Media’s 3.625%% Senior Notes due</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2031. Filed herewith.</w:t>
            </w: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May 14, 2024, among Lamar Media, the Guarantors named therein and U.S. Bank</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Trust Company, National Association, as Trustee, dated as of February 6, 2020, relating to Lamar Media’s 3.750% Senior Notes due</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2028. Filed herewith.</w:t>
            </w: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May 14, 2024, among Lamar Media, the Guarantors named therein and U.S. Bank</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Trust Company, National Association, as Trustee, dated as of February 6, 2020, relating to Lamar Media’s 4.000% Senior Notes due</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2030. Filed herewith.</w:t>
            </w: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May 14, 2024, among Lamar Media, the Guarantors named therein and U.S. Bank</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Trust Company, National Association, as Trustee, dated as of May 13, 2020, relating to Lamar Media’s 4.875% Senior Notes due 2029.</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Filed herewith.</w:t>
            </w:r>
          </w:p>
        </w:tc>
        <w:tc>
          <w:tcPr>
            <w:tcW w:w="88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Joinder Agreement, dated as of June 7, 2022, to the Fourth Amended and Restated Credit Agreement dated as of dated as of February</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6, 2020 (as amended by that certain Amendment No. 1, dated as of July 2, 2021, and as further amended), among Lamar Media, the</w:t>
            </w: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subsidiary borrower party thereto, the subsidiary guarantors party thereto, the lenders party thereto and Alabama Logos, LLC. Filed</w:t>
            </w:r>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herewith.</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3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and Lamar Media pursuant to Securities Exchange Act Rules 13a-14(a)</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and 15d-14(a) as adopted pursuant to Section 302 of the Sarbanes-Oxley Act of 2002. Filed herewith.</w:t>
            </w:r>
          </w:p>
        </w:tc>
        <w:tc>
          <w:tcPr>
            <w:tcW w:w="270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and Lamar Media pursuant to Securities Exchange Act Rules 13a-14(a) and</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15d-14(a) as adopted pursuant to Section 302 of the Sarbanes-Oxley Act of 2002. Filed herewith.</w:t>
            </w:r>
          </w:p>
        </w:tc>
        <w:tc>
          <w:tcPr>
            <w:tcW w:w="2920" w:type="dxa"/>
            <w:vAlign w:val="bottom"/>
            <w:tcBorders>
              <w:top w:val="single" w:sz="8" w:color="0000FF"/>
            </w:tcBorders>
            <w:gridSpan w:val="1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Filed</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380" w:right="20" w:hanging="879"/>
        <w:spacing w:after="0" w:line="216"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June 30, 2024, formatted in Inline XBRL: (i) Condensed Consolidated Balance Sheets, (ii) Condensed Consolidated Statements of Income and Comprehensive Income, (iii) Condensed Consolidated Statements of Stockholders' Equity, (iv) Condensed Consolidated Statements of Cash Flows, and</w:t>
      </w:r>
    </w:p>
    <w:p>
      <w:pPr>
        <w:spacing w:after="0" w:line="1"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Notes to the Condensed Consolidated Financial Statements, tagged as blocks of text and including detailed tags.</w:t>
      </w:r>
    </w:p>
    <w:p>
      <w:pPr>
        <w:spacing w:after="0" w:line="111" w:lineRule="exact"/>
        <w:rPr>
          <w:sz w:val="20"/>
          <w:szCs w:val="20"/>
          <w:color w:val="auto"/>
        </w:rPr>
      </w:pPr>
    </w:p>
    <w:p>
      <w:pPr>
        <w:ind w:left="1380" w:hanging="879"/>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21"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JANUARY 22, 2021</w:t>
      </w:r>
    </w:p>
    <w:p>
      <w:pPr>
        <w:spacing w:after="0" w:line="200" w:lineRule="exact"/>
        <w:rPr>
          <w:sz w:val="20"/>
          <w:szCs w:val="20"/>
          <w:color w:val="auto"/>
        </w:rPr>
      </w:pPr>
    </w:p>
    <w:p>
      <w:pPr>
        <w:spacing w:after="0" w:line="29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May 14,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ALABAMA LOGOS, LLC, an Alabama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January 22, 2021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3.625% Senior Notes due 2031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6" w:right="339" w:bottom="1440" w:gutter="0" w:footer="0" w:header="0"/>
        </w:sectPr>
      </w:pPr>
    </w:p>
    <w:bookmarkStart w:id="58" w:name="page59"/>
    <w:bookmarkEnd w:id="58"/>
    <w:p>
      <w:pPr>
        <w:jc w:val="both"/>
        <w:ind w:firstLine="656"/>
        <w:spacing w:after="0" w:line="257" w:lineRule="auto"/>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59" w:name="page60"/>
    <w:bookmarkEnd w:id="59"/>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ALABAMA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60" w:name="page61"/>
    <w:bookmarkEnd w:id="60"/>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61" w:name="page62"/>
    <w:bookmarkEnd w:id="61"/>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56"/>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4"/>
                <w:szCs w:val="24"/>
                <w:color w:val="auto"/>
              </w:rPr>
            </w:pPr>
          </w:p>
        </w:tc>
      </w:tr>
      <w:tr>
        <w:trPr>
          <w:trHeight w:val="257"/>
        </w:trPr>
        <w:tc>
          <w:tcPr>
            <w:tcW w:w="7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2"/>
                <w:szCs w:val="22"/>
                <w:color w:val="auto"/>
              </w:rPr>
            </w:pPr>
          </w:p>
        </w:tc>
      </w:tr>
      <w:tr>
        <w:trPr>
          <w:trHeight w:val="256"/>
        </w:trPr>
        <w:tc>
          <w:tcPr>
            <w:tcW w:w="7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-521335</wp:posOffset>
            </wp:positionV>
            <wp:extent cx="11201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63" w:name="page64"/>
    <w:bookmarkEnd w:id="63"/>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6"/>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74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4" w:name="page65"/>
    <w:bookmarkEnd w:id="64"/>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65" w:name="page66"/>
    <w:bookmarkEnd w:id="65"/>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66" w:name="page67"/>
    <w:bookmarkEnd w:id="66"/>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7" w:name="page68"/>
    <w:bookmarkEnd w:id="67"/>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49"/>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69" w:name="page70"/>
    <w:bookmarkEnd w:id="69"/>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70" w:name="page71"/>
    <w:bookmarkEnd w:id="70"/>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71" w:name="page72"/>
    <w:bookmarkEnd w:id="71"/>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By: 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72" w:name="page73"/>
    <w:bookmarkEnd w:id="72"/>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73" w:name="page74"/>
    <w:bookmarkEnd w:id="73"/>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74" w:name="page75"/>
    <w:bookmarkEnd w:id="74"/>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75" w:name="page76"/>
    <w:bookmarkEnd w:id="75"/>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 Jr.____________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Wallace L. Duke, Jr.</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740"/>
          </w:cols>
          <w:pgMar w:left="1440" w:top="1440" w:right="7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9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May 14,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ALABAMA LOGOS, LLC, an Alabama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3.750% Senior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6" w:right="339" w:bottom="1440" w:gutter="0" w:footer="0" w:header="0"/>
        </w:sectPr>
      </w:pPr>
    </w:p>
    <w:bookmarkStart w:id="77" w:name="page78"/>
    <w:bookmarkEnd w:id="77"/>
    <w:p>
      <w:pPr>
        <w:jc w:val="both"/>
        <w:ind w:firstLine="656"/>
        <w:spacing w:after="0" w:line="257" w:lineRule="auto"/>
        <w:tabs>
          <w:tab w:leader="none" w:pos="10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78" w:name="page79"/>
    <w:bookmarkEnd w:id="78"/>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ALABAMA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79" w:name="page80"/>
    <w:bookmarkEnd w:id="79"/>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80" w:name="page81"/>
    <w:bookmarkEnd w:id="80"/>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57"/>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4"/>
                <w:szCs w:val="24"/>
                <w:color w:val="auto"/>
              </w:rPr>
            </w:pPr>
          </w:p>
        </w:tc>
      </w:tr>
      <w:tr>
        <w:trPr>
          <w:trHeight w:val="256"/>
        </w:trPr>
        <w:tc>
          <w:tcPr>
            <w:tcW w:w="7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2"/>
                <w:szCs w:val="22"/>
                <w:color w:val="auto"/>
              </w:rPr>
            </w:pPr>
          </w:p>
        </w:tc>
      </w:tr>
      <w:tr>
        <w:trPr>
          <w:trHeight w:val="257"/>
        </w:trPr>
        <w:tc>
          <w:tcPr>
            <w:tcW w:w="7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-521335</wp:posOffset>
            </wp:positionV>
            <wp:extent cx="11201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82" w:name="page83"/>
    <w:bookmarkEnd w:id="82"/>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74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3" w:name="page84"/>
    <w:bookmarkEnd w:id="83"/>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84" w:name="page85"/>
    <w:bookmarkEnd w:id="84"/>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85" w:name="page86"/>
    <w:bookmarkEnd w:id="85"/>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6" w:name="page87"/>
    <w:bookmarkEnd w:id="86"/>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88" w:name="page89"/>
    <w:bookmarkEnd w:id="88"/>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49"/>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7"/>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89" w:name="page90"/>
    <w:bookmarkEnd w:id="89"/>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90" w:name="page91"/>
    <w:bookmarkEnd w:id="90"/>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91" w:name="page92"/>
    <w:bookmarkEnd w:id="91"/>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92" w:name="page93"/>
    <w:bookmarkEnd w:id="92"/>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93" w:name="page94"/>
    <w:bookmarkEnd w:id="93"/>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94" w:name="page95"/>
    <w:bookmarkEnd w:id="94"/>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 Jr.____________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Wallace L. Duke, Jr.</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740"/>
          </w:cols>
          <w:pgMar w:left="1440" w:top="1440" w:right="7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9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May 14,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ALABAMA LOGOS, LLC, an Alabama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4.000% Senior Notes due 2030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6" w:right="339" w:bottom="1440" w:gutter="0" w:footer="0" w:header="0"/>
        </w:sectPr>
      </w:pPr>
    </w:p>
    <w:bookmarkStart w:id="96" w:name="page97"/>
    <w:bookmarkEnd w:id="96"/>
    <w:p>
      <w:pPr>
        <w:jc w:val="both"/>
        <w:ind w:firstLine="656"/>
        <w:spacing w:after="0" w:line="257" w:lineRule="auto"/>
        <w:tabs>
          <w:tab w:leader="none" w:pos="10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97" w:name="page98"/>
    <w:bookmarkEnd w:id="97"/>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ALABAMA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98" w:name="page99"/>
    <w:bookmarkEnd w:id="98"/>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99" w:name="page100"/>
    <w:bookmarkEnd w:id="99"/>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56"/>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4"/>
                <w:szCs w:val="24"/>
                <w:color w:val="auto"/>
              </w:rPr>
            </w:pPr>
          </w:p>
        </w:tc>
      </w:tr>
      <w:tr>
        <w:trPr>
          <w:trHeight w:val="256"/>
        </w:trPr>
        <w:tc>
          <w:tcPr>
            <w:tcW w:w="7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2"/>
                <w:szCs w:val="22"/>
                <w:color w:val="auto"/>
              </w:rPr>
            </w:pPr>
          </w:p>
        </w:tc>
      </w:tr>
      <w:tr>
        <w:trPr>
          <w:trHeight w:val="257"/>
        </w:trPr>
        <w:tc>
          <w:tcPr>
            <w:tcW w:w="7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-521335</wp:posOffset>
            </wp:positionV>
            <wp:extent cx="1120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101" w:name="page102"/>
    <w:bookmarkEnd w:id="101"/>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74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2" w:name="page103"/>
    <w:bookmarkEnd w:id="102"/>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03" w:name="page104"/>
    <w:bookmarkEnd w:id="103"/>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04" w:name="page105"/>
    <w:bookmarkEnd w:id="104"/>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5" w:name="page106"/>
    <w:bookmarkEnd w:id="105"/>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7" w:name="page108"/>
    <w:bookmarkEnd w:id="107"/>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08" w:name="page109"/>
    <w:bookmarkEnd w:id="108"/>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09" w:name="page110"/>
    <w:bookmarkEnd w:id="109"/>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10" w:name="page111"/>
    <w:bookmarkEnd w:id="110"/>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111" w:name="page112"/>
    <w:bookmarkEnd w:id="111"/>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112" w:name="page113"/>
    <w:bookmarkEnd w:id="112"/>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113" w:name="page114"/>
    <w:bookmarkEnd w:id="113"/>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 Jr.____________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Wallace L. Duke, Jr.</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740"/>
          </w:cols>
          <w:pgMar w:left="1440" w:top="1440" w:right="7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MAY 13, 2020</w:t>
      </w:r>
    </w:p>
    <w:p>
      <w:pPr>
        <w:spacing w:after="0" w:line="200" w:lineRule="exact"/>
        <w:rPr>
          <w:sz w:val="20"/>
          <w:szCs w:val="20"/>
          <w:color w:val="auto"/>
        </w:rPr>
      </w:pPr>
    </w:p>
    <w:p>
      <w:pPr>
        <w:spacing w:after="0" w:line="29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May 14,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ALABAMA LOGOS, LLC, an Alabama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May 13,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4.875% Senior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6" w:right="339" w:bottom="1440" w:gutter="0" w:footer="0" w:header="0"/>
        </w:sectPr>
      </w:pPr>
    </w:p>
    <w:bookmarkStart w:id="115" w:name="page116"/>
    <w:bookmarkEnd w:id="115"/>
    <w:p>
      <w:pPr>
        <w:jc w:val="both"/>
        <w:ind w:firstLine="656"/>
        <w:spacing w:after="0" w:line="257" w:lineRule="auto"/>
        <w:tabs>
          <w:tab w:leader="none" w:pos="10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16" w:name="page117"/>
    <w:bookmarkEnd w:id="116"/>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ALABAMA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17" w:name="page118"/>
    <w:bookmarkEnd w:id="117"/>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18" w:name="page119"/>
    <w:bookmarkEnd w:id="118"/>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56"/>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4"/>
                <w:szCs w:val="24"/>
                <w:color w:val="auto"/>
              </w:rPr>
            </w:pPr>
          </w:p>
        </w:tc>
      </w:tr>
      <w:tr>
        <w:trPr>
          <w:trHeight w:val="257"/>
        </w:trPr>
        <w:tc>
          <w:tcPr>
            <w:tcW w:w="7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2"/>
                <w:szCs w:val="22"/>
                <w:color w:val="auto"/>
              </w:rPr>
            </w:pPr>
          </w:p>
        </w:tc>
      </w:tr>
      <w:tr>
        <w:trPr>
          <w:trHeight w:val="256"/>
        </w:trPr>
        <w:tc>
          <w:tcPr>
            <w:tcW w:w="7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-521335</wp:posOffset>
            </wp:positionV>
            <wp:extent cx="1120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40" w:right="599" w:bottom="1440" w:gutter="0" w:footer="0" w:header="0"/>
        </w:sectPr>
      </w:pPr>
    </w:p>
    <w:bookmarkStart w:id="120" w:name="page121"/>
    <w:bookmarkEnd w:id="120"/>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74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1" w:name="page122"/>
    <w:bookmarkEnd w:id="121"/>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22" w:name="page123"/>
    <w:bookmarkEnd w:id="122"/>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23" w:name="page124"/>
    <w:bookmarkEnd w:id="123"/>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4" w:name="page125"/>
    <w:bookmarkEnd w:id="124"/>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49"/>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6" w:name="page127"/>
    <w:bookmarkEnd w:id="126"/>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27" w:name="page128"/>
    <w:bookmarkEnd w:id="127"/>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28" w:name="page129"/>
    <w:bookmarkEnd w:id="128"/>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By: 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29" w:name="page130"/>
    <w:bookmarkEnd w:id="129"/>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130" w:name="page131"/>
    <w:bookmarkEnd w:id="130"/>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131" w:name="page132"/>
    <w:bookmarkEnd w:id="131"/>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132" w:name="page133"/>
    <w:bookmarkEnd w:id="132"/>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 Jr.____________</w:t>
      </w:r>
    </w:p>
    <w:p>
      <w:pPr>
        <w:spacing w:after="0" w:line="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Wallace L. Duke, Jr.</w:t>
      </w:r>
    </w:p>
    <w:p>
      <w:pPr>
        <w:spacing w:after="0" w:line="4"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740"/>
          </w:cols>
          <w:pgMar w:left="1440" w:top="1440" w:right="7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JOINDER AGREEMENT</w:t>
      </w:r>
    </w:p>
    <w:p>
      <w:pPr>
        <w:spacing w:after="0" w:line="251" w:lineRule="exact"/>
        <w:rPr>
          <w:sz w:val="20"/>
          <w:szCs w:val="20"/>
          <w:color w:val="auto"/>
        </w:rPr>
      </w:pPr>
    </w:p>
    <w:p>
      <w:pPr>
        <w:jc w:val="both"/>
        <w:ind w:firstLine="298"/>
        <w:spacing w:after="0" w:line="281" w:lineRule="auto"/>
        <w:rPr>
          <w:sz w:val="20"/>
          <w:szCs w:val="20"/>
          <w:color w:val="auto"/>
        </w:rPr>
      </w:pPr>
      <w:r>
        <w:rPr>
          <w:rFonts w:ascii="Times New Roman" w:cs="Times New Roman" w:eastAsia="Times New Roman" w:hAnsi="Times New Roman"/>
          <w:sz w:val="21"/>
          <w:szCs w:val="21"/>
          <w:color w:val="auto"/>
        </w:rPr>
        <w:t>JOINDER AGREEMENT dated as of May 14, 2024, by Alabama Logos, LLC, an Alabama limited liability company (the “</w:t>
      </w:r>
      <w:r>
        <w:rPr>
          <w:rFonts w:ascii="Times New Roman" w:cs="Times New Roman" w:eastAsia="Times New Roman" w:hAnsi="Times New Roman"/>
          <w:sz w:val="21"/>
          <w:szCs w:val="21"/>
          <w:u w:val="single" w:color="auto"/>
          <w:color w:val="auto"/>
        </w:rPr>
        <w:t>Additional Subsidiary Guarantor</w:t>
      </w:r>
      <w:r>
        <w:rPr>
          <w:rFonts w:ascii="Times New Roman" w:cs="Times New Roman" w:eastAsia="Times New Roman" w:hAnsi="Times New Roman"/>
          <w:sz w:val="21"/>
          <w:szCs w:val="21"/>
          <w:color w:val="auto"/>
        </w:rPr>
        <w:t>”), in favor of JPMorgan Chase Bank, N.A., as administrative agent for the Lenders party to the Credit Agreement referred to below (in such capacity, together with its successors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2"/>
          <w:szCs w:val="22"/>
          <w:color w:val="auto"/>
        </w:rPr>
        <w:t>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each Additional Subsidiary Borrower that may be or may become a party thereto (each an “</w:t>
      </w:r>
      <w:r>
        <w:rPr>
          <w:rFonts w:ascii="Times New Roman" w:cs="Times New Roman" w:eastAsia="Times New Roman" w:hAnsi="Times New Roman"/>
          <w:sz w:val="22"/>
          <w:szCs w:val="22"/>
          <w:u w:val="single" w:color="auto"/>
          <w:color w:val="auto"/>
        </w:rPr>
        <w:t>Additional Subsidiary Borrower</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certain of its subsidiaries (collectively, the “</w:t>
      </w:r>
      <w:r>
        <w:rPr>
          <w:rFonts w:ascii="Times New Roman" w:cs="Times New Roman" w:eastAsia="Times New Roman" w:hAnsi="Times New Roman"/>
          <w:sz w:val="22"/>
          <w:szCs w:val="22"/>
          <w:u w:val="single" w:color="auto"/>
          <w:color w:val="auto"/>
        </w:rPr>
        <w:t>Existing Subsidiary Guarantors</w:t>
      </w:r>
      <w:r>
        <w:rPr>
          <w:rFonts w:ascii="Times New Roman" w:cs="Times New Roman" w:eastAsia="Times New Roman" w:hAnsi="Times New Roman"/>
          <w:sz w:val="22"/>
          <w:szCs w:val="22"/>
          <w:color w:val="auto"/>
        </w:rPr>
        <w:t>” and, together with the Borrowers, the “</w:t>
      </w:r>
      <w:r>
        <w:rPr>
          <w:rFonts w:ascii="Times New Roman" w:cs="Times New Roman" w:eastAsia="Times New Roman" w:hAnsi="Times New Roman"/>
          <w:sz w:val="22"/>
          <w:szCs w:val="22"/>
          <w:u w:val="single" w:color="auto"/>
          <w:color w:val="auto"/>
        </w:rPr>
        <w:t>Securing Parties</w:t>
      </w:r>
      <w:r>
        <w:rPr>
          <w:rFonts w:ascii="Times New Roman" w:cs="Times New Roman" w:eastAsia="Times New Roman" w:hAnsi="Times New Roman"/>
          <w:sz w:val="22"/>
          <w:szCs w:val="22"/>
          <w:color w:val="auto"/>
        </w:rPr>
        <w:t>”) are parties to that certain Fourth Amended and Restated Credit Agreement dated as of February 6, 2020 (as amended by that certain Amendment No. 1, dated as of July 2, 2021, as amended by that certain Amendment No. 2, dated as of July 29, 2022, as amended by that certain Amendment No. 3, dated as of April 26, 2023, as amended by that certain Amendment No. 4, dated as of July 31, 2023, and as further amended, restated, amended and restated, extended,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providing, subject to the terms and conditions thereof, for extensions of credit (by means of loans and letters of credit) to be made by the Lenders named therein (collectively, together with any entity that becomes a “Lender” party to the Credit Agreement after the date hereof as provided therein,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together with Administrative Agent and any successors or assigns of any of the foregoing, the “</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to the Borrowers. In addition, the Borrowers may from time to time be obligated to one or more of the Lenders under the Credit Agreement in respect of Swap Agreements under and as defined in the Credit Agreement (collectively, the “</w:t>
      </w:r>
      <w:r>
        <w:rPr>
          <w:rFonts w:ascii="Times New Roman" w:cs="Times New Roman" w:eastAsia="Times New Roman" w:hAnsi="Times New Roman"/>
          <w:sz w:val="22"/>
          <w:szCs w:val="22"/>
          <w:u w:val="single" w:color="auto"/>
          <w:color w:val="auto"/>
        </w:rPr>
        <w:t>Swap Agreements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22"/>
          <w:szCs w:val="22"/>
          <w:color w:val="auto"/>
        </w:rPr>
        <w:t>In connection with the Credit Agreement, the Borrowers, the Existing Subsidiary Guarantors and the Administrative Agent are parties to that certain Amended and Restated Pledge Agreement dated as of February 3, 2014 (the “</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xml:space="preserve">”) pursuant to which the Securing Parties have, </w:t>
      </w:r>
      <w:r>
        <w:rPr>
          <w:rFonts w:ascii="Times New Roman" w:cs="Times New Roman" w:eastAsia="Times New Roman" w:hAnsi="Times New Roman"/>
          <w:sz w:val="22"/>
          <w:szCs w:val="22"/>
          <w:u w:val="single" w:color="auto"/>
          <w:color w:val="auto"/>
        </w:rPr>
        <w:t>inter alia</w:t>
      </w:r>
      <w:r>
        <w:rPr>
          <w:rFonts w:ascii="Times New Roman" w:cs="Times New Roman" w:eastAsia="Times New Roman" w:hAnsi="Times New Roman"/>
          <w:sz w:val="22"/>
          <w:szCs w:val="22"/>
          <w:color w:val="auto"/>
        </w:rPr>
        <w:t>, granted a security interest in the Collateral (as defined in the Pledge Agreement) as collateral security for the Secured Obligations (as so defined). Terms defined in the Pledge Agreement are used herein as defined therein.</w:t>
      </w:r>
    </w:p>
    <w:p>
      <w:pPr>
        <w:spacing w:after="0" w:line="206" w:lineRule="exact"/>
        <w:rPr>
          <w:sz w:val="20"/>
          <w:szCs w:val="20"/>
          <w:color w:val="auto"/>
        </w:rPr>
      </w:pPr>
    </w:p>
    <w:p>
      <w:pPr>
        <w:jc w:val="both"/>
        <w:ind w:firstLine="264"/>
        <w:spacing w:after="0" w:line="253" w:lineRule="auto"/>
        <w:rPr>
          <w:sz w:val="20"/>
          <w:szCs w:val="20"/>
          <w:color w:val="auto"/>
        </w:rPr>
      </w:pPr>
      <w:r>
        <w:rPr>
          <w:rFonts w:ascii="Times New Roman" w:cs="Times New Roman" w:eastAsia="Times New Roman" w:hAnsi="Times New Roman"/>
          <w:sz w:val="22"/>
          <w:szCs w:val="22"/>
          <w:color w:val="auto"/>
        </w:rPr>
        <w:t>To induce the Secured Parties to enter into the Credit Agreement, and to extend credit thereunder and to extend credit to the Borrowers under Swap Agreements, and for other good and valuable consideration the receipt and sufficiency of which are hereby acknowledged, the Additional Subsidiary Guarantor has agreed to become a party to the Credit Agreement and the Pledge Agreement as a “Subsidiary Guarantor” thereunder, and to pledge and grant a security interest in the Collateral (as defined in the Pledge Agreement).</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Terms defined in the Credit Agreement are used herein as defined therein.</w:t>
      </w:r>
    </w:p>
    <w:p>
      <w:pPr>
        <w:sectPr>
          <w:pgSz w:w="11900" w:h="16838" w:orient="portrait"/>
          <w:cols w:equalWidth="0" w:num="1">
            <w:col w:w="11240"/>
          </w:cols>
          <w:pgMar w:left="320" w:top="108" w:right="339" w:bottom="1440" w:gutter="0" w:footer="0" w:header="0"/>
        </w:sectPr>
      </w:pPr>
    </w:p>
    <w:bookmarkStart w:id="134" w:name="page135"/>
    <w:bookmarkEnd w:id="134"/>
    <w:p>
      <w:pPr>
        <w:spacing w:after="0" w:line="225" w:lineRule="exact"/>
        <w:rPr>
          <w:sz w:val="20"/>
          <w:szCs w:val="20"/>
          <w:color w:val="auto"/>
        </w:rPr>
      </w:pPr>
    </w:p>
    <w:p>
      <w:pPr>
        <w:jc w:val="both"/>
        <w:ind w:firstLine="333"/>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Joinder to Agreements</w:t>
      </w:r>
      <w:r>
        <w:rPr>
          <w:rFonts w:ascii="Times New Roman" w:cs="Times New Roman" w:eastAsia="Times New Roman" w:hAnsi="Times New Roman"/>
          <w:sz w:val="22"/>
          <w:szCs w:val="22"/>
          <w:color w:val="auto"/>
        </w:rPr>
        <w:t>. Effective upon the execution and delivery hereof, the Additional Subsidiary Guarantor hereby agrees that it shall become a “Subsidiary Guarantor” under and for all purposes of the Credit Agreement and a “Securing Party” under and for all purposes of the Pledge Agreement with all the rights and obligations of a Subsidiary Guarantor and Securing Party thereunder, as applicable. Without limiting the generality of the foregoing, the Additional Subsidiary Guarantor hereby:</w:t>
      </w:r>
    </w:p>
    <w:p>
      <w:pPr>
        <w:spacing w:after="0" w:line="206" w:lineRule="exact"/>
        <w:rPr>
          <w:sz w:val="20"/>
          <w:szCs w:val="20"/>
          <w:color w:val="auto"/>
        </w:rPr>
      </w:pPr>
    </w:p>
    <w:p>
      <w:pPr>
        <w:jc w:val="both"/>
        <w:ind w:left="660" w:hanging="4"/>
        <w:spacing w:after="0" w:line="256" w:lineRule="auto"/>
        <w:tabs>
          <w:tab w:leader="none" w:pos="11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and severally with the other Subsidiary Guarantors party to the Credit Agreement guarantees to each Secured Party and their respective successors and assigns the prompt payment in full when due (whether at stated maturity, by acceleration or otherwise) of all Guaranteed Obligations in the same manner and to the same extent as is provided in Article III of the Credit Agreement;</w:t>
      </w:r>
    </w:p>
    <w:p>
      <w:pPr>
        <w:spacing w:after="0" w:line="203" w:lineRule="exact"/>
        <w:rPr>
          <w:rFonts w:ascii="Times New Roman" w:cs="Times New Roman" w:eastAsia="Times New Roman" w:hAnsi="Times New Roman"/>
          <w:sz w:val="22"/>
          <w:szCs w:val="22"/>
          <w:color w:val="auto"/>
        </w:rPr>
      </w:pPr>
    </w:p>
    <w:p>
      <w:pPr>
        <w:jc w:val="both"/>
        <w:ind w:left="660" w:hanging="4"/>
        <w:spacing w:after="0" w:line="268" w:lineRule="auto"/>
        <w:tabs>
          <w:tab w:leader="none" w:pos="116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grants the security interests in all right, title and interest of such Additional Subsidiary Guarantor in all Collateral (as defined in the Pledge Agreement) that it now owns or hereafter acquires and whether now existing or hereafter coming into existence provided for by Article III of the Pledge Agreement as collateral security for the Secured Obligations and agrees that the Schedules thereof shall be supplemented as provided in Appendices A and B hereto;</w:t>
      </w:r>
    </w:p>
    <w:p>
      <w:pPr>
        <w:spacing w:after="0" w:line="190" w:lineRule="exact"/>
        <w:rPr>
          <w:rFonts w:ascii="Times New Roman" w:cs="Times New Roman" w:eastAsia="Times New Roman" w:hAnsi="Times New Roman"/>
          <w:sz w:val="21"/>
          <w:szCs w:val="21"/>
          <w:color w:val="auto"/>
        </w:rPr>
      </w:pPr>
    </w:p>
    <w:p>
      <w:pPr>
        <w:jc w:val="both"/>
        <w:ind w:left="660" w:hanging="4"/>
        <w:spacing w:after="0" w:line="263" w:lineRule="auto"/>
        <w:tabs>
          <w:tab w:leader="none" w:pos="132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the representations and warranties set forth in Article IV of the Credit Agreement and in Article II of the Pledge Agreement, to the extent relating to such Additional Subsidiary Guarantor or to the Pledged Equity evidenced by the certificates, if any, identified in Appendix A hereto; and</w:t>
      </w:r>
    </w:p>
    <w:p>
      <w:pPr>
        <w:spacing w:after="0" w:line="194" w:lineRule="exact"/>
        <w:rPr>
          <w:rFonts w:ascii="Times New Roman" w:cs="Times New Roman" w:eastAsia="Times New Roman" w:hAnsi="Times New Roman"/>
          <w:sz w:val="22"/>
          <w:szCs w:val="22"/>
          <w:color w:val="auto"/>
        </w:rPr>
      </w:pPr>
    </w:p>
    <w:p>
      <w:pPr>
        <w:ind w:left="660" w:hanging="4"/>
        <w:spacing w:after="0" w:line="271" w:lineRule="auto"/>
        <w:tabs>
          <w:tab w:leader="none" w:pos="120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to the jurisdiction of the courts, and waives jury trial, as provided in Sections 10.09 and 10.10 of the Credit Agreement.</w:t>
      </w:r>
    </w:p>
    <w:p>
      <w:pPr>
        <w:spacing w:after="0" w:line="185" w:lineRule="exact"/>
        <w:rPr>
          <w:sz w:val="20"/>
          <w:szCs w:val="20"/>
          <w:color w:val="auto"/>
        </w:rPr>
      </w:pPr>
    </w:p>
    <w:p>
      <w:pPr>
        <w:ind w:right="20" w:firstLine="266"/>
        <w:spacing w:after="0" w:line="284" w:lineRule="auto"/>
        <w:rPr>
          <w:sz w:val="20"/>
          <w:szCs w:val="20"/>
          <w:color w:val="auto"/>
        </w:rPr>
      </w:pPr>
      <w:r>
        <w:rPr>
          <w:rFonts w:ascii="Times New Roman" w:cs="Times New Roman" w:eastAsia="Times New Roman" w:hAnsi="Times New Roman"/>
          <w:sz w:val="22"/>
          <w:szCs w:val="22"/>
          <w:color w:val="auto"/>
        </w:rPr>
        <w:t>The Additional Subsidiary Guarantor hereby instructs its counsel to deliver the opinions referred to in Section 6.10(a)(iii) of the Credit Agreement to the Secured Parties.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35" w:name="page136"/>
    <w:bookmarkEnd w:id="13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Additional Subsidiary Guarantor has caused this Joinder Agreement to be duly executed and delivered as of the day and year first above written.</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ADDITIONAL SUBSIDIARY GUARANTOR:</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2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Jay L. Johnson </w:t>
      </w:r>
      <w:r>
        <w:rPr>
          <w:rFonts w:ascii="Times New Roman" w:cs="Times New Roman" w:eastAsia="Times New Roman" w:hAnsi="Times New Roman"/>
          <w:sz w:val="21"/>
          <w:szCs w:val="21"/>
          <w:color w:val="auto"/>
        </w:rPr>
        <w:t>______________________</w:t>
      </w:r>
    </w:p>
    <w:p>
      <w:pPr>
        <w:spacing w:after="0" w:line="2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R. McIlwain</w:t>
      </w:r>
      <w:r>
        <w:rPr>
          <w:rFonts w:ascii="Times New Roman" w:cs="Times New Roman" w:eastAsia="Times New Roman" w:hAnsi="Times New Roman"/>
          <w:sz w:val="22"/>
          <w:szCs w:val="22"/>
          <w:color w:val="auto"/>
        </w:rPr>
        <w:t>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R. McIlwain, Secretary</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Lucas Menedez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4395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143954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39"/>
          </w:cols>
          <w:pgMar w:left="320" w:top="1421" w:right="1440" w:bottom="1440" w:gutter="0" w:footer="0" w:header="0"/>
        </w:sectPr>
      </w:pPr>
    </w:p>
    <w:bookmarkStart w:id="137" w:name="page138"/>
    <w:bookmarkEnd w:id="137"/>
    <w:p>
      <w:pPr>
        <w:jc w:val="both"/>
        <w:spacing w:after="0" w:line="251" w:lineRule="auto"/>
        <w:rPr>
          <w:sz w:val="20"/>
          <w:szCs w:val="20"/>
          <w:color w:val="auto"/>
        </w:rPr>
      </w:pPr>
      <w:r>
        <w:rPr>
          <w:rFonts w:ascii="Times New Roman" w:cs="Times New Roman" w:eastAsia="Times New Roman" w:hAnsi="Times New Roman"/>
          <w:sz w:val="22"/>
          <w:szCs w:val="22"/>
          <w:color w:val="auto"/>
        </w:rPr>
        <w:t>The undersigned hereby respectively pledges and grants a security interest in the Pledged Equity that it owns as described in Appendix A hereto and agrees that Schedule 1, Part 2 – Pledged Equity of the Pledge Agreement is hereby supplemented by adding thereto the information listed on Appendix A.</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Interstate Logos, L.L.C., Issuee</w:t>
      </w:r>
    </w:p>
    <w:p>
      <w:pPr>
        <w:spacing w:after="0" w:line="234"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3944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9"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 Chief Financial Officer, and Treasurer</w:t>
      </w:r>
    </w:p>
    <w:p>
      <w:pPr>
        <w:sectPr>
          <w:pgSz w:w="11900" w:h="16838" w:orient="portrait"/>
          <w:cols w:equalWidth="0" w:num="1">
            <w:col w:w="11240"/>
          </w:cols>
          <w:pgMar w:left="320" w:top="142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June 30, 2024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2"/>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decimal"/>
      <w:start w:val="4"/>
    </w:lvl>
  </w:abstractNum>
  <w:abstractNum w:abstractNumId="7">
    <w:nsid w:val="2901D82"/>
    <w:multiLevelType w:val="hybridMultilevel"/>
    <w:lvl w:ilvl="0">
      <w:lvlJc w:val="left"/>
      <w:lvlText w:val="%1."/>
      <w:numFmt w:val="decimal"/>
      <w:start w:val="5"/>
    </w:lvl>
  </w:abstractNum>
  <w:abstractNum w:abstractNumId="8">
    <w:nsid w:val="3A95F874"/>
    <w:multiLevelType w:val="hybridMultilevel"/>
    <w:lvl w:ilvl="0">
      <w:lvlJc w:val="left"/>
      <w:lvlText w:val="%1."/>
      <w:numFmt w:val="decimal"/>
      <w:start w:val="6"/>
    </w:lvl>
  </w:abstractNum>
  <w:abstractNum w:abstractNumId="9">
    <w:nsid w:val="8138641"/>
    <w:multiLevelType w:val="hybridMultilevel"/>
    <w:lvl w:ilvl="0">
      <w:lvlJc w:val="left"/>
      <w:lvlText w:val="%1."/>
      <w:numFmt w:val="decimal"/>
      <w:start w:val="7"/>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8"/>
    </w:lvl>
  </w:abstractNum>
  <w:abstractNum w:abstractNumId="14">
    <w:nsid w:val="22221A70"/>
    <w:multiLevelType w:val="hybridMultilevel"/>
    <w:lvl w:ilvl="0">
      <w:lvlJc w:val="left"/>
      <w:lvlText w:val="%1."/>
      <w:numFmt w:val="decimal"/>
      <w:start w:val="9"/>
    </w:lvl>
  </w:abstractNum>
  <w:abstractNum w:abstractNumId="15">
    <w:nsid w:val="4516DDE9"/>
    <w:multiLevelType w:val="hybridMultilevel"/>
    <w:lvl w:ilvl="0">
      <w:lvlJc w:val="left"/>
      <w:lvlText w:val="%1."/>
      <w:numFmt w:val="decimal"/>
      <w:start w:val="10"/>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1"/>
    </w:lvl>
  </w:abstractNum>
  <w:abstractNum w:abstractNumId="18">
    <w:nsid w:val="419AC241"/>
    <w:multiLevelType w:val="hybridMultilevel"/>
    <w:lvl w:ilvl="0">
      <w:lvlJc w:val="left"/>
      <w:lvlText w:val="%1."/>
      <w:numFmt w:val="decimal"/>
      <w:start w:val="12"/>
    </w:lvl>
  </w:abstractNum>
  <w:abstractNum w:abstractNumId="19">
    <w:nsid w:val="5577F8E1"/>
    <w:multiLevelType w:val="hybridMultilevel"/>
    <w:lvl w:ilvl="0">
      <w:lvlJc w:val="left"/>
      <w:lvlText w:val="%1."/>
      <w:numFmt w:val="decimal"/>
      <w:start w:val="13"/>
    </w:lvl>
  </w:abstractNum>
  <w:abstractNum w:abstractNumId="20">
    <w:nsid w:val="440BADFC"/>
    <w:multiLevelType w:val="hybridMultilevel"/>
    <w:lvl w:ilvl="0">
      <w:lvlJc w:val="left"/>
      <w:lvlText w:val="%1."/>
      <w:numFmt w:val="decimal"/>
      <w:start w:val="14"/>
    </w:lvl>
  </w:abstractNum>
  <w:abstractNum w:abstractNumId="21">
    <w:nsid w:val="5072367"/>
    <w:multiLevelType w:val="hybridMultilevel"/>
    <w:lvl w:ilvl="0">
      <w:lvlJc w:val="left"/>
      <w:lvlText w:val="%1."/>
      <w:numFmt w:val="decimal"/>
      <w:start w:val="15"/>
    </w:lvl>
  </w:abstractNum>
  <w:abstractNum w:abstractNumId="22">
    <w:nsid w:val="3804823E"/>
    <w:multiLevelType w:val="hybridMultilevel"/>
    <w:lvl w:ilvl="0">
      <w:lvlJc w:val="left"/>
      <w:lvlText w:val="%1."/>
      <w:numFmt w:val="decimal"/>
      <w:start w:val="16"/>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2"/>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lowerRoman"/>
      <w:start w:val="4"/>
    </w:lvl>
  </w:abstractNum>
  <w:abstractNum w:abstractNumId="30">
    <w:nsid w:val="580BD78F"/>
    <w:multiLevelType w:val="hybridMultilevel"/>
    <w:lvl w:ilvl="0">
      <w:lvlJc w:val="left"/>
      <w:lvlText w:val="(%1)"/>
      <w:numFmt w:val="lowerRoman"/>
      <w:start w:val="7"/>
    </w:lvl>
  </w:abstractNum>
  <w:abstractNum w:abstractNumId="31">
    <w:nsid w:val="153EA438"/>
    <w:multiLevelType w:val="hybridMultilevel"/>
    <w:lvl w:ilvl="0">
      <w:lvlJc w:val="left"/>
      <w:lvlText w:val="(%1)"/>
      <w:numFmt w:val="decimal"/>
      <w:start w:val="2"/>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lowerRoman"/>
      <w:start w:val="5"/>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decimal"/>
      <w:start w:val="101"/>
    </w:lvl>
  </w:abstractNum>
  <w:abstractNum w:abstractNumId="38">
    <w:nsid w:val="2CD89A32"/>
    <w:multiLevelType w:val="hybridMultilevel"/>
    <w:lvl w:ilvl="0">
      <w:lvlJc w:val="left"/>
      <w:lvlText w:val="%1"/>
      <w:numFmt w:val="decimal"/>
      <w:start w:val="104"/>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4"/>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4"/>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4"/>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4"/>
    </w:lvl>
  </w:abstractNum>
  <w:abstractNum w:abstractNumId="47">
    <w:nsid w:val="684A481A"/>
    <w:multiLevelType w:val="hybridMultilevel"/>
    <w:lvl w:ilvl="0">
      <w:lvlJc w:val="left"/>
      <w:lvlText w:val="(%1)"/>
      <w:numFmt w:val="lowerRoman"/>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88" Type="http://schemas.openxmlformats.org/officeDocument/2006/relationships/hyperlink" Target="https://www.sec.gov/Archives/edgar/data/1090425/000119312514417756/d823054dex31.htm" TargetMode="External"/><Relationship Id="rId89" Type="http://schemas.openxmlformats.org/officeDocument/2006/relationships/hyperlink" Target="https://www.sec.gov/Archives/edgar/data/1090425/000119312514417756/d823054dex32.htm" TargetMode="External"/><Relationship Id="rId90" Type="http://schemas.openxmlformats.org/officeDocument/2006/relationships/hyperlink" Target="https://www.sec.gov/Archives/edgar/data/899045/000095013407011105/d46520exv3w2.htm" TargetMode="External"/><Relationship Id="rId91" Type="http://schemas.openxmlformats.org/officeDocument/2006/relationships/hyperlink" Target="https://www.sec.gov/Archives/edgar/data/1090425/000119312514417756/d823054dex33.htm" TargetMode="External"/><Relationship Id="rId92" Type="http://schemas.openxmlformats.org/officeDocument/2006/relationships/hyperlink" Target="https://www.sec.gov/Archives/edgar/data/899045/000095013499009877/0000950134-99-00987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2024-08-08T11:09:42Z</dcterms:created>
  <dcterms:modified xsi:type="dcterms:W3CDTF">2024-08-08T11:09:42Z</dcterms:modified>
</cp:coreProperties>
</file>