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form4.xml.htm"/>
      <w:bookmarkStart w:id="1" w:name="ksform4"/>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Johnson Jay LeCoryelle</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5321 CORPORATE BOULEVARD</w:t>
                  </w:r>
                </w:p>
              </w:tc>
            </w:tr>
            <w:t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BATON ROUGE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70808</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LAMAR ADVERTISING CO/NEW</w:t>
              </w:r>
            </w:hyperlink>
            <w:r>
              <w:t xml:space="preserve"> [ </w:t>
            </w:r>
            <w:r>
              <w:rPr>
                <w:rFonts w:ascii="Times;serif" w:hAnsi="Times;serif"/>
                <w:color w:val="0000FF"/>
                <w:sz w:val="24"/>
                <w:shd w:fill="FFFFFF" w:val="clear"/>
              </w:rPr>
              <w:t>LAMR</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Treasurer, EVP</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9"/>
        <w:gridCol w:w="943"/>
        <w:gridCol w:w="809"/>
        <w:gridCol w:w="626"/>
        <w:gridCol w:w="350"/>
        <w:gridCol w:w="834"/>
        <w:gridCol w:w="434"/>
        <w:gridCol w:w="605"/>
        <w:gridCol w:w="1147"/>
        <w:gridCol w:w="993"/>
        <w:gridCol w:w="13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9" w:type="dxa"/>
            <w:vMerge w:val="continue"/>
            <w:tcBorders>
              <w:left w:val="single" w:sz="6" w:space="0" w:color="808080"/>
              <w:bottom w:val="single" w:sz="2" w:space="0" w:color="808080"/>
              <w:right w:val="single" w:sz="6" w:space="0" w:color="808080"/>
            </w:tcBorders>
          </w:tcPr>
          <w:p>
            <w:pPr>
              <w:pStyle w:val="Normal"/>
              <w:bidi w:val="0"/>
              <w:jc w:val="left"/>
            </w:pPr>
            <w:r/>
          </w:p>
        </w:tc>
        <w:tc>
          <w:tcPr>
            <w:tcW w:w="943" w:type="dxa"/>
            <w:vMerge w:val="continue"/>
            <w:tcBorders>
              <w:left w:val="single" w:sz="2" w:space="0" w:color="808080"/>
              <w:bottom w:val="single" w:sz="2" w:space="0" w:color="808080"/>
              <w:right w:val="single" w:sz="6" w:space="0" w:color="808080"/>
            </w:tcBorders>
          </w:tcPr>
          <w:p>
            <w:pPr>
              <w:pStyle w:val="Normal"/>
              <w:bidi w:val="0"/>
              <w:jc w:val="left"/>
            </w:pPr>
            <w:r/>
          </w:p>
        </w:tc>
        <w:tc>
          <w:tcPr>
            <w:tcW w:w="809" w:type="dxa"/>
            <w:vMerge w:val="continue"/>
            <w:tcBorders>
              <w:left w:val="single" w:sz="2" w:space="0" w:color="808080"/>
              <w:bottom w:val="single" w:sz="2" w:space="0" w:color="808080"/>
              <w:right w:val="single" w:sz="6" w:space="0" w:color="808080"/>
            </w:tcBorders>
          </w:tcPr>
          <w:p>
            <w:pPr>
              <w:pStyle w:val="Normal"/>
              <w:bidi w:val="0"/>
              <w:jc w:val="left"/>
            </w:pPr>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pPr>
            <w:r/>
          </w:p>
        </w:tc>
        <w:tc>
          <w:tcPr>
            <w:tcW w:w="993" w:type="dxa"/>
            <w:vMerge w:val="continue"/>
            <w:tcBorders>
              <w:left w:val="single" w:sz="2" w:space="0" w:color="808080"/>
              <w:bottom w:val="single" w:sz="2" w:space="0" w:color="808080"/>
              <w:right w:val="single" w:sz="6" w:space="0" w:color="808080"/>
            </w:tcBorders>
          </w:tcPr>
          <w:p>
            <w:pPr>
              <w:pStyle w:val="Normal"/>
              <w:bidi w:val="0"/>
              <w:jc w:val="left"/>
            </w:pPr>
            <w:r/>
          </w:p>
        </w:tc>
        <w:tc>
          <w:tcPr>
            <w:tcW w:w="1395"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0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7,600</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5"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Times;serif" w:hAnsi="Times;serif"/>
                <w:color w:val="0000FF"/>
                <w:sz w:val="24"/>
                <w:shd w:fill="FFFFFF" w:val="clear"/>
              </w:rPr>
              <w:t>ByWestview Capital Partners, LLC</w:t>
            </w:r>
            <w:r>
              <w:rPr>
                <w:rFonts w:ascii="Times;serif" w:hAnsi="Times;serif"/>
                <w:color w:val="008000"/>
                <w:position w:val="7"/>
                <w:sz w:val="16"/>
                <w:sz w:val="20"/>
                <w:shd w:fill="FFFFFF" w:val="clear"/>
              </w:rPr>
              <w:t>(2)</w:t>
            </w:r>
          </w:p>
        </w:tc>
      </w:tr>
    </w:tbl>
    <w:tbl>
      <w:tblPr>
        <w:tblW w:w="124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801"/>
        <w:gridCol w:w="801"/>
        <w:gridCol w:w="936"/>
        <w:gridCol w:w="831"/>
        <w:gridCol w:w="951"/>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951"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LTIP Units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By Westview Capital Partners, LLC</w:t>
            </w:r>
            <w:r>
              <w:rPr>
                <w:rFonts w:ascii="Times;serif" w:hAnsi="Times;serif"/>
                <w:color w:val="008000"/>
                <w:position w:val="7"/>
                <w:sz w:val="16"/>
                <w:sz w:val="20"/>
                <w:shd w:fill="FFFFFF" w:val="clear"/>
              </w:rPr>
              <w:t>(2)</w:t>
            </w:r>
          </w:p>
        </w:tc>
      </w:tr>
      <w:t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7,600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By Westview Capital Partners, LLC</w:t>
            </w:r>
            <w:r>
              <w:rPr>
                <w:rFonts w:ascii="Times;serif" w:hAnsi="Times;serif"/>
                <w:color w:val="008000"/>
                <w:position w:val="7"/>
                <w:sz w:val="16"/>
                <w:sz w:val="20"/>
                <w:shd w:fill="FFFFFF" w:val="clear"/>
              </w:rPr>
              <w:t>(2)</w:t>
            </w:r>
          </w:p>
        </w:tc>
      </w:tr>
      <w:t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By Westview Capital Partners, LLC</w:t>
            </w:r>
            <w:r>
              <w:rPr>
                <w:rFonts w:ascii="Times;serif" w:hAnsi="Times;serif"/>
                <w:color w:val="008000"/>
                <w:position w:val="7"/>
                <w:sz w:val="16"/>
                <w:sz w:val="20"/>
                <w:shd w:fill="FFFFFF" w:val="clear"/>
              </w:rPr>
              <w:t>(2)</w:t>
            </w:r>
          </w:p>
        </w:tc>
      </w:tr>
      <w:t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LTIP Units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LTIP Units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By Brawley Capital Partners, L.L.C.</w:t>
            </w:r>
            <w:r>
              <w:rPr>
                <w:rFonts w:ascii="Times;serif" w:hAnsi="Times;serif"/>
                <w:color w:val="008000"/>
                <w:position w:val="7"/>
                <w:sz w:val="16"/>
                <w:sz w:val="20"/>
                <w:shd w:fill="FFFFFF" w:val="clear"/>
              </w:rPr>
              <w:t>(6)</w:t>
            </w:r>
          </w:p>
        </w:tc>
      </w:tr>
      <w:t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LTIP Units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Times;serif" w:hAnsi="Times;serif"/>
                <w:color w:val="0000FF"/>
                <w:sz w:val="20"/>
                <w:shd w:fill="FFFFFF" w:val="clear"/>
              </w:rPr>
              <w:t>By Blair Road, L.L.C.</w:t>
            </w:r>
            <w:r>
              <w:rPr>
                <w:rFonts w:ascii="Times;serif" w:hAnsi="Times;serif"/>
                <w:color w:val="008000"/>
                <w:position w:val="7"/>
                <w:sz w:val="16"/>
                <w:sz w:val="20"/>
                <w:shd w:fill="FFFFFF" w:val="clear"/>
              </w:rPr>
              <w:t>(7)</w:t>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long-term incentive plan units ("LTIP Units") of Lamar Advertising Limited Partnership (the "OP"), the operating partnership of Lamar Advertising Company ("Lamar"), were converted into common partnership units of the OP ("Common Units"), and the Common Units were redeemed for an equal number of shares of Lamar's Class A Common Stock in accordance with the OP's partnership agreement.</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member and manager of Westview Capital Partners, LLC.</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LTIP Units in the OP. The LTIP Units were issued pursuant to Lamar's 1996 Equity Incentive Plan, as amended.</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described in the OP's partnership agreement, vested LTIP Units convert automatically into an equivalent number of Common Units. The Common Units are redeemable by the holder for cash or Class A common stock of Lamar on a one-for-one basis, at Lamar's election.</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Common Units in the OP.</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is a member and manager of Brawley Capital Partners, L.L.C.</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is a member and manager of Blair Road,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McIlwain,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249" TargetMode="External"/><Relationship Id="rId5" Type="http://schemas.openxmlformats.org/officeDocument/2006/relationships/hyperlink" Target="http://www.sec.gov/cgi-bin/browse-edgar?action=getcompany&amp;CIK=00010904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850</Words>
  <Characters>4539</Characters>
  <CharactersWithSpaces>5250</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