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1-36756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Advertising Company</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1-12407</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Media Corp.</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tbl>
      <w:tblPr>
        <w:tblLayout w:type="fixed"/>
        <w:tblInd w:w="1200" w:type="dxa"/>
        <w:tblCellMar>
          <w:top w:w="0" w:type="dxa"/>
          <w:left w:w="0" w:type="dxa"/>
          <w:bottom w:w="0" w:type="dxa"/>
          <w:right w:w="0" w:type="dxa"/>
        </w:tblCellMar>
      </w:tblPr>
      <w:tr>
        <w:trPr>
          <w:trHeight w:val="203"/>
        </w:trPr>
        <w:tc>
          <w:tcPr>
            <w:tcW w:w="3840" w:type="dxa"/>
            <w:vAlign w:val="bottom"/>
            <w:gridSpan w:val="2"/>
          </w:tcPr>
          <w:p>
            <w:pPr>
              <w:jc w:val="center"/>
              <w:ind w:right="657"/>
              <w:spacing w:after="0"/>
              <w:rPr>
                <w:sz w:val="20"/>
                <w:szCs w:val="20"/>
                <w:color w:val="auto"/>
              </w:rPr>
            </w:pPr>
            <w:r>
              <w:rPr>
                <w:rFonts w:ascii="Arial" w:cs="Arial" w:eastAsia="Arial" w:hAnsi="Arial"/>
                <w:sz w:val="16"/>
                <w:szCs w:val="16"/>
                <w:b w:val="1"/>
                <w:bCs w:val="1"/>
                <w:color w:val="auto"/>
                <w:w w:val="91"/>
              </w:rPr>
              <w:t>Delaware</w:t>
            </w:r>
          </w:p>
        </w:tc>
        <w:tc>
          <w:tcPr>
            <w:tcW w:w="1460" w:type="dxa"/>
            <w:vAlign w:val="bottom"/>
          </w:tcPr>
          <w:p>
            <w:pPr>
              <w:spacing w:after="0"/>
              <w:rPr>
                <w:sz w:val="17"/>
                <w:szCs w:val="17"/>
                <w:color w:val="auto"/>
              </w:rPr>
            </w:pPr>
          </w:p>
        </w:tc>
        <w:tc>
          <w:tcPr>
            <w:tcW w:w="2920" w:type="dxa"/>
            <w:vAlign w:val="bottom"/>
            <w:gridSpan w:val="2"/>
          </w:tcPr>
          <w:p>
            <w:pPr>
              <w:jc w:val="center"/>
              <w:ind w:left="990"/>
              <w:spacing w:after="0"/>
              <w:rPr>
                <w:sz w:val="20"/>
                <w:szCs w:val="20"/>
                <w:color w:val="auto"/>
              </w:rPr>
            </w:pPr>
            <w:r>
              <w:rPr>
                <w:rFonts w:ascii="Arial" w:cs="Arial" w:eastAsia="Arial" w:hAnsi="Arial"/>
                <w:sz w:val="16"/>
                <w:szCs w:val="16"/>
                <w:b w:val="1"/>
                <w:bCs w:val="1"/>
                <w:color w:val="auto"/>
                <w:w w:val="91"/>
              </w:rPr>
              <w:t>72-1449411</w:t>
            </w:r>
          </w:p>
        </w:tc>
        <w:tc>
          <w:tcPr>
            <w:tcW w:w="0" w:type="dxa"/>
            <w:vAlign w:val="bottom"/>
          </w:tcPr>
          <w:p>
            <w:pPr>
              <w:spacing w:after="0"/>
              <w:rPr>
                <w:sz w:val="1"/>
                <w:szCs w:val="1"/>
                <w:color w:val="auto"/>
              </w:rPr>
            </w:pPr>
          </w:p>
        </w:tc>
      </w:tr>
      <w:tr>
        <w:trPr>
          <w:trHeight w:val="202"/>
        </w:trPr>
        <w:tc>
          <w:tcPr>
            <w:tcW w:w="3840" w:type="dxa"/>
            <w:vAlign w:val="bottom"/>
            <w:gridSpan w:val="2"/>
          </w:tcPr>
          <w:p>
            <w:pPr>
              <w:jc w:val="center"/>
              <w:ind w:right="657"/>
              <w:spacing w:after="0"/>
              <w:rPr>
                <w:sz w:val="20"/>
                <w:szCs w:val="20"/>
                <w:color w:val="auto"/>
              </w:rPr>
            </w:pPr>
            <w:r>
              <w:rPr>
                <w:rFonts w:ascii="Arial" w:cs="Arial" w:eastAsia="Arial" w:hAnsi="Arial"/>
                <w:sz w:val="16"/>
                <w:szCs w:val="16"/>
                <w:b w:val="1"/>
                <w:bCs w:val="1"/>
                <w:color w:val="auto"/>
                <w:w w:val="91"/>
              </w:rPr>
              <w:t>Delaware</w:t>
            </w:r>
          </w:p>
        </w:tc>
        <w:tc>
          <w:tcPr>
            <w:tcW w:w="1460" w:type="dxa"/>
            <w:vAlign w:val="bottom"/>
          </w:tcPr>
          <w:p>
            <w:pPr>
              <w:spacing w:after="0"/>
              <w:rPr>
                <w:sz w:val="17"/>
                <w:szCs w:val="17"/>
                <w:color w:val="auto"/>
              </w:rPr>
            </w:pPr>
          </w:p>
        </w:tc>
        <w:tc>
          <w:tcPr>
            <w:tcW w:w="2920" w:type="dxa"/>
            <w:vAlign w:val="bottom"/>
            <w:gridSpan w:val="2"/>
          </w:tcPr>
          <w:p>
            <w:pPr>
              <w:jc w:val="center"/>
              <w:ind w:left="990"/>
              <w:spacing w:after="0"/>
              <w:rPr>
                <w:sz w:val="20"/>
                <w:szCs w:val="20"/>
                <w:color w:val="auto"/>
              </w:rPr>
            </w:pPr>
            <w:r>
              <w:rPr>
                <w:rFonts w:ascii="Arial" w:cs="Arial" w:eastAsia="Arial" w:hAnsi="Arial"/>
                <w:sz w:val="16"/>
                <w:szCs w:val="16"/>
                <w:b w:val="1"/>
                <w:bCs w:val="1"/>
                <w:color w:val="auto"/>
                <w:w w:val="91"/>
              </w:rPr>
              <w:t>72-1205791</w:t>
            </w:r>
          </w:p>
        </w:tc>
        <w:tc>
          <w:tcPr>
            <w:tcW w:w="0" w:type="dxa"/>
            <w:vAlign w:val="bottom"/>
          </w:tcPr>
          <w:p>
            <w:pPr>
              <w:spacing w:after="0"/>
              <w:rPr>
                <w:sz w:val="1"/>
                <w:szCs w:val="1"/>
                <w:color w:val="auto"/>
              </w:rPr>
            </w:pPr>
          </w:p>
        </w:tc>
      </w:tr>
      <w:tr>
        <w:trPr>
          <w:trHeight w:val="160"/>
        </w:trPr>
        <w:tc>
          <w:tcPr>
            <w:tcW w:w="3840" w:type="dxa"/>
            <w:vAlign w:val="bottom"/>
            <w:gridSpan w:val="2"/>
          </w:tcPr>
          <w:p>
            <w:pPr>
              <w:jc w:val="center"/>
              <w:ind w:right="657"/>
              <w:spacing w:after="0"/>
              <w:rPr>
                <w:sz w:val="20"/>
                <w:szCs w:val="20"/>
                <w:color w:val="auto"/>
              </w:rPr>
            </w:pPr>
            <w:r>
              <w:rPr>
                <w:rFonts w:ascii="Arial" w:cs="Arial" w:eastAsia="Arial" w:hAnsi="Arial"/>
                <w:sz w:val="13"/>
                <w:szCs w:val="13"/>
                <w:b w:val="1"/>
                <w:bCs w:val="1"/>
                <w:i w:val="1"/>
                <w:iCs w:val="1"/>
                <w:color w:val="auto"/>
                <w:w w:val="84"/>
              </w:rPr>
              <w:t>(State or other jurisdiction of incorporation or organization)</w:t>
            </w:r>
          </w:p>
        </w:tc>
        <w:tc>
          <w:tcPr>
            <w:tcW w:w="1460" w:type="dxa"/>
            <w:vAlign w:val="bottom"/>
          </w:tcPr>
          <w:p>
            <w:pPr>
              <w:spacing w:after="0"/>
              <w:rPr>
                <w:sz w:val="13"/>
                <w:szCs w:val="13"/>
                <w:color w:val="auto"/>
              </w:rPr>
            </w:pPr>
          </w:p>
        </w:tc>
        <w:tc>
          <w:tcPr>
            <w:tcW w:w="2920" w:type="dxa"/>
            <w:vAlign w:val="bottom"/>
            <w:gridSpan w:val="2"/>
          </w:tcPr>
          <w:p>
            <w:pPr>
              <w:jc w:val="center"/>
              <w:ind w:left="1010"/>
              <w:spacing w:after="0"/>
              <w:rPr>
                <w:sz w:val="20"/>
                <w:szCs w:val="20"/>
                <w:color w:val="auto"/>
              </w:rPr>
            </w:pPr>
            <w:r>
              <w:rPr>
                <w:rFonts w:ascii="Arial" w:cs="Arial" w:eastAsia="Arial" w:hAnsi="Arial"/>
                <w:sz w:val="13"/>
                <w:szCs w:val="13"/>
                <w:b w:val="1"/>
                <w:bCs w:val="1"/>
                <w:i w:val="1"/>
                <w:iCs w:val="1"/>
                <w:color w:val="auto"/>
                <w:w w:val="87"/>
              </w:rPr>
              <w:t>(I.R.S Employer Identification No.)</w:t>
            </w:r>
          </w:p>
        </w:tc>
        <w:tc>
          <w:tcPr>
            <w:tcW w:w="0" w:type="dxa"/>
            <w:vAlign w:val="bottom"/>
          </w:tcPr>
          <w:p>
            <w:pPr>
              <w:spacing w:after="0"/>
              <w:rPr>
                <w:sz w:val="1"/>
                <w:szCs w:val="1"/>
                <w:color w:val="auto"/>
              </w:rPr>
            </w:pPr>
          </w:p>
        </w:tc>
      </w:tr>
      <w:tr>
        <w:trPr>
          <w:trHeight w:val="214"/>
        </w:trPr>
        <w:tc>
          <w:tcPr>
            <w:tcW w:w="3840" w:type="dxa"/>
            <w:vAlign w:val="bottom"/>
            <w:gridSpan w:val="2"/>
          </w:tcPr>
          <w:p>
            <w:pPr>
              <w:jc w:val="center"/>
              <w:ind w:right="657"/>
              <w:spacing w:after="0"/>
              <w:rPr>
                <w:sz w:val="20"/>
                <w:szCs w:val="20"/>
                <w:color w:val="auto"/>
              </w:rPr>
            </w:pPr>
            <w:r>
              <w:rPr>
                <w:rFonts w:ascii="Arial" w:cs="Arial" w:eastAsia="Arial" w:hAnsi="Arial"/>
                <w:sz w:val="16"/>
                <w:szCs w:val="16"/>
                <w:b w:val="1"/>
                <w:bCs w:val="1"/>
                <w:color w:val="auto"/>
                <w:w w:val="92"/>
              </w:rPr>
              <w:t>5321 Corporate Blvd., Baton Rouge, LA</w:t>
            </w:r>
          </w:p>
        </w:tc>
        <w:tc>
          <w:tcPr>
            <w:tcW w:w="1460" w:type="dxa"/>
            <w:vAlign w:val="bottom"/>
          </w:tcPr>
          <w:p>
            <w:pPr>
              <w:spacing w:after="0"/>
              <w:rPr>
                <w:sz w:val="18"/>
                <w:szCs w:val="18"/>
                <w:color w:val="auto"/>
              </w:rPr>
            </w:pPr>
          </w:p>
        </w:tc>
        <w:tc>
          <w:tcPr>
            <w:tcW w:w="2240" w:type="dxa"/>
            <w:vAlign w:val="bottom"/>
          </w:tcPr>
          <w:p>
            <w:pPr>
              <w:jc w:val="center"/>
              <w:ind w:left="1690"/>
              <w:spacing w:after="0"/>
              <w:rPr>
                <w:sz w:val="20"/>
                <w:szCs w:val="20"/>
                <w:color w:val="auto"/>
              </w:rPr>
            </w:pPr>
            <w:r>
              <w:rPr>
                <w:rFonts w:ascii="Arial" w:cs="Arial" w:eastAsia="Arial" w:hAnsi="Arial"/>
                <w:sz w:val="16"/>
                <w:szCs w:val="16"/>
                <w:b w:val="1"/>
                <w:bCs w:val="1"/>
                <w:color w:val="auto"/>
                <w:w w:val="89"/>
              </w:rPr>
              <w:t>70808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40" w:type="dxa"/>
            <w:vAlign w:val="bottom"/>
            <w:gridSpan w:val="2"/>
          </w:tcPr>
          <w:p>
            <w:pPr>
              <w:jc w:val="center"/>
              <w:ind w:right="65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60" w:type="dxa"/>
            <w:vAlign w:val="bottom"/>
          </w:tcPr>
          <w:p>
            <w:pPr>
              <w:spacing w:after="0"/>
              <w:rPr>
                <w:sz w:val="14"/>
                <w:szCs w:val="14"/>
                <w:color w:val="auto"/>
              </w:rPr>
            </w:pPr>
          </w:p>
        </w:tc>
        <w:tc>
          <w:tcPr>
            <w:tcW w:w="2920" w:type="dxa"/>
            <w:vAlign w:val="bottom"/>
            <w:gridSpan w:val="2"/>
          </w:tcPr>
          <w:p>
            <w:pPr>
              <w:jc w:val="center"/>
              <w:ind w:left="990"/>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6860" w:type="dxa"/>
            <w:vAlign w:val="bottom"/>
            <w:gridSpan w:val="4"/>
          </w:tcPr>
          <w:p>
            <w:pPr>
              <w:ind w:left="1220"/>
              <w:spacing w:after="0"/>
              <w:rPr>
                <w:sz w:val="20"/>
                <w:szCs w:val="20"/>
                <w:color w:val="auto"/>
              </w:rPr>
            </w:pPr>
            <w:r>
              <w:rPr>
                <w:rFonts w:ascii="Arial" w:cs="Arial" w:eastAsia="Arial" w:hAnsi="Arial"/>
                <w:sz w:val="13"/>
                <w:szCs w:val="13"/>
                <w:b w:val="1"/>
                <w:bCs w:val="1"/>
                <w:color w:val="auto"/>
              </w:rPr>
              <w:t>Registrants’ telephone number, including area code: (225) 926-1000</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6860" w:type="dxa"/>
            <w:vAlign w:val="bottom"/>
            <w:gridSpan w:val="4"/>
          </w:tcPr>
          <w:p>
            <w:pPr>
              <w:ind w:left="1620"/>
              <w:spacing w:after="0"/>
              <w:rPr>
                <w:sz w:val="20"/>
                <w:szCs w:val="20"/>
                <w:color w:val="auto"/>
              </w:rPr>
            </w:pPr>
            <w:r>
              <w:rPr>
                <w:rFonts w:ascii="Arial" w:cs="Arial" w:eastAsia="Arial" w:hAnsi="Arial"/>
                <w:sz w:val="13"/>
                <w:szCs w:val="13"/>
                <w:color w:val="auto"/>
              </w:rPr>
              <w:t>Securities registered pursuant to Section 12(b) of the Act:</w:t>
            </w:r>
          </w:p>
        </w:tc>
        <w:tc>
          <w:tcPr>
            <w:tcW w:w="0" w:type="dxa"/>
            <w:vAlign w:val="bottom"/>
          </w:tcPr>
          <w:p>
            <w:pPr>
              <w:spacing w:after="0"/>
              <w:rPr>
                <w:sz w:val="1"/>
                <w:szCs w:val="1"/>
                <w:color w:val="auto"/>
              </w:rPr>
            </w:pPr>
          </w:p>
        </w:tc>
      </w:tr>
      <w:tr>
        <w:trPr>
          <w:trHeight w:val="97"/>
        </w:trPr>
        <w:tc>
          <w:tcPr>
            <w:tcW w:w="136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6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Title of each class</w:t>
            </w:r>
          </w:p>
        </w:tc>
        <w:tc>
          <w:tcPr>
            <w:tcW w:w="14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0"/>
              </w:rPr>
              <w:t>Trading Symbol(s)</w:t>
            </w:r>
          </w:p>
        </w:tc>
        <w:tc>
          <w:tcPr>
            <w:tcW w:w="224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86"/>
              </w:rPr>
              <w:t>Name of each exchange on which</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36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registered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360" w:type="dxa"/>
            <w:vAlign w:val="bottom"/>
            <w:tcBorders>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60" w:type="dxa"/>
            <w:vAlign w:val="bottom"/>
            <w:tcBorders>
              <w:right w:val="single" w:sz="8" w:color="auto"/>
            </w:tcBorders>
          </w:tcPr>
          <w:p>
            <w:pPr>
              <w:spacing w:after="0"/>
              <w:rPr>
                <w:sz w:val="14"/>
                <w:szCs w:val="14"/>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A common stock, $0.001 par value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The NASDAQ Stock Market, LLC</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jc w:val="both"/>
        <w:ind w:right="20"/>
        <w:spacing w:after="0" w:line="193" w:lineRule="exact"/>
        <w:rPr>
          <w:sz w:val="20"/>
          <w:szCs w:val="20"/>
          <w:color w:val="auto"/>
        </w:rPr>
      </w:pPr>
      <w:r>
        <w:rPr>
          <w:rFonts w:ascii="Arial" w:cs="Arial" w:eastAsia="Arial" w:hAnsi="Arial"/>
          <w:sz w:val="14"/>
          <w:szCs w:val="14"/>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rPr>
          <w:sz w:val="20"/>
          <w:szCs w:val="20"/>
          <w:color w:val="auto"/>
        </w:rPr>
      </w:pPr>
      <w:r>
        <w:rPr>
          <w:rFonts w:ascii="Arial" w:cs="Arial" w:eastAsia="Arial" w:hAnsi="Arial"/>
          <w:sz w:val="15"/>
          <w:szCs w:val="15"/>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553" w:right="3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0"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4">
            <w:col w:w="7940" w:space="160"/>
            <w:col w:w="220" w:space="80"/>
            <w:col w:w="140" w:space="140"/>
            <w:col w:w="2560"/>
          </w:cols>
          <w:pgMar w:left="320" w:top="553"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9" w:lineRule="exact"/>
        <w:rPr>
          <w:sz w:val="24"/>
          <w:szCs w:val="24"/>
          <w:color w:val="auto"/>
        </w:rPr>
      </w:pPr>
    </w:p>
    <w:p>
      <w:pPr>
        <w:sectPr>
          <w:pgSz w:w="11900" w:h="16838" w:orient="portrait"/>
          <w:cols w:equalWidth="0" w:num="5">
            <w:col w:w="7360" w:space="160"/>
            <w:col w:w="220" w:space="80"/>
            <w:col w:w="140" w:space="140"/>
            <w:col w:w="180" w:space="80"/>
            <w:col w:w="2880"/>
          </w:cols>
          <w:pgMar w:left="320" w:top="553" w:right="339" w:bottom="1440" w:gutter="0" w:footer="0" w:header="0"/>
          <w:type w:val="continuous"/>
        </w:sectPr>
      </w:pPr>
    </w:p>
    <w:p>
      <w:pPr>
        <w:spacing w:after="0"/>
        <w:rPr>
          <w:sz w:val="20"/>
          <w:szCs w:val="20"/>
          <w:color w:val="auto"/>
        </w:rPr>
      </w:pPr>
      <w:r>
        <w:rPr>
          <w:rFonts w:ascii="Arial" w:cs="Arial" w:eastAsia="Arial" w:hAnsi="Arial"/>
          <w:sz w:val="14"/>
          <w:szCs w:val="14"/>
          <w:color w:val="auto"/>
        </w:rPr>
        <w:t>The number of shares of Lamar Advertising Company’s Class A common stock outstanding as of May 1, 2020: 86,339,239</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Lamar Advertising Company’s Class B common stock outstanding as of May 1, 2020: 14,420,085</w:t>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Lamar Media Corp. common stock outstanding as of May 1, 2020: 100</w:t>
      </w:r>
    </w:p>
    <w:p>
      <w:pPr>
        <w:sectPr>
          <w:pgSz w:w="11900" w:h="16838" w:orient="portrait"/>
          <w:cols w:equalWidth="0" w:num="1">
            <w:col w:w="11240"/>
          </w:cols>
          <w:pgMar w:left="320" w:top="553" w:right="339" w:bottom="1440" w:gutter="0" w:footer="0" w:header="0"/>
          <w:type w:val="continuous"/>
        </w:sectPr>
      </w:pPr>
    </w:p>
    <w:p>
      <w:pPr>
        <w:spacing w:after="0" w:line="40" w:lineRule="exact"/>
        <w:rPr>
          <w:sz w:val="24"/>
          <w:szCs w:val="24"/>
          <w:color w:val="auto"/>
        </w:rPr>
      </w:pPr>
    </w:p>
    <w:p>
      <w:pPr>
        <w:jc w:val="both"/>
        <w:spacing w:after="0" w:line="243" w:lineRule="auto"/>
        <w:rPr>
          <w:sz w:val="20"/>
          <w:szCs w:val="20"/>
          <w:color w:val="auto"/>
        </w:rPr>
      </w:pPr>
      <w:r>
        <w:rPr>
          <w:rFonts w:ascii="Arial" w:cs="Arial" w:eastAsia="Arial" w:hAnsi="Arial"/>
          <w:sz w:val="15"/>
          <w:szCs w:val="15"/>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and the indentures relating to its outstanding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magnitude of the impact of the novel coronavirus (COVID-19) on our operations and on general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qualify as a REIT and maintain our status as a REIT;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date of this report, and Lamar Advertising and Lamar Media expressly disclaim any obligation or undertaking to update or revise any forward-looking statement contained in this report, except as required by law.</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 further description of these and other risks and uncertainties, the Company encourages you to read carefully Item 1A to the combined Annual Report on Form 10-K for the year ended December 31, 2019 of the Company and Lamar Media (the “2019 Combined Form 10-K”), filed on February 20, 2020, as updated and supplemented in Part II, Item 1A of this Quarterly Report on Form 10-Q,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680" w:type="dxa"/>
            <w:vAlign w:val="bottom"/>
            <w:vMerge w:val="continue"/>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Lamar Advertising Company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March 31,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Condensed Consolidated Statements of Income and Comprehensive Income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0680" w:type="dxa"/>
            <w:vAlign w:val="bottom"/>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9-18</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Lamar Media Corp.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Condensed Consolidated Balance Sheets as of March 31,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w w:val="97"/>
              </w:rPr>
            </w:pPr>
            <w:hyperlink w:anchor="page20">
              <w:r>
                <w:rPr>
                  <w:rFonts w:ascii="Arial" w:cs="Arial" w:eastAsia="Arial" w:hAnsi="Arial"/>
                  <w:sz w:val="18"/>
                  <w:szCs w:val="18"/>
                  <w:u w:val="single" w:color="auto"/>
                  <w:color w:val="0000EE"/>
                  <w:w w:val="97"/>
                </w:rPr>
                <w:t>Condensed Consolidated Statements of Income and Comprehensive Income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Condensed Consolidated Statements of Stockholder’s Equity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Condensed Consolidated Statements of Cash Flows for the three months ended March 31,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0"/>
        </w:trPr>
        <w:tc>
          <w:tcPr>
            <w:tcW w:w="10680" w:type="dxa"/>
            <w:vAlign w:val="bottom"/>
          </w:tcPr>
          <w:p>
            <w:pPr>
              <w:ind w:left="4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23-29</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30-43</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 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 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 II —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1A. Risk Factors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 Unregistered Sales of Equity Securities and Use of Proceeds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5.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 Exhibits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46-47</w:t>
            </w:r>
          </w:p>
        </w:tc>
        <w:tc>
          <w:tcPr>
            <w:tcW w:w="0" w:type="dxa"/>
            <w:vAlign w:val="bottom"/>
          </w:tcPr>
          <w:p>
            <w:pPr>
              <w:spacing w:after="0"/>
              <w:rPr>
                <w:sz w:val="1"/>
                <w:szCs w:val="1"/>
                <w:color w:val="auto"/>
              </w:rPr>
            </w:pPr>
          </w:p>
        </w:tc>
      </w:tr>
      <w:tr>
        <w:trPr>
          <w:trHeight w:val="864"/>
        </w:trPr>
        <w:tc>
          <w:tcPr>
            <w:tcW w:w="10680" w:type="dxa"/>
            <w:vAlign w:val="bottom"/>
          </w:tcPr>
          <w:p>
            <w:pPr>
              <w:ind w:left="55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156"/>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FF0FC"/>
          </w:tcPr>
          <w:p>
            <w:pPr>
              <w:ind w:left="346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496,639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26,188</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$14,967 and $13,185 in 2020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2019,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251,149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254,930</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36,797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29,051</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784,585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310,169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3,677,510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3,660,311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(2,333,838)</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(2,311,196)</w:t>
            </w:r>
          </w:p>
        </w:tc>
      </w:tr>
      <w:tr>
        <w:trPr>
          <w:trHeight w:val="210"/>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Net property, plant and equipment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1,343,672</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1,349,115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7"/>
                <w:szCs w:val="17"/>
                <w:color w:val="auto"/>
              </w:rPr>
              <w:t>Operating lease right of 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1,328,165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1,320,779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1,912,073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1,912,274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971,190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992,244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53,316</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56,574</w:t>
            </w:r>
          </w:p>
        </w:tc>
        <w:tc>
          <w:tcPr>
            <w:tcW w:w="120" w:type="dxa"/>
            <w:vAlign w:val="bottom"/>
            <w:shd w:val="clear" w:color="auto" w:fill="CFF0FC"/>
          </w:tcPr>
          <w:p>
            <w:pPr>
              <w:spacing w:after="0"/>
              <w:rPr>
                <w:sz w:val="18"/>
                <w:szCs w:val="18"/>
                <w:color w:val="auto"/>
              </w:rPr>
            </w:pPr>
          </w:p>
        </w:tc>
      </w:tr>
      <w:tr>
        <w:trPr>
          <w:trHeight w:val="24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6,393,001</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Borders>
              <w:bottom w:val="single" w:sz="8" w:color="CFF0FC"/>
            </w:tcBorders>
          </w:tcPr>
          <w:p>
            <w:pPr>
              <w:spacing w:after="0"/>
              <w:rPr>
                <w:sz w:val="21"/>
                <w:szCs w:val="21"/>
                <w:color w:val="auto"/>
              </w:rPr>
            </w:pPr>
          </w:p>
        </w:tc>
      </w:tr>
      <w:tr>
        <w:trPr>
          <w:trHeight w:val="197"/>
        </w:trPr>
        <w:tc>
          <w:tcPr>
            <w:tcW w:w="7720" w:type="dxa"/>
            <w:vAlign w:val="bottom"/>
            <w:shd w:val="clear" w:color="auto" w:fill="CFF0FC"/>
          </w:tcPr>
          <w:p>
            <w:pPr>
              <w:ind w:left="1920"/>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Trade accounts payable</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12,541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14,974</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Current maturities of long-term debt, net of deferred financing costs of $6,212 and $6,081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in 2020 and 2019,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169,616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226,514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Current 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172,179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196,841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61,791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107,225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122,805</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127,254</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538,932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672,808</w:t>
            </w:r>
          </w:p>
        </w:tc>
        <w:tc>
          <w:tcPr>
            <w:tcW w:w="120" w:type="dxa"/>
            <w:vAlign w:val="bottom"/>
            <w:tcBorders>
              <w:bottom w:val="single" w:sz="8" w:color="CFF0FC"/>
            </w:tcBorders>
          </w:tcPr>
          <w:p>
            <w:pPr>
              <w:spacing w:after="0"/>
              <w:rPr>
                <w:sz w:val="18"/>
                <w:szCs w:val="18"/>
                <w:color w:val="auto"/>
              </w:rPr>
            </w:pPr>
          </w:p>
        </w:tc>
      </w:tr>
      <w:tr>
        <w:trPr>
          <w:trHeight w:val="192"/>
        </w:trPr>
        <w:tc>
          <w:tcPr>
            <w:tcW w:w="772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Long-term debt, net of deferred financing costs of $32,451 and $18,333 in 2020 and 2019,</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0"/>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3,382,193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2,753,604</w:t>
            </w: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1,071,813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1,068,181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Asset retirement obligation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226,608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226,137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30,270</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34,406</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5,255,217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4,760,849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Series AA preferred stock, par value $.001, $63.80 cumulative dividends,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5,720 shares authorized; 5,720 shares issued and outstanding at 2020 and 2019</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par value $.001, 362,500,000 shares authorized; 86,948,957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86,596,498 shares issued at 2020 and 2019, respectively; 86,335,239 and 86,093,300</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outstanding at 2020 and 2019, respectively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FF0FC"/>
          </w:tcPr>
          <w:p>
            <w:pPr>
              <w:spacing w:after="0"/>
              <w:rPr>
                <w:sz w:val="19"/>
                <w:szCs w:val="19"/>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Class B common stock, par value $.001, 37,500,000 shares authorized, 14,420,085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7"/>
                <w:szCs w:val="17"/>
                <w:color w:val="auto"/>
              </w:rPr>
              <w:t>issued and outstanding at 2020 and 2019</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1,951,651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1,922,222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Accumulated comprehensive (loss) income</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(913)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(768,693)</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(708,408)</w:t>
            </w: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Cost of shares held in treasury, 613,718 and 503,198 shares at 2020 and 2019,</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respectively</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(44,362)</w:t>
            </w: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(34,294)</w:t>
            </w:r>
          </w:p>
        </w:tc>
      </w:tr>
      <w:tr>
        <w:trPr>
          <w:trHeight w:val="211"/>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1,137,784</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1,180,306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74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6,393,001</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18,491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309,998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96,571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18,179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40,493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and paid on preferred stock</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Cash dividends declared per share of common stock</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computing earnings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100,589,338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99,710,406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100,875,388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99,915,443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38,895</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1,922,222</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685</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(708,408)</w:t>
            </w: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1,180,306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26,217</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26,217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14,609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58,734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2,560</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110,520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(10,068)</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(1,598)</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40,493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($1.00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(100,687)</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March 31, 2020</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(44,362)</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1,951,651</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(913)</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(768,693)</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1,137,784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1,852,421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(695,337)</w:t>
            </w: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1,131,784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21,097</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21,097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186,521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7,352</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44,161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2,521</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111,835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(8,682)</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(8,682)</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259</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51,253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(95,915)</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(95,915)</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March 31, 2019</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1,883,391</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(740,090)</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1,109,578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40,493</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51,253</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61,506</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disposition of assets and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(2,504)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(4,624)</w:t>
            </w:r>
          </w:p>
        </w:tc>
      </w:tr>
      <w:tr>
        <w:trPr>
          <w:trHeight w:val="216"/>
        </w:trPr>
        <w:tc>
          <w:tcPr>
            <w:tcW w:w="772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18,179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(benefit)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(419)</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(Increase) decrease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(290)</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15,198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20,835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(9,600)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(14,393)</w:t>
            </w: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Increase (decrease)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Trade 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(20,982)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(41,210)</w:t>
            </w: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(28,324)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(29,207)</w:t>
            </w: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(4,861)</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(6,695)</w:t>
            </w:r>
          </w:p>
        </w:tc>
      </w:tr>
      <w:tr>
        <w:trPr>
          <w:trHeight w:val="213"/>
        </w:trPr>
        <w:tc>
          <w:tcPr>
            <w:tcW w:w="772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62,932</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60,726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(13,565)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(66,423)</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(25,709)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(25,951)</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Decrease in notes receivable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ind w:left="12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(35,588)</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(91,075)</w:t>
            </w: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used for purchase of treasury stock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(10,068)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(8,682)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proceeds from issuance of common stock</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9,874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long 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(7,210)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revolving credit facility</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(180,000)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(255,000)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note offering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255,000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Redemption of senior subordinated notes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(519,139)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senior credit facility term loans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(978,097)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(7,000)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(24,042)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(4,256)</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(860)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Dividends/distributions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(100,778)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(96,006)</w:t>
            </w:r>
          </w:p>
        </w:tc>
      </w:tr>
      <w:tr>
        <w:trPr>
          <w:trHeight w:val="206"/>
        </w:trPr>
        <w:tc>
          <w:tcPr>
            <w:tcW w:w="7720" w:type="dxa"/>
            <w:vAlign w:val="bottom"/>
            <w:tcBorders>
              <w:bottom w:val="single" w:sz="8" w:color="CFF0FC"/>
            </w:tcBorders>
          </w:tcPr>
          <w:p>
            <w:pPr>
              <w:ind w:left="12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443,639</w:t>
            </w:r>
          </w:p>
        </w:tc>
        <w:tc>
          <w:tcPr>
            <w:tcW w:w="2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41,583</w:t>
            </w:r>
          </w:p>
        </w:tc>
        <w:tc>
          <w:tcPr>
            <w:tcW w:w="120" w:type="dxa"/>
            <w:vAlign w:val="bottom"/>
            <w:tcBorders>
              <w:bottom w:val="single" w:sz="8" w:color="CFF0FC"/>
            </w:tcBorders>
          </w:tcPr>
          <w:p>
            <w:pPr>
              <w:spacing w:after="0"/>
              <w:rPr>
                <w:sz w:val="17"/>
                <w:szCs w:val="17"/>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 of exchange rate changes in cash and cash equivalents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(532)</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8"/>
                <w:szCs w:val="18"/>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470,451</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11,334</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26,188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21,494</w:t>
            </w:r>
          </w:p>
        </w:tc>
        <w:tc>
          <w:tcPr>
            <w:tcW w:w="120" w:type="dxa"/>
            <w:vAlign w:val="bottom"/>
            <w:shd w:val="clear" w:color="auto" w:fill="CFF0FC"/>
          </w:tcPr>
          <w:p>
            <w:pPr>
              <w:spacing w:after="0"/>
              <w:rPr>
                <w:sz w:val="19"/>
                <w:szCs w:val="19"/>
                <w:color w:val="auto"/>
              </w:rPr>
            </w:pPr>
          </w:p>
        </w:tc>
      </w:tr>
      <w:tr>
        <w:trPr>
          <w:trHeight w:val="24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496,639</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w:t>
            </w:r>
          </w:p>
        </w:tc>
        <w:tc>
          <w:tcPr>
            <w:tcW w:w="120" w:type="dxa"/>
            <w:vAlign w:val="bottom"/>
            <w:tcBorders>
              <w:bottom w:val="single" w:sz="8" w:color="CFF0FC"/>
            </w:tcBorders>
          </w:tcPr>
          <w:p>
            <w:pPr>
              <w:spacing w:after="0"/>
              <w:rPr>
                <w:sz w:val="21"/>
                <w:szCs w:val="2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39,840</w:t>
            </w:r>
          </w:p>
        </w:tc>
        <w:tc>
          <w:tcPr>
            <w:tcW w:w="120" w:type="dxa"/>
            <w:vAlign w:val="bottom"/>
            <w:tcBorders>
              <w:bottom w:val="single" w:sz="8" w:color="CFF0FC"/>
            </w:tcBorders>
          </w:tcPr>
          <w:p>
            <w:pPr>
              <w:spacing w:after="0"/>
              <w:rPr>
                <w:sz w:val="22"/>
                <w:szCs w:val="22"/>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paid for foreign, state and federal income taxes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1,878</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2019 Combined Form 10-K. Subsequent events, if any, are evaluated through the date on which the financial statements are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updates to our significant accounting policies from our 2019 Combined form 10-K.</w:t>
      </w:r>
    </w:p>
    <w:p>
      <w:pPr>
        <w:spacing w:after="0" w:line="3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Goodwill, intangibles and long-lived assets</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changes in relevant events and circumstances related to COVID-19, which could have a negative impact on the Company’s goodwill, the Company updated its goodwill qualitative assessment as of March 31, 2020. The update includes assessing macroeconomic conditions, industry and market conditions, cost factors, overall financial performance, reporting unit dispositions and acquisitions, the market capitalization of the Company and other relevant events specific to the Company. After assessing the totality of events or circumstances, the Company determined that it is not “more likely than not” that the fair value of either of the Company’s reporting units is less than its carrying amount. Therefore, management will not perform a quantitative impairment test and concluded its goodwill is not impaired as of March 31, 2020.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also reviewed the recoverability of our long-lived assets including intangibles, fixed assets and operating lease right of use assets and concluded there is no impairment loss as of March 31, 2020.</w:t>
      </w:r>
    </w:p>
    <w:p>
      <w:pPr>
        <w:spacing w:after="0" w:line="2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5"/>
          <w:szCs w:val="15"/>
          <w:i w:val="1"/>
          <w:iCs w:val="1"/>
          <w:color w:val="auto"/>
        </w:rPr>
        <w:t>Use of estimates</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 during the reporting period. These estimates take into account historical and forward looking factors that the Company believes are reasonable, including but not limited to the potential impacts arising from the COVID-19 pandemic, based on available information to date.</w:t>
      </w:r>
    </w:p>
    <w:p>
      <w:pPr>
        <w:spacing w:after="0" w:line="18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Our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commencing prior to January 1, 2019 are accounted for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majority of our contracts amended or commencing on or after January 1, 2019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The contract revenues,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w:t>
      </w:r>
      <w:r>
        <w:rPr>
          <w:rFonts w:ascii="Arial" w:cs="Arial" w:eastAsia="Arial" w:hAnsi="Arial"/>
          <w:sz w:val="16"/>
          <w:szCs w:val="16"/>
          <w:color w:val="auto"/>
        </w:rPr>
        <w:t>, are recognized ratably over their contract life. Costs to fulfill a contract, which include our costs to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by source including both revenues accounted for under ASC 840 and ASC 606 for the three months ended March 31, 2020 and 2019.</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Billboard advertising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336,195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Logo advertising</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19,912</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Transit advertising</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384,457</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2020 and 2019, we had operating lease costs of $80,402 and $77,350, respectively, and variable lease costs of $17,444 and $17,084, respectively, which are recorded in direct advertising expenses (exclusive of depreciation and amortization). Also, for the three months ended March 31, 2020 and 2019, we recorded a loss of $51 and a gain of $4,104, respectively, in (gain) loss of disposition of assets related to the amendment and termination of lease agreements. Cash payments of $103,063 and $96,733 were made reducing our operating lease liabilities for the three months ended March 31, 2020 and 2019,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$1,258 and $1,129 in direct advertising expenses (exclusive of depreciation and amortization) for these agreements during the three months ended March 31, 2020 and 2019, respectively.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operating leases have a weighted-average remaining lease term of 12.0 years. The weighted-average discount rate of our operating leases is 4.8%. Also, during the periods ended March 31, 2020 and 2019, we obtained $5,082 and $4,391,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w w:val="95"/>
              </w:rPr>
              <w:t>The following is a summary of the maturities of our operating lease liabilities as of March 31, 2020: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operating lease payments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1,705,623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(461,631)</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1,243,992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23,000 shares of its Class A common stock during the three months ended March 31, 2020. At March 31, 2020 a total of 2,479,875 shares were available for future grant.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auto"/>
        </w:rPr>
        <w:t>Lamar Advertising’s 2009 Employee Stock Purchase Plan (the “2009 ESPP”) was approved by our shareholders on May 28,</w:t>
      </w:r>
      <w:r>
        <w:rPr>
          <w:rFonts w:ascii="Arial" w:cs="Arial" w:eastAsia="Arial" w:hAnsi="Arial"/>
          <w:sz w:val="18"/>
          <w:szCs w:val="18"/>
          <w:i w:val="1"/>
          <w:iCs w:val="1"/>
          <w:color w:val="auto"/>
        </w:rPr>
        <w:t xml:space="preserve"> </w:t>
      </w:r>
      <w:r>
        <w:rPr>
          <w:rFonts w:ascii="Arial" w:cs="Arial" w:eastAsia="Arial" w:hAnsi="Arial"/>
          <w:sz w:val="18"/>
          <w:szCs w:val="18"/>
          <w:color w:val="auto"/>
        </w:rPr>
        <w:t>2009. The 2009 ESPP expired by its terms on June 30, 2019. On May 30, 2019, our shareholders approved Lamar Advertising’s 2019 Employee Stock Purchase Plan (the “2019 ESPP”). The 2019 ESPP became effective upon the expiration of the 2009 ESPP. The number of shares of Class A common stock available under the 2019 ESPP was automatically increased by 86,093 shares on January 1, 2020 pursuant to the automatic increase provisions of the 2019 ESPP.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three months ended March 31, 2020:</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Additional shares reserved under 2019 ESPP</w:t>
            </w:r>
          </w:p>
        </w:tc>
        <w:tc>
          <w:tcPr>
            <w:tcW w:w="1120" w:type="dxa"/>
            <w:vAlign w:val="bottom"/>
          </w:tcPr>
          <w:p>
            <w:pPr>
              <w:jc w:val="right"/>
              <w:spacing w:after="0"/>
              <w:rPr>
                <w:sz w:val="20"/>
                <w:szCs w:val="20"/>
                <w:color w:val="auto"/>
              </w:rPr>
            </w:pPr>
            <w:r>
              <w:rPr>
                <w:rFonts w:ascii="Arial" w:cs="Arial" w:eastAsia="Arial" w:hAnsi="Arial"/>
                <w:sz w:val="18"/>
                <w:szCs w:val="18"/>
                <w:color w:val="auto"/>
              </w:rPr>
              <w:t>86,093</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(58,734)</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Available for future purchases, March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465,793</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Unrestricted shares of our Class A common stock may be awarded to key officers, employees and directors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The number of shares to be issued, if any, will be dependent on the level of achievement of performance measures for key officers and employees, as determined by the Company’s Compensation Committee based on our 2020 results. Any shares issued based on the achievement of performance goals will be issued in the first quarter of 2021. The shares subject to these awards can range from a minimum of 0% to a maximum of 100% of the target number of shares depending on the level at which the goals are attained. For the three months ended March 31, 2020, the Company has recorded $2,118 as stock-based compensation expense related to performance-based awards. In addition, each non-employee director automatically receives a restricted stock award of our Class A common stock upon election or re-election. The awards vest 50% on grant date and 50% on the last day of the directors’ one year term. The Company recorded a $58 stock-based compensation expense related to these awards for the three months ended March 31, 2020.</w:t>
      </w:r>
    </w:p>
    <w:p>
      <w:pPr>
        <w:spacing w:after="0" w:line="18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Statements of Income and Comprehensive Income. The amounts of depreciation and amortization expense excluded from the following operating expenses in its Statements of Income and Comprehensive Income are:</w:t>
      </w:r>
    </w:p>
    <w:p>
      <w:pPr>
        <w:spacing w:after="0" w:line="189"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Direct advertising expenses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20" w:type="dxa"/>
            <w:vAlign w:val="bottom"/>
            <w:vMerge w:val="restart"/>
          </w:tcPr>
          <w:p>
            <w:pPr>
              <w:jc w:val="right"/>
              <w:ind w:right="125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March 31,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ind w:left="50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2019</w:t>
            </w:r>
          </w:p>
        </w:tc>
      </w:tr>
      <w:tr>
        <w:trPr>
          <w:trHeight w:val="133"/>
        </w:trPr>
        <w:tc>
          <w:tcPr>
            <w:tcW w:w="368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1"/>
                <w:szCs w:val="11"/>
                <w:color w:val="auto"/>
              </w:rPr>
            </w:pPr>
          </w:p>
        </w:tc>
        <w:tc>
          <w:tcPr>
            <w:tcW w:w="130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r>
      <w:tr>
        <w:trPr>
          <w:trHeight w:val="171"/>
        </w:trPr>
        <w:tc>
          <w:tcPr>
            <w:tcW w:w="3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880" w:type="dxa"/>
            <w:vAlign w:val="bottom"/>
          </w:tcPr>
          <w:p>
            <w:pPr>
              <w:jc w:val="right"/>
              <w:spacing w:after="0"/>
              <w:rPr>
                <w:sz w:val="20"/>
                <w:szCs w:val="20"/>
                <w:color w:val="auto"/>
              </w:rPr>
            </w:pPr>
            <w:r>
              <w:rPr>
                <w:rFonts w:ascii="Arial" w:cs="Arial" w:eastAsia="Arial" w:hAnsi="Arial"/>
                <w:sz w:val="18"/>
                <w:szCs w:val="18"/>
                <w:color w:val="auto"/>
              </w:rPr>
              <w:t>7—10</w:t>
            </w: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642,704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545,239</w:t>
            </w:r>
          </w:p>
        </w:tc>
        <w:tc>
          <w:tcPr>
            <w:tcW w:w="2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641,714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539,405</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2,388,771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1,529,296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2,384,520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1,509,335</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12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3,147,454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2,176,264</w:t>
            </w:r>
          </w:p>
        </w:tc>
        <w:tc>
          <w:tcPr>
            <w:tcW w:w="2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3,142,112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2,149,868</w:t>
            </w:r>
          </w:p>
        </w:tc>
        <w:tc>
          <w:tcPr>
            <w:tcW w:w="12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20"/>
                <w:szCs w:val="20"/>
                <w:color w:val="auto"/>
              </w:rPr>
            </w:pPr>
          </w:p>
        </w:tc>
        <w:tc>
          <w:tcPr>
            <w:tcW w:w="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2,165,609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253,536</w:t>
            </w:r>
          </w:p>
        </w:tc>
        <w:tc>
          <w:tcPr>
            <w:tcW w:w="24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2,165,810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253,536</w:t>
            </w:r>
          </w:p>
        </w:tc>
        <w:tc>
          <w:tcPr>
            <w:tcW w:w="120" w:type="dxa"/>
            <w:vAlign w:val="bottom"/>
          </w:tcPr>
          <w:p>
            <w:pPr>
              <w:spacing w:after="0"/>
              <w:rPr>
                <w:sz w:val="20"/>
                <w:szCs w:val="20"/>
                <w:color w:val="auto"/>
              </w:rPr>
            </w:pPr>
          </w:p>
        </w:tc>
      </w:tr>
    </w:tbl>
    <w:p>
      <w:pPr>
        <w:spacing w:after="0" w:line="39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6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Additions to asset retirement obligations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Accretion expense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Liabilities settled</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March 31, 2020 and December 31, 2019, Lamar Media was permitted under the terms of its outstanding senior subordinated and senior notes to make transfers to Lamar Advertising in the form of cash dividends, loans or advances in amounts up to $3,392,915 and $3,389,763,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Lamar Media’s senior credit facility allows it to make transfers to Lamar Advertising in any taxable year up to the amount of Lamar Advertising’s taxable income (without any deduction for dividends paid). In addition, as of March 31, 2020,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2020, the total debt ratio was less than 7.0 to 1 and Lamar Media’s secured debt ratio was less than 4.5 to 1, and the available cumulative credit was $2,143,395.</w:t>
      </w:r>
    </w:p>
    <w:p>
      <w:pPr>
        <w:spacing w:after="0" w:line="38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months ended March 31, 2020 or 2019.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March 31, 2020 and December 31,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Debt, net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deferred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financing costs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1,223,276</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1,210,026</w:t>
            </w: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531,987</w:t>
            </w:r>
          </w:p>
        </w:tc>
        <w:tc>
          <w:tcPr>
            <w:tcW w:w="8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5 3/4% Senior Notes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646,701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3 3/4% Senior Notes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591,534</w:t>
            </w:r>
          </w:p>
        </w:tc>
        <w:tc>
          <w:tcPr>
            <w:tcW w:w="8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4% Senior Notes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394,272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3,590,472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3,551,809</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(175,828)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(169,616)</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Long-term debt, excluding current maturities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3,414,644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3,382,193</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3"/>
              </w:rPr>
              <w:t>Debt, net of</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financing costs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1,127,069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1,117,992</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174,154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531,763</w:t>
            </w:r>
          </w:p>
        </w:tc>
        <w:tc>
          <w:tcPr>
            <w:tcW w:w="8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5 3/8% Senior Notes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506,498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646,593</w:t>
            </w:r>
          </w:p>
        </w:tc>
        <w:tc>
          <w:tcPr>
            <w:tcW w:w="8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3,004,532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2,980,118</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(232,595)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220" w:type="dxa"/>
            <w:vAlign w:val="bottom"/>
            <w:tcBorders>
              <w:top w:val="single" w:sz="8" w:color="auto"/>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2,771,937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commitments under that facility were terminated. As a result of refinancing our credit facility the Company incurred a loss on debt extinguishment of $5,603 for the three months ended March 31,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2020, there was $625,000 outstanding under the revolving credit facility. Availability under the revolving facility is reduced by the amount of any letters of credit outstanding. Lamar Media had $13,084 in letters of credit outstanding as of March 31, 2020 resulting in $111,916 of availability under its revolving facility. Revolving credit loans may be requested under the revolving credit facility at any time prior to its maturity on February 6, 2025.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2018, Lamar Media entered into a $175,000 Receivable Financing Agreement (the “AR Program”) with its wholly-owned special purpose entities, Lamar QRS Receivables, LLC and Lamar TRS Receivables, LLC (the “Special Purpose Subsidiaries”) maturing on December 17, 2021. The AR Program is limited to the availability of eligible accounts receivable collateralizing the borrowings under the agreements governing the AR Program.</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balances to collateralize loans pursuant to the AR Program. Lamar Media retains the responsibility of servicing the accounts receivable balances pledged as collateral under the AR Program and provides a performance guaranty.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there was $175,000 outstanding on the AR Program bearing interest at approximately 1.8%. There was no commitment fee based on the amount of unused commitments under the AR Program during the three months ended March 31, 2020.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AR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 may redeem the 5% Notes, in whole or in part, in cash at redemption prices specified in the 5% Notes. In addition, if the Company or Lamar Media undergoes a change of control, Lamar Media may be required to make an offer to purchase each holder’s 5% Notes at a price equal to 101% of the principal amount of the 5% Notes, plus accrued and unpaid interest, up to but not including the repurchase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The Company used the proceeds from the 4% Senior Notes and 3 3/4% Senior Notes to redeem in full all of the 5 3/8% Notes on February 20, 2020 at a redemption price of 101% of the aggregate principal amounts of the outstanding 5 3/8% Notes, plus accrued and unpaid interest up to but not including the redemption date. In conjunction with the redemption, the Company recorded a loss on debt extinguishment of $12,576, of which $9,139 was cash, for the period ended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28, 2016, Lamar Media completed an institutional private placement of $400,000 aggregate principal amount of 5 3/4% Senior Notes due 2026 (the “5 3/4% Notes”). The institutional private placement on January 28, 2016 resulted in net proceeds to Lamar Media of approximately $394,500.</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“New Notes”). Other than with respect to the date of issuance, issue price and CUSIP number, the New Notes have the same terms as the 5 3/4% Notes. The net proceeds after underwriting fees and expenses, was approximately $251,500 and were used to repay a portion of the borrowings outstanding under the revolving credit facility.</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any time prior to February 1, 2021, Lamar Media may redeem some or all of the 5 3/4% Notes at a price equal to 100% of the aggregate principal amount, plus accrued and unpaid interest thereon plus a make-whole premium. On or after February 1, 2021, Lamar Media may redeem the 5 3/4% Notes, in whole or in part, in cash at redemption prices specified in the 5 3/4% Notes. In addition, if the Company or Lamar Media undergoes a change of control, Lamar Media may be required to make an offer to purchase each holder’s 5 3/4% Notes at a price equal to 101% of the principal amount of the 5 3/4% Notes, plus accrued and unpaid interest, up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6, 2020, Lamar Media completed an institutional private placement of $400,000 aggregate principal amount of 4% Senior Notes due 2030 (the “4% Notes”). The institutional private placement on February 6, 2020 resulted in net proceeds to Lamar Media of approximately $395,000.</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outstanding senior or senior subordinated notes and other indebtedness outstanding from time to time under its credit agreement. The repurchase program will expire on September 30, 2021 unless extended by the Board of Directors. There were no repurchases under the program as of March 31, 2020.</w:t>
      </w:r>
    </w:p>
    <w:p>
      <w:pPr>
        <w:spacing w:after="0" w:line="373"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2020 and December 31, 2019,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$3,456,133 which does not exceed the carrying amount of $3,590,472 as of March 31, 2020. The majority of the fair value is determined using observed prices of publicly traded debt (level 1 in the fair value hierarchy) and the remaining is valued based on quoted prices for similar debt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ASU No. 2018-10 and ASU No. 2019-01,</w:t>
      </w:r>
      <w:r>
        <w:rPr>
          <w:rFonts w:ascii="Arial" w:cs="Arial" w:eastAsia="Arial" w:hAnsi="Arial"/>
          <w:sz w:val="17"/>
          <w:szCs w:val="17"/>
          <w:i w:val="1"/>
          <w:iCs w:val="1"/>
          <w:color w:val="auto"/>
        </w:rPr>
        <w:t xml:space="preserve"> Codification Improvements to Topic 842</w:t>
      </w:r>
      <w:r>
        <w:rPr>
          <w:rFonts w:ascii="Arial" w:cs="Arial" w:eastAsia="Arial" w:hAnsi="Arial"/>
          <w:sz w:val="17"/>
          <w:szCs w:val="17"/>
          <w:color w:val="auto"/>
        </w:rPr>
        <w:t>,</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and ASU No.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The new standard establishes a right of use model (ROU) that requires a lessee to recognize a ROU</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lease liability on the balance sheet for all leases with a term longer than 12 months. Leases are classified as finance or operating, with classification affecting the pattern and classification of expense recognition in the income statement.</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adopted the new standard effective January 1, 2019 using a modified retrospective transition approach, applying the new standard to all leases existing at the date of initial application. An entity was permitted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Consequently, financial information was not updated and the disclosures required under the new standard will not be provided for dates and periods before January 1, 2019.</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standard provided a number of optional practical expedients in transition. We elected the ‘package of practical expedients’, which permitted us not to reassess under the new standard our prior conclusions about lease identification, lease classification and initial direct costs. We elected the practical expedient pertaining to land easements. We also elected the short-term lease recognition exemption for certain of our vehicle agreements. This means, for those leases that qualify, we will not recognize ROU assets or lease liabilities.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adoption, we recognized additional operating liabilities of $1.2 billion, with corresponding ROU assets of the same amount based on the present value of the remaining minimum rental payments under current leasing standards for our existing operating leases. In addition to the increase to the operating lease liabilities and right of use assets, Topic 842 also resulted in reclassifying the presentation of prepaid and deferred rent to operating lease right of use assets. The Company did not have any changes to its opening balance of retained earnings for the adoption of this update.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recently released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The Company adopted this guidance on January 1, 2020 and the impact of the adoption was not material to the Company’s consolidated financial statements. As of March 31,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164"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2020 and 2019, the Company declared and paid cash distributions in an aggregate amount of $100,687 or $1.00 per share and $95,915 or $0.96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months ended March 31, 2020 and 2019, the Company paid cash dividend distributions to holders of its Series AA Preferred Stock in an aggregate amount of $91 or $15.95 per share for each period.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external customers attributable to foreign countries totaled $7,436 and $7,587 for the three months ended March 31, 2020 and 2019, respectively. Net carrying value of long lived assets located in foreign countries totaled $5,106 and $4,549 as of March 31, 2020 and December 31, 2019, respectively. All other revenues from external customers and long lived assets relate to domestic operations.</w:t>
      </w:r>
    </w:p>
    <w:p>
      <w:pPr>
        <w:spacing w:after="0" w:line="184"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having an aggregate offering price of up to $400,000, through the Sales Agents as either agents or principals. As of March 31, 2020, 842,412 shares of our Class A common stock have been sold under the Sales Agreement and accordingly $336,668 remained available to be sold under the Sales Agreement as of March 31, 2020.</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During the year ended December 31, 2018, the Company issued 163,137 shares of its Class A common stock in connection with acquisitions occurring during the period. The Company filed a prospectus supplement to the shelf registration statement relating to the offer and resale of such shares of Class A common stock. There were no additional shares issued under this shelf registration during the year ended December 31, 2019 and the three months ended March 31, 2020.</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March 31, 2020</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$14,967 and $13,185 in 2020 and</w:t>
            </w:r>
          </w:p>
        </w:tc>
        <w:tc>
          <w:tcPr>
            <w:tcW w:w="2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251,149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254,930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420"/>
              <w:spacing w:after="0"/>
              <w:rPr>
                <w:sz w:val="20"/>
                <w:szCs w:val="20"/>
                <w:color w:val="auto"/>
              </w:rPr>
            </w:pPr>
            <w:r>
              <w:rPr>
                <w:rFonts w:ascii="Arial" w:cs="Arial" w:eastAsia="Arial" w:hAnsi="Arial"/>
                <w:sz w:val="17"/>
                <w:szCs w:val="17"/>
                <w:color w:val="auto"/>
              </w:rPr>
              <w:t>2019, respectively</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36,797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784,085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3,677,510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(2,333,838)</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(2,311,196)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1,343,672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1,328,165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1,320,779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1,901,922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970,722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6,376,266</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$6,212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$6,081 in 2020 and 2019,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169,616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226,514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55,616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532,757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deferred financing costs of $32,451 and $18,333 in 2020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3,382,193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1,071,813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5,249,042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par value $.01, 3,000 shares authorized, 100 shares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at 2020 and 2019</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3,022,158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comprehensive income</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(1,894,021)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(1,823,883)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6,376,266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384,457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140,470</w:t>
            </w:r>
          </w:p>
        </w:tc>
        <w:tc>
          <w:tcPr>
            <w:tcW w:w="120" w:type="dxa"/>
            <w:vAlign w:val="bottom"/>
          </w:tcPr>
          <w:p>
            <w:pPr>
              <w:spacing w:after="0"/>
              <w:rPr>
                <w:sz w:val="20"/>
                <w:szCs w:val="20"/>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79,293</w:t>
            </w:r>
          </w:p>
        </w:tc>
        <w:tc>
          <w:tcPr>
            <w:tcW w:w="120" w:type="dxa"/>
            <w:vAlign w:val="bottom"/>
            <w:shd w:val="clear" w:color="auto" w:fill="CFF0FC"/>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18,367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16,920</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(4,624)</w:t>
            </w:r>
          </w:p>
        </w:tc>
      </w:tr>
      <w:tr>
        <w:trPr>
          <w:trHeight w:val="223"/>
        </w:trPr>
        <w:tc>
          <w:tcPr>
            <w:tcW w:w="7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309,874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96,695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53,450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40,617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(1,598)</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29,429</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(1,598)</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40,617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(110,755)</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Balance, March 31, 2020</w:t>
            </w: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400" w:type="dxa"/>
            <w:vAlign w:val="bottom"/>
          </w:tcPr>
          <w:p>
            <w:pPr>
              <w:spacing w:after="0"/>
              <w:rPr>
                <w:sz w:val="24"/>
                <w:szCs w:val="2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2,922,907</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(1,802,723)</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30,970</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51,362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(104,597)</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(104,597)</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Balance, March 31, 2019</w:t>
            </w: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2,953,877</w:t>
            </w:r>
          </w:p>
        </w:tc>
        <w:tc>
          <w:tcPr>
            <w:tcW w:w="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(1,855,958)</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40,617</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disposition of assets and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(2,504)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18,179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(benefit)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(Increase) decrease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(290)</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Prepaid lease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(9,600)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(14,393)</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Increase (decrease)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Trade 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(20,982)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(41,210)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(28,324)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(29,207)</w:t>
            </w:r>
          </w:p>
        </w:tc>
        <w:tc>
          <w:tcPr>
            <w:tcW w:w="0" w:type="dxa"/>
            <w:vAlign w:val="bottom"/>
          </w:tcPr>
          <w:p>
            <w:pPr>
              <w:spacing w:after="0"/>
              <w:rPr>
                <w:sz w:val="1"/>
                <w:szCs w:val="1"/>
                <w:color w:val="auto"/>
              </w:rPr>
            </w:pPr>
          </w:p>
        </w:tc>
      </w:tr>
      <w:tr>
        <w:trPr>
          <w:trHeight w:val="213"/>
        </w:trPr>
        <w:tc>
          <w:tcPr>
            <w:tcW w:w="7720" w:type="dxa"/>
            <w:vAlign w:val="bottom"/>
          </w:tcPr>
          <w:p>
            <w:pPr>
              <w:ind w:left="100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(31,293)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(27,991)</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36,624</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39,539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(13,565)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(66,423)</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(25,709)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(25,951)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Decrease in notes receivable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12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(35,588)</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(91,075)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long-term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(7,210)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 on revolving credit facility</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(180,000)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note offering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Redemption of senior subordinated notes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(519,139)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senior credit facility term loans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(978,097)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(24,042)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(860)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Contributions from parent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Dividend to parent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(110,755)</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(104,597)</w:t>
            </w:r>
          </w:p>
        </w:tc>
        <w:tc>
          <w:tcPr>
            <w:tcW w:w="0" w:type="dxa"/>
            <w:vAlign w:val="bottom"/>
          </w:tcPr>
          <w:p>
            <w:pPr>
              <w:spacing w:after="0"/>
              <w:rPr>
                <w:sz w:val="1"/>
                <w:szCs w:val="1"/>
                <w:color w:val="auto"/>
              </w:rPr>
            </w:pPr>
          </w:p>
        </w:tc>
      </w:tr>
      <w:tr>
        <w:trPr>
          <w:trHeight w:val="212"/>
        </w:trPr>
        <w:tc>
          <w:tcPr>
            <w:tcW w:w="7720" w:type="dxa"/>
            <w:vAlign w:val="bottom"/>
            <w:tcBorders>
              <w:top w:val="single" w:sz="8" w:color="CFF0FC"/>
            </w:tcBorders>
            <w:shd w:val="clear" w:color="auto" w:fill="CFF0FC"/>
          </w:tcPr>
          <w:p>
            <w:pPr>
              <w:ind w:left="12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469,947</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62,770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260"/>
              <w:spacing w:after="0"/>
              <w:rPr>
                <w:sz w:val="20"/>
                <w:szCs w:val="20"/>
                <w:color w:val="auto"/>
              </w:rPr>
            </w:pPr>
            <w:r>
              <w:rPr>
                <w:rFonts w:ascii="Arial" w:cs="Arial" w:eastAsia="Arial" w:hAnsi="Arial"/>
                <w:sz w:val="16"/>
                <w:szCs w:val="16"/>
                <w:color w:val="auto"/>
              </w:rPr>
              <w:t>Effect of exchange rate changes in cash and cash equivalents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(532)</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470,451</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496,139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42,982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6"/>
                <w:szCs w:val="16"/>
                <w:color w:val="auto"/>
              </w:rPr>
              <w:t>Cash paid for foreign, state and federal income taxes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8"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2019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14, and 15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37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March 31,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Lamar Media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0"/>
        </w:trPr>
        <w:tc>
          <w:tcPr>
            <w:tcW w:w="450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487,176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1,334,725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1,304,978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2,854,750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4,244,398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(4,611,422)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4,731,574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5,778,657</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477,457</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(4,611,422</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6,376,266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(5,418)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321,650</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191,598</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3,382,167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1,054,692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(433,590)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3,604,350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1,607,409</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470,873</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5,249,042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4,171,248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(4,177,832)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5,778,657</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477,457</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(4,611,422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Lamar Media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Non-Guarantor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Corp.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b w:val="1"/>
                <w:bCs w:val="1"/>
                <w:color w:val="auto"/>
                <w:w w:val="91"/>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385"/>
        </w:trPr>
        <w:tc>
          <w:tcPr>
            <w:tcW w:w="4500" w:type="dxa"/>
            <w:vAlign w:val="bottom"/>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1,340,675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1,349,115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1,293,674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2,875,644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4,193,629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(4,557,380)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189,071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196,689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78,440</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385,794</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202,615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2,753,570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1,049,220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(421,966)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3,037,957</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1,666,464</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472,435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4,754,890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4,127,190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(4,135,414)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Three Months Ended March 31, 2020</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396,631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10,452</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406,569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143,052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301,068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(94,214)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95,598</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94,256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(94,214)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Three Months Ended March 31, 2019</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374,581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10,526</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134,750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289,403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85,178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(87,374)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(87,374)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51,362</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84,564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(87,374)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Three Months Ended March 31,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0"/>
        </w:trPr>
        <w:tc>
          <w:tcPr>
            <w:tcW w:w="45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(63,763)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(25,709)</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disposition of assets and investments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Investment in subsidiaries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(13,565)</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(Increase) decrease in intercompany notes receivable</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(8,155)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(21,720)</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(34,410)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on revolving credit facility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note offering</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Redemption of senior subordinated notes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(519,139)</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(519,139)</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Proceeds received from senior credit facility term loans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Payments on senior credit facility term loans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(978,097)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(978,097)</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(24,042)</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Intercompany loan (payments) proceeds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Dividends (to) from parent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(110,755)</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(63,763)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Contributions from (to) parent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(13,565)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1000"/>
              <w:spacing w:after="0"/>
              <w:rPr>
                <w:sz w:val="20"/>
                <w:szCs w:val="20"/>
                <w:color w:val="auto"/>
              </w:rPr>
            </w:pPr>
            <w:r>
              <w:rPr>
                <w:rFonts w:ascii="Arial" w:cs="Arial" w:eastAsia="Arial" w:hAnsi="Arial"/>
                <w:sz w:val="18"/>
                <w:szCs w:val="18"/>
                <w:color w:val="auto"/>
              </w:rPr>
              <w:t>Net cash provided by (used in) financing</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(53,642)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10,731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Effect of exchange rate changes in cash and 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473,317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486,502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ind w:right="1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Three Months Ended March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0"/>
        </w:trPr>
        <w:tc>
          <w:tcPr>
            <w:tcW w:w="45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(50,594)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(66,423)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(66,423)</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disposition of assets and investments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Investment in subsidiaries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(66,423)</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(Increase) decrease in intercompany notes receivable</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(10,470)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Decrease in notes receivable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(76,891)</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(90,539)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76,893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(91,075)</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Payment on revolving credit facility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(255,000)</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Proceeds from note offering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Payments on accounts receivable securitization program</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Intercompany loan (payments) proceeds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(6,716)</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(to) from parent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(104,597)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(50,594)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(104,597)</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Contributions from (to) parent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(66,423)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(13,853)</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(26,299)</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1"/>
              </w:rPr>
              <w:t>Effect of exchange rate changes in cash and cash equivalents</w:t>
            </w: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2019 Combined Form 10-K filed on February 20, 2020, as updated and supplemented in Part II, Item 1A of this Quarterly Report on Form 10-Q,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the Company for the three months ended March 31, 2020 and 2019. This discussion should be read in conjunction with the consolidated financial statements of the Company and the related notes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have reduced demand for out-of-home advertising. Beginning in late March, large public events were cancelled, and governments began imposing restrictions on non-essential activities, which in turn lead to advertisers suspending, delaying or cancelling their advertising campaigns. The government imposed restrictions are having an adverse impact on the volume of vehicles on roadways (particularly in larger markets), pedestrians in airports and riders on public transit and numerous advertising customer segments including, but not limited to, entertainment, retail, restaurant and automotive advertisers.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result, demand for billboard, transit and airport advertising declined, which has had an adverse impact on our revenues and financial position. The length and severity of the reduction in demand due to the pandemic is uncertain, though we expect the adverse impact to grow during the quarter ending June 30, 2020. While we are planning for an economic rebound in the second half of 2020, the exact timing and pace of the recovery is uncertain given the significant impact of the pandemic on the overall U.S. and global economy. Our liquidity measures and expense management initiatives may be modified as we monitor the timing of economic recovery.</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response to these developments, we have implemented measures to mitigate the impact on our financial position and operations. These measures include, but are not limited to, the following:</w:t>
      </w:r>
    </w:p>
    <w:p>
      <w:pPr>
        <w:spacing w:after="0" w:line="212"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 $535.0 million under our revolving credit facility in March 2020;</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sharply curtailing spending on capital projects, including new digital displays;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suspending acquisition activity;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instituting a hiring freeze;</w:t>
      </w:r>
    </w:p>
    <w:p>
      <w:pPr>
        <w:spacing w:after="0" w:line="9"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initiating discussions with many billboard ground lessors about amending their agreements to reduce future fixed lease expenses and amending payment terms from annual prepayment to monthly payments;</w:t>
      </w:r>
    </w:p>
    <w:p>
      <w:pPr>
        <w:ind w:left="740" w:hanging="368"/>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engaging in conversations with our transit and airport franchise partners about temporary relief from current and future annual contractual guarantees; and</w:t>
      </w:r>
    </w:p>
    <w:p>
      <w:pPr>
        <w:ind w:left="740" w:hanging="368"/>
        <w:spacing w:after="0" w:line="26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utilizing portions of the CARES Act for deferral of employer portions of social security taxes through the end of 2020, with 50% of the deferral due December 31, 2021 and the remaining 50% due December 31,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The Company’s management and Board of Directors are continuing to evaluate our dividend plans for the remainder of 2020. This evaluation includes ensuring the Company remains in compliance with its REIT dividend requirements for the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evaluate the impact of the COVID-19 pandemic on our business and we may access the debt and/or equity capital markets for additional liquidity, if necessary.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did not incur any impairment charges related to goodwill or long lived assets (including operating lease right of use assets). We also did not incur any significant credit losses for the three months ended March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corporate, front office and sales workforce is currently working from home due to government issued “stay-at-home” orders. Due to the nature of their duties, our billboard operations employees, for the most part, continue to complete their tasks, while still adhering to social distancing measures. The impacts of working from home have been minimal on productivity. Also, while working from home has minimally impacted our processes, there have been no material impacts to our internal control environment.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8"/>
          <w:szCs w:val="18"/>
          <w:i w:val="1"/>
          <w:iCs w:val="1"/>
          <w:color w:val="auto"/>
        </w:rPr>
        <w:t>Sources of Cash</w:t>
      </w:r>
      <w:r>
        <w:rPr>
          <w:rFonts w:ascii="Arial" w:cs="Arial" w:eastAsia="Arial" w:hAnsi="Arial"/>
          <w:sz w:val="18"/>
          <w:szCs w:val="18"/>
          <w:color w:val="auto"/>
        </w:rPr>
        <w:t xml:space="preserve">” for more information. During the three months ended March 31, 2020, the Company completed several acquisitions for a total cash purchase price of approximately $13.6 million. See </w:t>
      </w:r>
      <w:r>
        <w:rPr>
          <w:rFonts w:ascii="Arial" w:cs="Arial" w:eastAsia="Arial" w:hAnsi="Arial"/>
          <w:sz w:val="18"/>
          <w:szCs w:val="18"/>
          <w:i w:val="1"/>
          <w:iCs w:val="1"/>
          <w:color w:val="auto"/>
        </w:rPr>
        <w:t>Uses of Cash – Acquisitions</w:t>
      </w:r>
      <w:r>
        <w:rPr>
          <w:rFonts w:ascii="Arial" w:cs="Arial" w:eastAsia="Arial" w:hAnsi="Arial"/>
          <w:sz w:val="18"/>
          <w:szCs w:val="18"/>
          <w:color w:val="auto"/>
        </w:rPr>
        <w:t xml:space="preserve"> for more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2020 and 2019:</w:t>
      </w:r>
    </w:p>
    <w:p>
      <w:pPr>
        <w:spacing w:after="0" w:line="189"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Three months ended</w:t>
      </w:r>
    </w:p>
    <w:p>
      <w:pPr>
        <w:jc w:val="center"/>
        <w:ind w:left="4380"/>
        <w:spacing w:after="0" w:line="226" w:lineRule="auto"/>
        <w:rPr>
          <w:sz w:val="20"/>
          <w:szCs w:val="20"/>
          <w:color w:val="auto"/>
        </w:rPr>
      </w:pPr>
      <w:r>
        <w:rPr>
          <w:rFonts w:ascii="Arial" w:cs="Arial" w:eastAsia="Arial" w:hAnsi="Arial"/>
          <w:sz w:val="14"/>
          <w:szCs w:val="14"/>
          <w:b w:val="1"/>
          <w:bCs w:val="1"/>
          <w:color w:val="auto"/>
        </w:rPr>
        <w:t>March 31,</w:t>
      </w:r>
    </w:p>
    <w:p>
      <w:pPr>
        <w:jc w:val="center"/>
        <w:ind w:left="438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1980" w:type="dxa"/>
        <w:tblCellMar>
          <w:top w:w="0" w:type="dxa"/>
          <w:left w:w="0" w:type="dxa"/>
          <w:bottom w:w="0" w:type="dxa"/>
          <w:right w:w="0" w:type="dxa"/>
        </w:tblCellMar>
      </w:tblPr>
      <w:tr>
        <w:trPr>
          <w:trHeight w:val="155"/>
        </w:trPr>
        <w:tc>
          <w:tcPr>
            <w:tcW w:w="330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capital expenditures: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Billboard — traditional</w:t>
            </w:r>
          </w:p>
        </w:tc>
        <w:tc>
          <w:tcPr>
            <w:tcW w:w="1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6,520</w:t>
            </w:r>
          </w:p>
        </w:tc>
        <w:tc>
          <w:tcPr>
            <w:tcW w:w="2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9,262</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Billboard — digital</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11,619</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Logos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Transit</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Land and buildings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1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FF0FC"/>
          </w:tcPr>
          <w:p>
            <w:pPr>
              <w:spacing w:after="0"/>
              <w:rPr>
                <w:sz w:val="19"/>
                <w:szCs w:val="19"/>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Total capital expenditures</w:t>
            </w:r>
          </w:p>
        </w:tc>
        <w:tc>
          <w:tcPr>
            <w:tcW w:w="1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8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gain or loss on disposition of assets and investments, and the impact of ASC 842 adoption.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AFFO as FFO before (i) straight-line revenue and expense; (ii) impact of ASC 842 adoption; (iii) stock-based compensation expense; (iv) non-cash portion of tax provision; (v) non-real estate related depreciation and amortization; (vi) amortization of deferred financing costs; (vii) loss on extinguishment of debt; (viii) non-recurring infrequent or unusual losses (gains); (ix) less maintenance capital expenditures; and (x) an adjustment for unconsolidated affiliates and non-controlling interest.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$22.1 million or 5.8% to $406.6 million for the three months ended March 31, 2020 from $384.5 million for the same period in 2019. This increase was attributable primarily to an increase in billboard net revenues of $19.1 million over the same period in 2019, due to growth from acquired assets over the past twelve months.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March 31, 2020, there was a $17.0 million increase in net revenues as compared to acquisition-adjusted net revenue for the three months ended March 31, 2019, which represents an increase of 4.4%. See “Reconciliations” below. The $17.0 million increase in revenue is primarily due to a $13.7 million increase in billboard revenue which is largely due to an increase in digital revenue as compared to the same period in 2019.</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increased $13.4 million, or 5.7% to $250.2 million for the three months ended March 31, 2020 from $236.8 million in the same period in 2019. The $13.4 million increase over the prior year is comprised of a $12.2 million increase in total direct, general and administrative and corporate expenses (excluding stock-based compensation) primarily related to the operations of our outdoor advertising assets, as well as a $1.2 million increase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$0.8 million to $62.3 million for the three months ended March 31, 2020 as compared to $61.5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the Company recognized a gain on disposition of assets of $2.5 million primarily resulting from transactions related to billboard locations.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above factors, operating income increased by $5.8 million to $96.6 million for the three months ended March 31, 2020 as compared to $90.8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a loss on debt extinguishment of $18.2 million during the three months ended March 31, 2020, which relates to the early repayment of our 5 3/8% Senior Notes and refinancing of our senior credit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$1.0 million for the three months ended March 31, 2020 to $36.6 million as compared to $37.6 million for the three months ended March 31,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loss on debt extinguishment described above resulted in an $11.3 million decrease in net income before income taxes. The effective tax rate for the three months ended March 31, 2020 was 3.7%,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March 31, 2020 of $40.5 million, as compared to net income of $51.3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March 31, 2019 by adding to or subtracting from it the net revenue generated by the acquired or divested assets prior to our acquisition or divestiture of these assets for the same time frame that those assets were owned in the three months ended March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three months ended March 31, as well as a comparison of 2019 acquisition-adjusted net revenue to 2020 reported net revenue for the three months ended March 31, are provided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95"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Three months ended</w:t>
      </w:r>
    </w:p>
    <w:p>
      <w:pPr>
        <w:jc w:val="center"/>
        <w:ind w:left="3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6"/>
          </w:tcPr>
          <w:p>
            <w:pPr>
              <w:jc w:val="right"/>
              <w:ind w:right="4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384,457</w:t>
            </w:r>
          </w:p>
        </w:tc>
        <w:tc>
          <w:tcPr>
            <w:tcW w:w="10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FF0FC"/>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389,591</w:t>
            </w: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2240" w:type="dxa"/>
            <w:vAlign w:val="bottom"/>
            <w:gridSpan w:val="10"/>
            <w:vMerge w:val="restart"/>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0"/>
                <w:szCs w:val="20"/>
                <w:color w:val="auto"/>
              </w:rPr>
            </w:pPr>
          </w:p>
        </w:tc>
        <w:tc>
          <w:tcPr>
            <w:tcW w:w="11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10"/>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88"/>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40,493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51,253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(552)</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18,179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36,363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37,442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(1,079)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(4,624)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62,313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61,506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(3,774)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3,437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159,817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146,124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March 31, 2020 increased 9.4% to $159.8 million. The increase in adjusted EBITDA was primarily attributable to an increase in our gross margin (net revenue less direct advertising expense, exclusive of depreciation and amortization and the impact of ASC 842 adoption) of $16.9 million, and was offset by an increase in total general and administrative and corporate expenses of $3.2 million, excluding the impact of stock-based compensation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59,364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97,563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104,977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(3,774)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(1,211)</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(10,629)</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(9,707)</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March 31, 2020 decreased from $105.0 million in 2019 to $97.6 million for the same period in 2020, a decrease of 7.1%. AFFO for the three months ended March 31, 2020 increased 14.5% to $113.3 million as compared to $98.9 million for the same period in 2019. The increase in AFFO was primarily attributable to the increase in our gross margin (net revenue less direct advertising expense, exclusive of depreciation and amortization and the impact of ASC 842 adoption) offset by increases in the total of general and administrative and corporate expenses (excluding the effect of stock-based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Total Liquidity. </w:t>
      </w:r>
      <w:r>
        <w:rPr>
          <w:rFonts w:ascii="Arial" w:cs="Arial" w:eastAsia="Arial" w:hAnsi="Arial"/>
          <w:sz w:val="17"/>
          <w:szCs w:val="17"/>
          <w:color w:val="auto"/>
        </w:rPr>
        <w:t>As of March 31, 2020 we had approximately $608.5 million of total liquidity, which is comprised of approximately $496.6 million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and approximately $111.9 million of availability under the revolving portion of Lamar Media’s senior credit facility. We expect the liquidity measures taken (as discussed above) and the remaining availability under the revolving credit facility to be adequate in order for the Company to meet its operational requirements for the next twelve months as we continue to contend with the impacts of the COVID-19 pandemic.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2020 and December 31, 2019, the Company had a working capital surplus (deficit) of $245.7 million and $(362.6) million, respectively. The increase in the working capital of $608.3 million is primarily due to our March 2020 borrowings under our revolving credit facility of $535.0 million, which resulted in cash and cash equivalents on hand of $496.6 as of March 31, 2020 on our Condensed Consolidated Balance Sheet.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Cash Generated by Operations</w:t>
      </w:r>
      <w:r>
        <w:rPr>
          <w:rFonts w:ascii="Arial" w:cs="Arial" w:eastAsia="Arial" w:hAnsi="Arial"/>
          <w:sz w:val="18"/>
          <w:szCs w:val="18"/>
          <w:color w:val="auto"/>
        </w:rPr>
        <w:t>. For the three months ended March 31, 2020 and 2019 our cash provided by operating activities was $62.9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$60.7 million, respectively. The increase in cash provided by operating activities for the three months ended March 31, 2020 over the same period in 2019 relates to an increase in revenues offset by an increase in operating expenses (excluding depreciation and amortization). Due to the adverse economic impact of the COVID-19 pandemic, we do not expect to generate cash flows from operations during 2020 in excess of our cash needs for operations, capital expenditures and dividends, as described herein.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However, we do expect to have sufficient cash on hand and availability under our revolving credit facility to meet our operating cash needs for the next twelve months.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 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 or contributed to the QRS SPV and existing and future accounts receivable relating to Lamar Media’s taxable REIT subsidiaries will be sold and/ 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there were $175.0 million of outstanding aggregate borrowings under the Accounts Receivable Securitization Program at a borrowing rate of approximately 1.8%.</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On May 1, 2018, the Company entered into an equity distribution agreement (the “Sales Agreement”) with J.P.</w:t>
      </w:r>
      <w:r>
        <w:rPr>
          <w:rFonts w:ascii="Arial" w:cs="Arial" w:eastAsia="Arial" w:hAnsi="Arial"/>
          <w:sz w:val="16"/>
          <w:szCs w:val="16"/>
          <w:i w:val="1"/>
          <w:iCs w:val="1"/>
          <w:color w:val="auto"/>
        </w:rPr>
        <w:t xml:space="preserve"> </w:t>
      </w:r>
      <w:r>
        <w:rPr>
          <w:rFonts w:ascii="Arial" w:cs="Arial" w:eastAsia="Arial" w:hAnsi="Arial"/>
          <w:sz w:val="16"/>
          <w:szCs w:val="16"/>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three months ended March 31, 2020, the Company did not issue any shares under this program.</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we filed an automatically effective shelf registration statement (No. 333-226614) that registered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 of an indeterminate amount of additional shares of our Class A common stock. During the three months ended March 31, 2020, the Company did not issue any shares under this shelf registration, however, we may issue additional shares under the shelf registration statement in the future in connection with future acquisitions or for other general corporate purposes.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 6, 2027, and (iii) 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 xml:space="preserve">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8"/>
          <w:szCs w:val="18"/>
          <w:i w:val="1"/>
          <w:iCs w:val="1"/>
          <w:color w:val="auto"/>
        </w:rPr>
        <w:t>“Restrictions under Senior Credit Facility”</w:t>
      </w:r>
      <w:r>
        <w:rPr>
          <w:rFonts w:ascii="Arial" w:cs="Arial" w:eastAsia="Arial" w:hAnsi="Arial"/>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 The net proceeds from the Term B loans, together with borrowing under the revolving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See </w:t>
      </w:r>
      <w:r>
        <w:rPr>
          <w:rFonts w:ascii="Arial" w:cs="Arial" w:eastAsia="Arial" w:hAnsi="Arial"/>
          <w:sz w:val="18"/>
          <w:szCs w:val="18"/>
          <w:i w:val="1"/>
          <w:iCs w:val="1"/>
          <w:color w:val="auto"/>
        </w:rPr>
        <w:t xml:space="preserve">Uses of Cash </w:t>
      </w:r>
      <w:r>
        <w:rPr>
          <w:rFonts w:ascii="Arial" w:cs="Arial" w:eastAsia="Arial" w:hAnsi="Arial"/>
          <w:sz w:val="18"/>
          <w:szCs w:val="18"/>
          <w:color w:val="auto"/>
        </w:rPr>
        <w:t>for more information.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the aggregate balance outstanding under the senior credit facility was $1.225 billion, consisting of $600.0 million in Term B loans aggregate principal balance and $625.0 million in revolving credit facility loans. In addition, Lamar Media had approximately $111.9 million of unused capacity under the revolving credit facility included in the senior credit facility. The Company recorded a loss on debt extinguishment of approximately $5.6 million related to the refinancing its senior credit facility.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Offerings. </w:t>
      </w:r>
      <w:r>
        <w:rPr>
          <w:rFonts w:ascii="Arial" w:cs="Arial" w:eastAsia="Arial" w:hAnsi="Arial"/>
          <w:sz w:val="17"/>
          <w:szCs w:val="17"/>
          <w:color w:val="auto"/>
        </w:rPr>
        <w:t>On February 6, 2020, Lamar Media issued, through an institutional private placement, $1.0 billion in aggregate principal amount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senior notes consisting of $600.0 million in aggregate principal amount of 3 3/4% Senior Notes due 2028 (the “3 3/4% Senior Notes”) and $400.0 million in aggregate principal amount of 4% Senior Notes due 2030 (the “4% Senior Notes”). Lamar Media used the proceeds of this offering to repay its existing Term A loans, redeem in full all $510.0 million in aggregate principal amount of its outstanding 5 3/8% Senior Notes due 2024 and partially repay borrowings under its revolving credit facility. The Company recorded a loss on debt extinguishment of approximately $12.6 million, of which $9.1 million was cash related to its redemption of the 5 3/8% Senior Notes. See </w:t>
      </w:r>
      <w:r>
        <w:rPr>
          <w:rFonts w:ascii="Arial" w:cs="Arial" w:eastAsia="Arial" w:hAnsi="Arial"/>
          <w:sz w:val="17"/>
          <w:szCs w:val="17"/>
          <w:i w:val="1"/>
          <w:iCs w:val="1"/>
          <w:color w:val="auto"/>
        </w:rPr>
        <w:t>Uses of Cash-Note Redemption</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where the Company conducts its business and overall spending on advertising by advertisers. As a result of COVID-19, we anticipate an adverse effect on our internally generated cash flows for the quarter ending June 30, 2020, and while we are uncertain of the severity and duration of the decline, we are anticipating an economic rebound in the second half of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$535.0 million 5% Senior Subordinated Notes issued in October 2012 (the “5% Senior Subordinated Notes”), the $650.0 million 5 3/4% Senior Notes issued in January 2016 and February 2019 (the “5 3/4% Senior Notes”), the $600.0 million 3 3/4% Senior Notes issued February 2020 and the $400.0 million 4% Senior Notes issued February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000" w:right="6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$1.5 billion (or up to $2.0 billion in the case of the indentures governing the 3 3/4% Senior Notes and the 4% Senior Notes) of indebtedness under the senior credit facility;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left="1000" w:right="1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 to $500 million of permitted securitization financings, in the case of the indentures governing the 3 3/4% Senior Notes and the 4% Senior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2020 and currently, we were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it is in compliance with the secured debt ratio covenant and if,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w:t>
      </w:r>
    </w:p>
    <w:p>
      <w:pPr>
        <w:jc w:val="both"/>
        <w:ind w:firstLine="8"/>
        <w:spacing w:after="0" w:line="284" w:lineRule="auto"/>
        <w:tabs>
          <w:tab w:leader="none" w:pos="3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and (B) after giving effect to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 (a) the aggregate amount for all</w:t>
      </w:r>
      <w:r>
        <w:rPr>
          <w:rFonts w:ascii="Arial" w:cs="Arial" w:eastAsia="Arial" w:hAnsi="Arial"/>
          <w:sz w:val="16"/>
          <w:szCs w:val="16"/>
          <w:color w:val="auto"/>
        </w:rPr>
        <w:t xml:space="preserve"> such cost savings, operating expense reductions and other operating improvements or synergies will not exceed an amount equal to 15% of EBITDA for the applicable four quarter period and (b) any such adjustment to EBITDA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(other than the special purpose subsidiaries) income or loss attributable to equity in affiliates for such period), excluding any extraordinary and unusual gains or losses during such period, and excluding the proceeds of any casualty events and 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through fiscal 2020. All debt obligations are reflected on the Company’s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Capital expenditures, excluding acquisitions were approximately $25.7 million for the three months ended March 31, 2020.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economic impacts of COVID-19 we have updated our anticipated 2020 total capital expenditures to be approximately $58.0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three months ended March 31, 2020, the Company completed acquisitions for an aggregate purchase price of approximately $13.6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were financed using available cash on hand or borrowings under its revolving credit facility. Due to the economic impacts of COVID-19 we have suspended our acquisition activity.</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Note Redemption. </w:t>
      </w:r>
      <w:r>
        <w:rPr>
          <w:rFonts w:ascii="Arial" w:cs="Arial" w:eastAsia="Arial" w:hAnsi="Arial"/>
          <w:sz w:val="16"/>
          <w:szCs w:val="16"/>
          <w:color w:val="auto"/>
        </w:rPr>
        <w:t>On February 20, 2020, the Company used a portion of the proceeds from the 3 3/4% Senior Notes and 4% Senior Notes to redeem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$510.0 million in aggregate principal amount of Lamar Media’s 5 3/8% Senior Notes. The notes were redeemed at a redemption price equal to 101.792% of the aggregate principal amount of the outstanding notes, plus accrued and unpaid interest up to the redemption date. The Company recorded a loss on debt extinguishment of approximately $12.6 million related to the note redemption. See </w:t>
      </w:r>
      <w:r>
        <w:rPr>
          <w:rFonts w:ascii="Arial" w:cs="Arial" w:eastAsia="Arial" w:hAnsi="Arial"/>
          <w:sz w:val="16"/>
          <w:szCs w:val="16"/>
          <w:i w:val="1"/>
          <w:iCs w:val="1"/>
          <w:color w:val="auto"/>
        </w:rPr>
        <w:t>Sources of Cash-Note Offerings</w:t>
      </w:r>
      <w:r>
        <w:rPr>
          <w:rFonts w:ascii="Arial" w:cs="Arial" w:eastAsia="Arial" w:hAnsi="Arial"/>
          <w:sz w:val="16"/>
          <w:szCs w:val="16"/>
          <w:color w:val="auto"/>
        </w:rPr>
        <w:t xml:space="preserve"> for more information.</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The Term B loans mature on February 6, 2027 and there are no required amortization payments related to the Term B loans.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27, 2020, Lamar Advertising’s Board of Directors declared a quarterly cash dividend of $1.00 per share, paid on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to its stockholders of record of its Class A common stock and Class B common stock on March 16, 2020. Due to the economic impact of COVID-19, the Company’s Board of Directors is continuing to evaluate our remaining 2020 quarterly dividend distributions.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and other factors that the Board of Directors may deem relevant.</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A common stock. Additionally, the Board of Directors has authorized Lamar Media to repurchase up to $250.0 million outstanding senior or senior subordinated notes and other indebtedness outstanding from time to time under its credit agreement. The repurchase program will expire on September 30, 2021 unless extended by the Board of Directors. There were no repurchases under the program as of March 31, 2020. The Company’s management may opt not to make any repurchases under the program, or may make aggregate purchases less than the total amount authorized.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off-balance sheet commitments consist of guaranteed minimum payments to local transit municipalities and airport authorities for agreements which entitle us to rent advertising space to customers, in airports and on buses, benches or shelters. These agreements no longer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adopted on January 1, 2019 and are a result of our normal course of business</w:t>
      </w:r>
      <w:r>
        <w:rPr>
          <w:rFonts w:ascii="Arial" w:cs="Arial" w:eastAsia="Arial" w:hAnsi="Arial"/>
          <w:sz w:val="18"/>
          <w:szCs w:val="18"/>
          <w:color w:val="212529"/>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As of March 31, 2020, we had outstanding debt of approximately $3.552 billion. In the future, Lamar Media has principal revolver commitment reductions under the senior credit facility. In addition, it has fixed commercial commitments. These commitments are detailed on a contractual basis as follows:</w:t>
      </w: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1 - 3 Years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8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Billboard site and other operating leases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 payments due</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6,161.2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1,055.7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March 2020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9"/>
              </w:rPr>
              <w:t>Total 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w w:val="94"/>
              </w:rPr>
              <w:t>Amount of Expiration Per Period</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3 - 5 Years</w:t>
            </w:r>
          </w:p>
        </w:tc>
        <w:tc>
          <w:tcPr>
            <w:tcW w:w="300" w:type="dxa"/>
            <w:vAlign w:val="bottom"/>
          </w:tcPr>
          <w:p>
            <w:pPr>
              <w:spacing w:after="0"/>
              <w:rPr>
                <w:sz w:val="11"/>
                <w:szCs w:val="11"/>
                <w:color w:val="auto"/>
              </w:rPr>
            </w:pPr>
          </w:p>
        </w:tc>
        <w:tc>
          <w:tcPr>
            <w:tcW w:w="8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Committed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Revolving bank facility</w:t>
            </w:r>
            <w:r>
              <w:rPr>
                <w:rFonts w:ascii="Arial" w:cs="Arial" w:eastAsia="Arial" w:hAnsi="Arial"/>
                <w:sz w:val="15"/>
                <w:szCs w:val="15"/>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5"/>
          <w:szCs w:val="15"/>
          <w:color w:val="auto"/>
        </w:rPr>
      </w:pPr>
      <w:r>
        <w:rPr>
          <w:rFonts w:ascii="Arial" w:cs="Arial" w:eastAsia="Arial" w:hAnsi="Arial"/>
          <w:sz w:val="18"/>
          <w:szCs w:val="18"/>
          <w:color w:val="auto"/>
        </w:rPr>
        <w:t>Lamar Media had $625.0 million outstanding under the revolving credit facility at March 31,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The standby letters of credit are issued under the revolving credit facility and reduce the availability of the facility by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1191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presentation of these financial statements requires us to make estimates and judgements that affect the reported amounts of assets, liabilities, revenues and expenses. There have been no material changes to the critical accounting policies and estimates as previously disclosed in Item 7 of our 2019 Combined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ASU No. 2018-10 and ASU No. 2019-01,</w:t>
      </w:r>
      <w:r>
        <w:rPr>
          <w:rFonts w:ascii="Arial" w:cs="Arial" w:eastAsia="Arial" w:hAnsi="Arial"/>
          <w:sz w:val="17"/>
          <w:szCs w:val="17"/>
          <w:i w:val="1"/>
          <w:iCs w:val="1"/>
          <w:color w:val="auto"/>
        </w:rPr>
        <w:t xml:space="preserve"> Codification Improvements to Topic 842</w:t>
      </w:r>
      <w:r>
        <w:rPr>
          <w:rFonts w:ascii="Arial" w:cs="Arial" w:eastAsia="Arial" w:hAnsi="Arial"/>
          <w:sz w:val="17"/>
          <w:szCs w:val="17"/>
          <w:color w:val="auto"/>
        </w:rPr>
        <w:t>,</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and ASU No.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The new standard establishes a right of use model (ROU) that requires a lessee to recognize a ROU</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lease liability on the balance sheet for all leases with a term longer than 12 months. Leases are classified as finance or operating, with classification affecting the pattern and classification of expense recognition in the income statement.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the new standard effective January 1, 2019 using a modified retrospective transition approach, applying the new standard to all leases existing at the date of initial application. An entity was permitted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standard for the comparative periods. Consequently, financial information was not updated and the disclosures required under the new standard will not be provided for dates and periods before January 1, 2019.</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standard provided a number of optional practical expedients in transition. We elected the ‘package of practical expedients’, which permitted us not to reassess under the new standard our prior conclusions about lease identification, lease classification and initial direct costs. We elected the practical expedient pertaining to land easements. We also elected the short-term lease recognition exemption for certain of our vehicle agreements. This means, for those leases that qualify, we will not recognize ROU assets or lease liabilities.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we recognized additional operating liabilities of $1.2 billion, with corresponding ROU assets of the same amount based on the present value of the remaining minimum rental payments under current leasing standards for our existing operating leases. The Company did not have any changes to its opening balance of retained earnings for the adoption of this update.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recently released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and early adoption is permitted. The Company’s adoption of this update did not have a material impact on our Consolidated Financial Statements. As of March 31,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three months ended March 31, 2020 and 2019. This discussion should be read in conjunction with the consolidated financial statements of Lamar Media and the related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$22.1 million or 5.8% to $406.6 million for the three months ended March 31, 2020 from $384.5 million for the same period in 2019. This increase was attributable primarily to an increase in billboard net revenues of $19.1 million over the same period in 2019, due to growth from acquired assets over the past twelve months.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March 31, 2020, there was a $17.0 million increase in net revenues as compared to acquisition-adjusted net revenue for the three months ended March 31, 2019, which represents an increase of 4.4%. See “Reconciliations” below. The $17.0 million increase in revenue is primarily due to a $13.7 million increase in billboard revenue which is largely due to an increase in digital revenue as compared to the same period in 2019.</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increased $13.4 million, or 5.7% to $250.1 million for the three months ended March 31, 2020 from $236.7 million in the same period in 2019. The $13.4 million increase over the prior year is comprised of a $12.2 million increase in total direct, general and administrative and corporate expenses (excluding stock-based compensation) primarily related to the operations of our outdoor advertising assets, as well as a $1.2 million increase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$0.8 million to $62.3 million for the three months ended March 31, 2020 as compared to $61.5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the Company recognized a gain on disposition of assets of $2.5 million primarily resulting from transactions related to billboard locations.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above factors, operating income increased by $5.8 million to $96.7 million for the three months ended March 31, 2020 as compared to $90.9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a loss on debt extinguishment of $18.2 million during the three months ended March 31, 2020, which relates to the early repayment of our 5 3/8% Senior Notes and the refinancing of our senior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Interest expense decreased $1.0 million for the three months ended March 31, 2020 to $36.6 million as compared to $37.6 million for the three months ended March 31,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offset by the loss on debt extinguishment described above resulted in an $11.3 million decrease in net income before income taxes. The effective tax rate for the three months ended March 31, 2020 was 3.6%,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March 31, 2020 of $40.6 million, as compared to net income of $51.4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March 31, 2019 by adding to or subtracting from it the net revenue generated by the acquired or divested assets prior to our acquisition or divestiture of these assets for the same time frame that those assets were owned in the three months ended March 31, 2020.</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three months ended March 31, as well as a comparison of 2019 acquisition-adjusted net revenue to 2020 reported net revenue for the three months ended March 31, are provided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Three months ended</w:t>
      </w:r>
    </w:p>
    <w:p>
      <w:pPr>
        <w:jc w:val="center"/>
        <w:ind w:left="3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6"/>
          </w:tcPr>
          <w:p>
            <w:pPr>
              <w:jc w:val="right"/>
              <w:ind w:right="4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384,457</w:t>
            </w:r>
          </w:p>
        </w:tc>
        <w:tc>
          <w:tcPr>
            <w:tcW w:w="100" w:type="dxa"/>
            <w:vAlign w:val="bottom"/>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FF0FC"/>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389,591</w:t>
            </w: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88"/>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51,362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(552)</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18,179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36,363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37,442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(1,079)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(4,624)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62,313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61,506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8"/>
              </w:rPr>
              <w:t>(3,774)</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3,437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159,941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146,233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13,708</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March 31, 2020 increased 9.4% to $159.9 million. The increase in adjusted EBITDA was primarily attributable to an increase in our gross margin (net revenue less direct advertising expense, exclusive of depreciation and amortization and the impact of ASC 842 adoption) of $16.9 million, and was offset by an increase in total general and administrative and corporate expenses of $3.2 million, excluding the impact of stock-based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59,364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97,687</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(3,774)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(1,211)</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(10,629)</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(9,707)</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three months ended March 31, 2020 decreased 7.0% to $97.7 million as compared to FFO of $105.1 million for the same period in 2019 primarily due to a loss on debt extinguishment charge of $18.2 million. AFFO for the three months ended March 31, 2020 increased 14.5% to $113.4 million as compared to $99.0 million for the same period in 2019. The increase in AFFO was primarily attributable to the increase in our gross margin (net revenue less direct advertising expense, exclusive of depreciation and amortization and the impact of ASC 842 adoption) offset by increases in total of general and administrative and corporate expenses (excluding the effect of stock-based compensation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Lamar Advertising Company and Lamar Media Corp.</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2020, and should be read in conjunction with Note 11 of the Notes to the Company’s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2020 there was approximately $1.398 billion of indebtedness outstanding under the senior credit facility and Accounts Receivable Securitization Program, or approximately 38.9% of the Company’s outstanding long-term debt on that date, bearing interest at variable rates. The aggregate interest expense for 2020 with respect to borrowings under the senior credit facility and the Accounts Receivable Securitization Program was $8.3 million, and the weighted average interest rate applicable to these borrowings during 2020 was 3.0%. Assuming that the weighted average interest rate was 200 basis points higher (that is 5.0% rather than 3.0%), then the Company’s 2020 interest expense would have increased by approximately $5.1 million for the three months ended March 31,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2019, which could adversely affect our business, financial condition, results of operations, cash flows, and the trading price of our Class A common stock. Except as stated below, there have been no material changes to our risk factors since our combined Annual Report on Form 10-K for the year ended December 31,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Pandemics or disease outbreaks, such as COVID-19, have and are expected to continue to materially affect our business, results of operations and financial condition.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outbreaks of contagious diseases and other adverse public health developments could have a significant adverse effect on our business, results of operations and financial condition. The recent outbreak of COVID-19 has resulted in the implementation of significant governmental measures to control the spread of the virus, including quarantines, travel restrictions, business shutdowns and restrictions on non-essential activities in the United States and abroad. These restrictions are having an adverse impact on the volume of vehicles on roadways (particularly in larger markets), pedestrians in airports and riders on public transit, which has temporarily reduced the size of the audience for our advertising in certain jurisdictions. The restrictions have also negatively affected the financial condition of numerous advertising customer segments including, but not limited to, entertainment, retail, restaurant and automotive advertisers, which have temporarily closed or limited their operations, and caused certain of our advertisers to decrease or eliminate the amount they spend on advertising with us on a temporary basis.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has been affected adversely due to decreased demand for its advertising in jurisdictions that have imposed such restrictions, and the extension of existing measures or implementation of new similar measures may further adversely affect its business in the future. Even if such measures are relaxed, the perceived risk of infection may continue to alter the behavior of the audience for our advertising, which may continue to negatively affect the Company’s business. Such risks are also expected to continue to affect the financial condition of certain of our advertising customers, which may have a negative effect on the Company’s business if advertising customers continue to reduce advertising expenditures generally or for outdoor advertising specifically.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above, the general market volatility resulting from the COVID-19 pandemic has caused a decline in the Company’s stock price.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and other potential impacts of COVID-19 (or other epidemics, pandemics or other health crises) have and are expected to continue to adversely affect the Company’s business, financial condition and results of operations. The ultimate extent of the impact of COVID-19 or any epidemic, pandemic or other health crisis on our business, financial condition and results of operations will depend on future developments, which are highly uncertain and cannot be predicted, including new information that may emerge concerning the severity of COVID-19 and the actions taken to contain COVID-19 and address its impact, among others.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3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16, 2020 the Company’s Board of Directors authorized the repurchase of up to $250.0 million of the Company’s Class A common stock. Additionally, the Board of Directors has authorized for Lamar Media Corp. to repurchase up to $250.0 million outstanding senior or senior subordinated notes and other indebtedness outstanding from time to time under its credit agreement. The repurchase program will expire on September 30, 2021, unless extended by the Board of Directors. There were no repurchases under the program as of March 31, 2020 or through the date of this filing. The Company’s management may opt not to make any repurchases under the program, or may make aggregate purchases less than the total amount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360" w:type="dxa"/>
            <w:vAlign w:val="bottom"/>
            <w:gridSpan w:val="7"/>
          </w:tcPr>
          <w:p>
            <w:pPr>
              <w:ind w:left="140"/>
              <w:spacing w:after="0"/>
              <w:rPr>
                <w:sz w:val="20"/>
                <w:szCs w:val="20"/>
                <w:color w:val="auto"/>
              </w:rPr>
            </w:pPr>
            <w:r>
              <w:rPr>
                <w:rFonts w:ascii="Arial" w:cs="Arial" w:eastAsia="Arial" w:hAnsi="Arial"/>
                <w:sz w:val="18"/>
                <w:szCs w:val="18"/>
                <w:b w:val="1"/>
                <w:bCs w:val="1"/>
                <w:color w:val="auto"/>
              </w:rPr>
              <w:t>EXHIBITS</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29"/>
        </w:trPr>
        <w:tc>
          <w:tcPr>
            <w:tcW w:w="1020" w:type="dxa"/>
            <w:vAlign w:val="bottom"/>
          </w:tcPr>
          <w:p>
            <w:pPr>
              <w:jc w:val="center"/>
              <w:ind w:left="72"/>
              <w:spacing w:after="0"/>
              <w:rPr>
                <w:sz w:val="20"/>
                <w:szCs w:val="20"/>
                <w:color w:val="auto"/>
              </w:rPr>
            </w:pPr>
            <w:r>
              <w:rPr>
                <w:rFonts w:ascii="Arial" w:cs="Arial" w:eastAsia="Arial" w:hAnsi="Arial"/>
                <w:sz w:val="16"/>
                <w:szCs w:val="16"/>
                <w:b w:val="1"/>
                <w:bCs w:val="1"/>
                <w:color w:val="auto"/>
                <w:w w:val="93"/>
              </w:rPr>
              <w:t>Exhibit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020" w:type="dxa"/>
            <w:vAlign w:val="bottom"/>
            <w:tcBorders>
              <w:bottom w:val="single" w:sz="8" w:color="auto"/>
            </w:tcBorders>
          </w:tcPr>
          <w:p>
            <w:pPr>
              <w:jc w:val="center"/>
              <w:ind w:left="72"/>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2"/>
          </w:tcPr>
          <w:p>
            <w:pPr>
              <w:ind w:left="1860"/>
              <w:spacing w:after="0"/>
              <w:rPr>
                <w:sz w:val="20"/>
                <w:szCs w:val="20"/>
                <w:color w:val="auto"/>
              </w:rPr>
            </w:pPr>
            <w:r>
              <w:rPr>
                <w:rFonts w:ascii="Arial" w:cs="Arial" w:eastAsia="Arial" w:hAnsi="Arial"/>
                <w:sz w:val="16"/>
                <w:szCs w:val="16"/>
                <w:b w:val="1"/>
                <w:bCs w:val="1"/>
                <w:color w:val="auto"/>
              </w:rPr>
              <w:t>Description</w:t>
            </w:r>
          </w:p>
        </w:tc>
        <w:tc>
          <w:tcPr>
            <w:tcW w:w="1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93"/>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Amended and Restated Certificate of Incorporation of Lamar Advertising Company (the “Company”), as filed with the Secretary of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State of Delaware effective as of November 18, 2014.  Previously filed as Exhibit 3.1 to the Company’s Current Report on Form 8-K</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gridSpan w:val="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(File No. 1-36756) filed on November 19, 2014 and incorporated herein by reference</w:t>
              </w:r>
              <w:r>
                <w:rPr>
                  <w:rFonts w:ascii="Arial" w:cs="Arial" w:eastAsia="Arial" w:hAnsi="Arial"/>
                  <w:sz w:val="18"/>
                  <w:szCs w:val="18"/>
                  <w:color w:val="000000"/>
                </w:rPr>
                <w:t>.</w:t>
              </w:r>
            </w:hyperlink>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Certificate of Merger, effective as of November 18, 2014. Previously filed as Exhibit 3.2 to the Company’s Current Report on Form 8-K</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gridSpan w:val="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 No. 1-36756) filed on November 19, 2014 and incorporated herein by reference</w:t>
              </w:r>
              <w:r>
                <w:rPr>
                  <w:rFonts w:ascii="Arial" w:cs="Arial" w:eastAsia="Arial" w:hAnsi="Arial"/>
                  <w:sz w:val="18"/>
                  <w:szCs w:val="18"/>
                  <w:color w:val="000000"/>
                </w:rPr>
                <w:t>.</w:t>
              </w:r>
            </w:hyperlink>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bottom w:val="single" w:sz="8" w:color="0000EE"/>
            </w:tcBorders>
            <w:gridSpan w:val="5"/>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Amended and Restated Certificate of Incorporation of Lamar Media Corp. (“Lamar Media”)</w:t>
              </w:r>
            </w:hyperlink>
          </w:p>
        </w:tc>
        <w:tc>
          <w:tcPr>
            <w:tcW w:w="2860" w:type="dxa"/>
            <w:vAlign w:val="bottom"/>
            <w:tcBorders>
              <w:bottom w:val="single" w:sz="8" w:color="0000EE"/>
            </w:tcBorders>
            <w:gridSpan w:val="5"/>
          </w:tcPr>
          <w:p>
            <w:pPr>
              <w:jc w:val="right"/>
              <w:spacing w:after="0"/>
              <w:rPr>
                <w:rFonts w:ascii="Arial" w:cs="Arial" w:eastAsia="Arial" w:hAnsi="Arial"/>
                <w:sz w:val="18"/>
                <w:szCs w:val="18"/>
                <w:color w:val="0000EE"/>
                <w:w w:val="99"/>
              </w:rPr>
            </w:pPr>
            <w:hyperlink r:id="rId72">
              <w:r>
                <w:rPr>
                  <w:rFonts w:ascii="Arial" w:cs="Arial" w:eastAsia="Arial" w:hAnsi="Arial"/>
                  <w:sz w:val="18"/>
                  <w:szCs w:val="18"/>
                  <w:color w:val="0000EE"/>
                  <w:w w:val="99"/>
                </w:rPr>
                <w:t>Previously filed as Exhibit 3.2 to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Company’s Quarterly Report on Form 10-Q for the period ended March 31, 2007 (File No. 0-30242) filed on May 10, 2007 and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gridSpan w:val="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Amended and Restated Bylaws of the Company, adopted as of November 18, 2014.  Previously filed as Exhibit 3.3 to the Company’s</w:t>
              </w:r>
            </w:hyperlink>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10"/>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Current Report on Form 8-K (File No. 1-36756) filed on November 19, 2014 and incorporated herein by reference</w:t>
              </w:r>
              <w:r>
                <w:rPr>
                  <w:rFonts w:ascii="Arial" w:cs="Arial" w:eastAsia="Arial" w:hAnsi="Arial"/>
                  <w:sz w:val="18"/>
                  <w:szCs w:val="18"/>
                  <w:u w:val="single" w:color="auto"/>
                  <w:color w:val="000000"/>
                </w:rPr>
                <w:t>.</w:t>
              </w:r>
            </w:hyperlink>
          </w:p>
        </w:tc>
      </w:tr>
      <w:tr>
        <w:trPr>
          <w:trHeight w:val="337"/>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3.5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Amended and Restated Bylaws of Lamar Media. Previously filed as Exhibit 3.1 to Lamar Media’s Quarterly Report on Form 10-Q for</w:t>
              </w:r>
            </w:hyperlink>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10"/>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the period ended September 30, 1999 (File No. 1-12407) filed on November 12, 1999 and incorporated herein by reference</w:t>
              </w:r>
              <w:r>
                <w:rPr>
                  <w:rFonts w:ascii="Arial" w:cs="Arial" w:eastAsia="Arial" w:hAnsi="Arial"/>
                  <w:sz w:val="18"/>
                  <w:szCs w:val="18"/>
                  <w:u w:val="single" w:color="auto"/>
                  <w:color w:val="000000"/>
                </w:rPr>
                <w:t>.</w:t>
              </w:r>
            </w:hyperlink>
          </w:p>
        </w:tc>
      </w:tr>
      <w:tr>
        <w:trPr>
          <w:trHeight w:val="297"/>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Indenture with respect to the 2028 Notes, dated as of February 6, 2020, between Lamar Media, the Guarantors named therein and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r:id="rId75">
              <w:r>
                <w:rPr>
                  <w:rFonts w:ascii="Arial" w:cs="Arial" w:eastAsia="Arial" w:hAnsi="Arial"/>
                  <w:sz w:val="18"/>
                  <w:szCs w:val="18"/>
                  <w:color w:val="0000EE"/>
                  <w:w w:val="98"/>
                </w:rPr>
                <w:t>Bank  of  New  York  Mellon  Trust  Company,  N.A.,  as  Trustee  (including  the  Form  of</w:t>
              </w:r>
            </w:hyperlink>
          </w:p>
        </w:tc>
        <w:tc>
          <w:tcPr>
            <w:tcW w:w="286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98"/>
              </w:rPr>
            </w:pPr>
            <w:hyperlink r:id="rId75">
              <w:r>
                <w:rPr>
                  <w:rFonts w:ascii="Arial" w:cs="Arial" w:eastAsia="Arial" w:hAnsi="Arial"/>
                  <w:sz w:val="18"/>
                  <w:szCs w:val="18"/>
                  <w:color w:val="0000EE"/>
                  <w:w w:val="98"/>
                </w:rPr>
                <w:t>Note  and  Guarantee  as  Exhibit  A</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thereto). Previously filed as Exhibit 4.1 to the Company’s Current Report on Form 8-K (File No. 1-36756) filed on February 12, 2020</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and incorporated herein by reference.</w:t>
              </w:r>
            </w:hyperlink>
          </w:p>
        </w:tc>
        <w:tc>
          <w:tcPr>
            <w:tcW w:w="436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Indenture with respect to the 2030 Notes, dated as of February 6, 2020, between Lamar Media, the Guarantors named therein and The</w:t>
              </w:r>
            </w:hyperlink>
          </w:p>
        </w:tc>
        <w:tc>
          <w:tcPr>
            <w:tcW w:w="28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Bank of New York Mellon Trust Company, N.A., as Trustee (including the Form of Note and Guarantee as Exhibit A</w:t>
              </w:r>
            </w:hyperlink>
          </w:p>
        </w:tc>
        <w:tc>
          <w:tcPr>
            <w:tcW w:w="148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0"/>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thereto). Previously filed as Exhibit 4.2 to the Company’s Current Report on Form 8-K (File No. 1-36756) filed on February 12, 2020</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and incorporated herein by reference.</w:t>
              </w:r>
            </w:hyperlink>
          </w:p>
        </w:tc>
        <w:tc>
          <w:tcPr>
            <w:tcW w:w="13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7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Registration Rights Agreement with respect to the 2028 Notes, dated as of February 6, 2020, between Lamar Media, the Guarantors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10"/>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named therein and J.P. Morgan Securities LLC, as representative for the Initial Purchasers named therein. Previously filed as Exhibit 10.1</w:t>
              </w:r>
            </w:hyperlink>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00" w:type="dxa"/>
            <w:vAlign w:val="bottom"/>
            <w:tcBorders>
              <w:top w:val="single" w:sz="8" w:color="0000EE"/>
            </w:tcBorders>
            <w:gridSpan w:val="9"/>
          </w:tcPr>
          <w:p>
            <w:pPr>
              <w:spacing w:after="0"/>
              <w:rPr>
                <w:rFonts w:ascii="Arial" w:cs="Arial" w:eastAsia="Arial" w:hAnsi="Arial"/>
                <w:sz w:val="18"/>
                <w:szCs w:val="18"/>
                <w:u w:val="single" w:color="auto"/>
                <w:color w:val="0000EE"/>
                <w:w w:val="95"/>
              </w:rPr>
            </w:pPr>
            <w:hyperlink r:id="rId77">
              <w:r>
                <w:rPr>
                  <w:rFonts w:ascii="Arial" w:cs="Arial" w:eastAsia="Arial" w:hAnsi="Arial"/>
                  <w:sz w:val="18"/>
                  <w:szCs w:val="18"/>
                  <w:u w:val="single" w:color="auto"/>
                  <w:color w:val="0000EE"/>
                  <w:w w:val="95"/>
                </w:rPr>
                <w:t>to the Company’s Current Report on Form 8-K (File No. 1-36756) filed on February 12, 2020 and incorporated herein by reference.</w:t>
              </w:r>
            </w:hyperlink>
          </w:p>
        </w:tc>
        <w:tc>
          <w:tcPr>
            <w:tcW w:w="20" w:type="dxa"/>
            <w:vAlign w:val="bottom"/>
          </w:tcPr>
          <w:p>
            <w:pPr>
              <w:spacing w:after="0"/>
              <w:rPr>
                <w:sz w:val="20"/>
                <w:szCs w:val="20"/>
                <w:color w:val="auto"/>
              </w:rPr>
            </w:pPr>
          </w:p>
        </w:tc>
      </w:tr>
      <w:tr>
        <w:trPr>
          <w:trHeight w:val="297"/>
        </w:trPr>
        <w:tc>
          <w:tcPr>
            <w:tcW w:w="1020" w:type="dxa"/>
            <w:vAlign w:val="bottom"/>
          </w:tcPr>
          <w:p>
            <w:pPr>
              <w:jc w:val="center"/>
              <w:ind w:left="72"/>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4"/>
              </w:rPr>
            </w:pPr>
            <w:hyperlink r:id="rId78">
              <w:r>
                <w:rPr>
                  <w:rFonts w:ascii="Arial" w:cs="Arial" w:eastAsia="Arial" w:hAnsi="Arial"/>
                  <w:sz w:val="18"/>
                  <w:szCs w:val="18"/>
                  <w:color w:val="0000EE"/>
                  <w:w w:val="94"/>
                </w:rPr>
                <w:t>Registration Rights Agreement with respect to the 2030 Notes, dated as of February 6, 2020, between Lamar Media, the Guarantors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named therein and J.P. Morgan Securities LLC, as representative for the Initial Purchasers named therein.  Previously filed as Exhibit</w:t>
              </w:r>
            </w:hyperlink>
          </w:p>
        </w:tc>
      </w:tr>
      <w:tr>
        <w:trPr>
          <w:trHeight w:val="237"/>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10"/>
          </w:tcPr>
          <w:p>
            <w:pPr>
              <w:spacing w:after="0"/>
              <w:rPr>
                <w:rFonts w:ascii="Arial" w:cs="Arial" w:eastAsia="Arial" w:hAnsi="Arial"/>
                <w:sz w:val="18"/>
                <w:szCs w:val="18"/>
                <w:u w:val="single" w:color="auto"/>
                <w:color w:val="0000EE"/>
                <w:w w:val="91"/>
              </w:rPr>
            </w:pPr>
            <w:hyperlink r:id="rId78">
              <w:r>
                <w:rPr>
                  <w:rFonts w:ascii="Arial" w:cs="Arial" w:eastAsia="Arial" w:hAnsi="Arial"/>
                  <w:sz w:val="18"/>
                  <w:szCs w:val="18"/>
                  <w:u w:val="single" w:color="auto"/>
                  <w:color w:val="0000EE"/>
                  <w:w w:val="91"/>
                </w:rPr>
                <w:t>10.2 to the Company’s Current Report on Form 8-K (File No. 1-36756) filed on February 12, 2020 and incorporated herein by reference.</w:t>
              </w:r>
            </w:hyperlink>
          </w:p>
        </w:tc>
      </w:tr>
      <w:tr>
        <w:trPr>
          <w:trHeight w:val="621"/>
        </w:trPr>
        <w:tc>
          <w:tcPr>
            <w:tcW w:w="1020" w:type="dxa"/>
            <w:vAlign w:val="bottom"/>
          </w:tcPr>
          <w:p>
            <w:pPr>
              <w:spacing w:after="0"/>
              <w:rPr>
                <w:sz w:val="24"/>
                <w:szCs w:val="24"/>
                <w:color w:val="auto"/>
              </w:rPr>
            </w:pPr>
          </w:p>
        </w:tc>
        <w:tc>
          <w:tcPr>
            <w:tcW w:w="6420" w:type="dxa"/>
            <w:vAlign w:val="bottom"/>
            <w:gridSpan w:val="6"/>
          </w:tcPr>
          <w:p>
            <w:pPr>
              <w:jc w:val="right"/>
              <w:ind w:right="1639"/>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0" w:type="dxa"/>
            <w:vAlign w:val="bottom"/>
            <w:tcBorders>
              <w:bottom w:val="single" w:sz="8" w:color="auto"/>
            </w:tcBorders>
            <w:gridSpan w:val="5"/>
          </w:tcPr>
          <w:p>
            <w:pPr>
              <w:ind w:left="3840"/>
              <w:spacing w:after="0"/>
              <w:rPr>
                <w:sz w:val="20"/>
                <w:szCs w:val="20"/>
                <w:color w:val="auto"/>
              </w:rPr>
            </w:pPr>
            <w:r>
              <w:rPr>
                <w:rFonts w:ascii="Arial" w:cs="Arial" w:eastAsia="Arial" w:hAnsi="Arial"/>
                <w:sz w:val="16"/>
                <w:szCs w:val="16"/>
                <w:b w:val="1"/>
                <w:bCs w:val="1"/>
                <w:color w:val="auto"/>
              </w:rPr>
              <w:t>Description</w:t>
            </w:r>
          </w:p>
        </w:tc>
      </w:tr>
      <w:tr>
        <w:trPr>
          <w:trHeight w:val="175"/>
        </w:trPr>
        <w:tc>
          <w:tcPr>
            <w:tcW w:w="1160" w:type="dxa"/>
            <w:vAlign w:val="bottom"/>
          </w:tcPr>
          <w:p>
            <w:pPr>
              <w:jc w:val="center"/>
              <w:spacing w:after="0" w:line="175" w:lineRule="exact"/>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6"/>
          </w:tcPr>
          <w:p>
            <w:pPr>
              <w:spacing w:after="0" w:line="175"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Fourth Amended and Restated Credit Agreement, dated as of February 6, 2020, by and among Lamar Media Corp., the Subsidiary</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Guarantors named therein, the Lenders named therein, and JPMorgan Chase Bank, N.A., as Administrative Agent.  Previously filed as</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Exhibit 10.3 to the Company’s Current Report on Form 8-K (File No. 1-36756) filed on February 12, 2020 and incorporated herein by</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81">
              <w:r>
                <w:rPr>
                  <w:rFonts w:ascii="Arial" w:cs="Arial" w:eastAsia="Arial" w:hAnsi="Arial"/>
                  <w:sz w:val="18"/>
                  <w:szCs w:val="18"/>
                  <w:color w:val="0000EE"/>
                  <w:w w:val="86"/>
                </w:rPr>
                <w:t>reference.</w:t>
              </w:r>
            </w:hyperlink>
          </w:p>
        </w:tc>
        <w:tc>
          <w:tcPr>
            <w:tcW w:w="9200" w:type="dxa"/>
            <w:vAlign w:val="bottom"/>
            <w:gridSpan w:val="5"/>
          </w:tcPr>
          <w:p>
            <w:pPr>
              <w:spacing w:after="0"/>
              <w:rPr>
                <w:sz w:val="17"/>
                <w:szCs w:val="17"/>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First Amendment to the Receivables Financing Agreement, dated as of February 6, 2020, by and among Lamar Media Corp. as initial</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Servicer, Lamar TRS Receivables, LLC and Lamar QRS Receivables, LLC as borrowers and PNC Bank, National Association as</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Administrative Agent and Lender.  Previously filed as Exhibit 10.4 to the Company’s Current Report on Form 8-K (File No. 1-36756)</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filed on February 12, 2020 and incorporated herein by reference.</w:t>
              </w:r>
            </w:hyperlink>
          </w:p>
        </w:tc>
        <w:tc>
          <w:tcPr>
            <w:tcW w:w="5240" w:type="dxa"/>
            <w:vAlign w:val="bottom"/>
            <w:gridSpan w:val="3"/>
          </w:tcPr>
          <w:p>
            <w:pPr>
              <w:spacing w:after="0"/>
              <w:rPr>
                <w:sz w:val="17"/>
                <w:szCs w:val="17"/>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3"/>
              </w:rPr>
            </w:pPr>
            <w:hyperlink r:id="rId83">
              <w:r>
                <w:rPr>
                  <w:rFonts w:ascii="Arial" w:cs="Arial" w:eastAsia="Arial" w:hAnsi="Arial"/>
                  <w:sz w:val="18"/>
                  <w:szCs w:val="18"/>
                  <w:color w:val="0000EE"/>
                  <w:w w:val="93"/>
                </w:rPr>
                <w:t>First Amendment to the Receivables Financing Agreement, dated as of February 6, 2020, by and among Lamar Media Corp. as initial</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83">
              <w:r>
                <w:rPr>
                  <w:rFonts w:ascii="Arial" w:cs="Arial" w:eastAsia="Arial" w:hAnsi="Arial"/>
                  <w:sz w:val="18"/>
                  <w:szCs w:val="18"/>
                  <w:color w:val="0000EE"/>
                  <w:w w:val="96"/>
                </w:rPr>
                <w:t>Servicer, Lamar TRS Receivables, LLC and Lamar QRS Receivables, LLC as borrowers and PNC Bank, National Association as</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Administrative Agent and Lender.  Previously filed as Exhibit 10.5 to the Company’s Current Report on Form 8-K (File No. 1-36756)</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filed on February 12, 2020 and incorporated herein by reference.</w:t>
              </w:r>
            </w:hyperlink>
          </w:p>
        </w:tc>
        <w:tc>
          <w:tcPr>
            <w:tcW w:w="5260" w:type="dxa"/>
            <w:vAlign w:val="bottom"/>
            <w:gridSpan w:val="4"/>
          </w:tcPr>
          <w:p>
            <w:pPr>
              <w:spacing w:after="0"/>
              <w:rPr>
                <w:sz w:val="17"/>
                <w:szCs w:val="17"/>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First Amendment to the Purchase and Sale Agreement, dated as of February 6, 2020, by and among certain subsidiaries of Lamar Media</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r:id="rId84">
              <w:r>
                <w:rPr>
                  <w:rFonts w:ascii="Arial" w:cs="Arial" w:eastAsia="Arial" w:hAnsi="Arial"/>
                  <w:sz w:val="18"/>
                  <w:szCs w:val="18"/>
                  <w:color w:val="0000EE"/>
                  <w:w w:val="97"/>
                </w:rPr>
                <w:t>Corp., Lamar Media Corp. as initial Servicer, and Lamar QRS Receivables, LLC as Buyer.  Previously filed as Exhibit 10.6 to the</w:t>
              </w:r>
            </w:hyperlink>
          </w:p>
        </w:tc>
      </w:tr>
      <w:tr>
        <w:trPr>
          <w:trHeight w:val="237"/>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7"/>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Company’s Current Report on Form 8-K (File No. 1-36756) filed on February 12, 2020 and incorporated herein by reference.</w:t>
              </w:r>
            </w:hyperlink>
          </w:p>
        </w:tc>
      </w:tr>
      <w:tr>
        <w:trPr>
          <w:trHeight w:val="297"/>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the Chief Executive Officer of the Company and Lamar Media pursuant to Securities Exchange Act Rules 13a-14(a) and</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15d-14(a) as adopted pursuant to Section 302 of the Sarbanes-Oxley Act of 2002. Filed herewith.</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5"/>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the Chief Financial Officer of the Company and Lamar Media pursuant to Securities Exchange Act Rules 13a-14(a) and</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15d-14(a) as adopted pursuant to Section 302 of the Sarbanes-Oxley Act of 2002. Filed herewith.</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5"/>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u w:val="single" w:color="auto"/>
                <w:color w:val="0000EE"/>
                <w:w w:val="91"/>
              </w:rPr>
            </w:pPr>
            <w:hyperlink w:anchor="page51">
              <w:r>
                <w:rPr>
                  <w:rFonts w:ascii="Arial" w:cs="Arial" w:eastAsia="Arial" w:hAnsi="Arial"/>
                  <w:sz w:val="18"/>
                  <w:szCs w:val="18"/>
                  <w:u w:val="single" w:color="auto"/>
                  <w:color w:val="0000EE"/>
                  <w:w w:val="91"/>
                </w:rPr>
                <w:t>Certification pursuant to 18 U.S.C. Section 1350 as adopted pursuant to Section 906 of the Sarbanes-Oxley Act of 2002. Filed herewith.</w:t>
              </w:r>
            </w:hyperlink>
          </w:p>
        </w:tc>
      </w:tr>
    </w:tbl>
    <w:p>
      <w:pPr>
        <w:spacing w:after="0" w:line="107" w:lineRule="exact"/>
        <w:rPr>
          <w:sz w:val="20"/>
          <w:szCs w:val="20"/>
          <w:color w:val="auto"/>
        </w:rPr>
      </w:pPr>
    </w:p>
    <w:p>
      <w:pPr>
        <w:jc w:val="both"/>
        <w:ind w:left="1320" w:hanging="867"/>
        <w:spacing w:after="0" w:line="259"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222222"/>
        </w:rPr>
        <w:t>The following financial statements from the Company’s Quarterly Report on Form 10-Q for the quarter ended March 31, 2020, formatted in Inline XBRL: (i) Consolidated Statements of Cash Flows, (ii) Consolidated Statements of Operations, (iii) Consolidated Statements of Comprehensive Income, (iv) Consolidated Balance Sheets, and (v) Notes to Consolidated Financial Statements, tagged as blocks of text and including detailed tags.</w:t>
      </w:r>
    </w:p>
    <w:p>
      <w:pPr>
        <w:spacing w:after="0" w:line="92" w:lineRule="exact"/>
        <w:rPr>
          <w:sz w:val="20"/>
          <w:szCs w:val="20"/>
          <w:color w:val="auto"/>
        </w:rPr>
      </w:pPr>
    </w:p>
    <w:p>
      <w:pPr>
        <w:ind w:left="1320" w:hanging="867"/>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LAMAR ADVERTISING COMPANY</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DATED: May 7, 2020</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445"/>
        </w:trPr>
        <w:tc>
          <w:tcPr>
            <w:tcW w:w="3580" w:type="dxa"/>
            <w:vAlign w:val="bottom"/>
          </w:tcPr>
          <w:p>
            <w:pPr>
              <w:spacing w:after="0"/>
              <w:rPr>
                <w:sz w:val="24"/>
                <w:szCs w:val="24"/>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LAMAR MEDIA CORP.</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DATED: May 7, 2020</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850"/>
        </w:trPr>
        <w:tc>
          <w:tcPr>
            <w:tcW w:w="358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48</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2020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Dated: May 7, 2020</w:t>
            </w:r>
          </w:p>
        </w:tc>
        <w:tc>
          <w:tcPr>
            <w:tcW w:w="2820" w:type="dxa"/>
            <w:vAlign w:val="bottom"/>
          </w:tcPr>
          <w:p>
            <w:pPr>
              <w:ind w:left="23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5"/>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6"/>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3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Media Corp.</w:t>
            </w:r>
          </w:p>
        </w:tc>
      </w:tr>
      <w:tr>
        <w:trPr>
          <w:trHeight w:val="445"/>
        </w:trPr>
        <w:tc>
          <w:tcPr>
            <w:tcW w:w="3820" w:type="dxa"/>
            <w:vAlign w:val="bottom"/>
          </w:tcPr>
          <w:p>
            <w:pPr>
              <w:spacing w:after="0"/>
              <w:rPr>
                <w:sz w:val="20"/>
                <w:szCs w:val="20"/>
                <w:color w:val="auto"/>
              </w:rPr>
            </w:pPr>
            <w:r>
              <w:rPr>
                <w:rFonts w:ascii="Arial" w:cs="Arial" w:eastAsia="Arial" w:hAnsi="Arial"/>
                <w:sz w:val="18"/>
                <w:szCs w:val="18"/>
                <w:color w:val="auto"/>
              </w:rPr>
              <w:t>Dated: May 7, 2020</w:t>
            </w:r>
          </w:p>
        </w:tc>
        <w:tc>
          <w:tcPr>
            <w:tcW w:w="2820" w:type="dxa"/>
            <w:vAlign w:val="bottom"/>
          </w:tcPr>
          <w:p>
            <w:pPr>
              <w:ind w:left="23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5"/>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3"/>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2"/>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1"/>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70" Type="http://schemas.openxmlformats.org/officeDocument/2006/relationships/hyperlink" Target="http://www.sec.gov/Archives/edgar/data/1090425/000119312514417756/d823054dex31.htm" TargetMode="External"/><Relationship Id="rId71" Type="http://schemas.openxmlformats.org/officeDocument/2006/relationships/hyperlink" Target="http://www.sec.gov/Archives/edgar/data/1090425/000119312514417756/d823054dex32.htm" TargetMode="External"/><Relationship Id="rId72" Type="http://schemas.openxmlformats.org/officeDocument/2006/relationships/hyperlink" Target="http://www.sec.gov/Archives/edgar/data/899045/000095013407011105/d46520exv3w2.htm" TargetMode="External"/><Relationship Id="rId73" Type="http://schemas.openxmlformats.org/officeDocument/2006/relationships/hyperlink" Target="http://www.sec.gov/Archives/edgar/data/1090425/000119312514417756/d823054dex33.htm" TargetMode="External"/><Relationship Id="rId74" Type="http://schemas.openxmlformats.org/officeDocument/2006/relationships/hyperlink" Target="http://www.sec.gov/Archives/edgar/data/899045/000095013499009877/0000950134-99-009877.txt" TargetMode="External"/><Relationship Id="rId75" Type="http://schemas.openxmlformats.org/officeDocument/2006/relationships/hyperlink" Target="http://www.sec.gov/Archives/edgar/data/899045/000119312520033197/d889727dex41.htm" TargetMode="External"/><Relationship Id="rId76" Type="http://schemas.openxmlformats.org/officeDocument/2006/relationships/hyperlink" Target="http://www.sec.gov/Archives/edgar/data/899045/000119312520033197/d889727dex42.htm" TargetMode="External"/><Relationship Id="rId77" Type="http://schemas.openxmlformats.org/officeDocument/2006/relationships/hyperlink" Target="http://www.sec.gov/Archives/edgar/data/899045/000119312520033197/d889727dex101.htm" TargetMode="External"/><Relationship Id="rId78" Type="http://schemas.openxmlformats.org/officeDocument/2006/relationships/hyperlink" Target="http://www.sec.gov/Archives/edgar/data/899045/000119312520033197/d889727dex102.htm" TargetMode="External"/><Relationship Id="rId81" Type="http://schemas.openxmlformats.org/officeDocument/2006/relationships/hyperlink" Target="http://www.sec.gov/Archives/edgar/data/899045/000119312520033197/d889727dex103.htm" TargetMode="External"/><Relationship Id="rId82" Type="http://schemas.openxmlformats.org/officeDocument/2006/relationships/hyperlink" Target="http://www.sec.gov/Archives/edgar/data/899045/000119312520033197/d889727dex104.htm" TargetMode="External"/><Relationship Id="rId83" Type="http://schemas.openxmlformats.org/officeDocument/2006/relationships/hyperlink" Target="http://www.sec.gov/Archives/edgar/data/899045/000119312520033197/d889727dex105.htm" TargetMode="External"/><Relationship Id="rId84" Type="http://schemas.openxmlformats.org/officeDocument/2006/relationships/hyperlink" Target="http://www.sec.gov/Archives/edgar/data/899045/000119312520033197/d88972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2020-05-07T10:56:05Z</dcterms:created>
  <dcterms:modified xsi:type="dcterms:W3CDTF">2020-05-07T10:56:05Z</dcterms:modified>
</cp:coreProperties>
</file>