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17" w:lineRule="exact"/>
        <w:rPr>
          <w:sz w:val="24"/>
          <w:szCs w:val="24"/>
          <w:color w:val="auto"/>
        </w:rPr>
      </w:pPr>
    </w:p>
    <w:p>
      <w:pPr>
        <w:ind w:left="380" w:hanging="354"/>
        <w:spacing w:after="0"/>
        <w:tabs>
          <w:tab w:leader="none" w:pos="38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2023</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ind w:left="380" w:hanging="354"/>
        <w:spacing w:after="0" w:line="234" w:lineRule="auto"/>
        <w:tabs>
          <w:tab w:leader="none" w:pos="380" w:val="left"/>
        </w:tabs>
        <w:numPr>
          <w:ilvl w:val="0"/>
          <w:numId w:val="2"/>
        </w:numPr>
        <w:rPr>
          <w:rFonts w:ascii="MS PGothic" w:cs="MS PGothic" w:eastAsia="MS PGothic" w:hAnsi="MS PGothic"/>
          <w:sz w:val="25"/>
          <w:szCs w:val="25"/>
          <w:color w:val="auto"/>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191" w:lineRule="exact"/>
        <w:rPr>
          <w:sz w:val="24"/>
          <w:szCs w:val="24"/>
          <w:color w:val="auto"/>
        </w:rPr>
      </w:pPr>
    </w:p>
    <w:tbl>
      <w:tblPr>
        <w:tblLayout w:type="fixed"/>
        <w:tblInd w:w="40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Arial" w:cs="Arial" w:eastAsia="Arial" w:hAnsi="Arial"/>
                <w:sz w:val="13"/>
                <w:szCs w:val="13"/>
                <w:b w:val="1"/>
                <w:bCs w:val="1"/>
                <w:color w:val="auto"/>
                <w:w w:val="89"/>
              </w:rPr>
              <w:t>For the transition period from</w:t>
            </w:r>
          </w:p>
        </w:tc>
        <w:tc>
          <w:tcPr>
            <w:tcW w:w="620" w:type="dxa"/>
            <w:vAlign w:val="bottom"/>
            <w:tcBorders>
              <w:bottom w:val="single" w:sz="8" w:color="auto"/>
            </w:tcBorders>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3"/>
                <w:szCs w:val="13"/>
                <w:b w:val="1"/>
                <w:bCs w:val="1"/>
                <w:color w:val="auto"/>
                <w:w w:val="81"/>
              </w:rPr>
              <w:t>to</w:t>
            </w:r>
          </w:p>
        </w:tc>
      </w:tr>
      <w:tr>
        <w:trPr>
          <w:trHeight w:val="207"/>
        </w:trPr>
        <w:tc>
          <w:tcPr>
            <w:tcW w:w="2440" w:type="dxa"/>
            <w:vAlign w:val="bottom"/>
            <w:gridSpan w:val="3"/>
          </w:tcPr>
          <w:p>
            <w:pPr>
              <w:ind w:left="640"/>
              <w:spacing w:after="0"/>
              <w:rPr>
                <w:sz w:val="20"/>
                <w:szCs w:val="20"/>
                <w:color w:val="auto"/>
              </w:rPr>
            </w:pPr>
            <w:r>
              <w:rPr>
                <w:rFonts w:ascii="Arial" w:cs="Arial" w:eastAsia="Arial" w:hAnsi="Arial"/>
                <w:sz w:val="13"/>
                <w:szCs w:val="13"/>
                <w:b w:val="1"/>
                <w:bCs w:val="1"/>
                <w:i w:val="1"/>
                <w:iCs w:val="1"/>
                <w:color w:val="auto"/>
                <w:w w:val="85"/>
              </w:rPr>
              <w:t>Commission File Number 1-36756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4150360</wp:posOffset>
            </wp:positionH>
            <wp:positionV relativeFrom="paragraph">
              <wp:posOffset>-143510</wp:posOffset>
            </wp:positionV>
            <wp:extent cx="40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Advertising Company</w:t>
      </w:r>
    </w:p>
    <w:p>
      <w:pPr>
        <w:spacing w:after="0" w:line="41"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Commission File Number 1-12407</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Media Corp.</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registrants as specified in their charters)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color w:val="auto"/>
                <w:w w:val="86"/>
              </w:rPr>
              <w:t>47-0961620</w:t>
            </w:r>
          </w:p>
        </w:tc>
      </w:tr>
      <w:tr>
        <w:trPr>
          <w:trHeight w:val="189"/>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color w:val="auto"/>
                <w:w w:val="86"/>
              </w:rPr>
              <w:t>72-1205791</w:t>
            </w:r>
          </w:p>
        </w:tc>
      </w:tr>
      <w:tr>
        <w:trPr>
          <w:trHeight w:val="175"/>
        </w:trPr>
        <w:tc>
          <w:tcPr>
            <w:tcW w:w="7300" w:type="dxa"/>
            <w:vAlign w:val="bottom"/>
            <w:gridSpan w:val="4"/>
          </w:tcPr>
          <w:p>
            <w:pPr>
              <w:jc w:val="center"/>
              <w:ind w:right="2000"/>
              <w:spacing w:after="0"/>
              <w:rPr>
                <w:sz w:val="20"/>
                <w:szCs w:val="20"/>
                <w:color w:val="auto"/>
              </w:rPr>
            </w:pPr>
            <w:r>
              <w:rPr>
                <w:rFonts w:ascii="Arial" w:cs="Arial" w:eastAsia="Arial" w:hAnsi="Arial"/>
                <w:sz w:val="13"/>
                <w:szCs w:val="13"/>
                <w:b w:val="1"/>
                <w:bCs w:val="1"/>
                <w:i w:val="1"/>
                <w:iCs w:val="1"/>
                <w:color w:val="auto"/>
                <w:w w:val="85"/>
              </w:rPr>
              <w:t>(State or other jurisdiction of incorporation or organization)</w:t>
            </w: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351"/>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8"/>
              </w:rPr>
              <w:t>5321 Corporate Blvd., Baton Rouge, LA</w:t>
            </w: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color w:val="auto"/>
                <w:w w:val="88"/>
              </w:rPr>
              <w:t>70808</w:t>
            </w:r>
          </w:p>
        </w:tc>
      </w:tr>
      <w:tr>
        <w:trPr>
          <w:trHeight w:val="189"/>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40" w:type="dxa"/>
            <w:vAlign w:val="bottom"/>
          </w:tcPr>
          <w:p>
            <w:pPr>
              <w:jc w:val="center"/>
              <w:ind w:right="1537"/>
              <w:spacing w:after="0"/>
              <w:rPr>
                <w:sz w:val="20"/>
                <w:szCs w:val="20"/>
                <w:color w:val="auto"/>
              </w:rPr>
            </w:pPr>
            <w:r>
              <w:rPr>
                <w:rFonts w:ascii="Arial" w:cs="Arial" w:eastAsia="Arial" w:hAnsi="Arial"/>
                <w:sz w:val="13"/>
                <w:szCs w:val="13"/>
                <w:b w:val="1"/>
                <w:bCs w:val="1"/>
                <w:color w:val="auto"/>
                <w:w w:val="90"/>
              </w:rPr>
              <w:t>(Zip Code)</w:t>
            </w:r>
          </w:p>
        </w:tc>
      </w:tr>
      <w:tr>
        <w:trPr>
          <w:trHeight w:val="291"/>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Registrants’ telephone number, including area code: (225) 926-1000</w:t>
            </w:r>
          </w:p>
        </w:tc>
        <w:tc>
          <w:tcPr>
            <w:tcW w:w="3740" w:type="dxa"/>
            <w:vAlign w:val="bottom"/>
          </w:tcPr>
          <w:p>
            <w:pPr>
              <w:spacing w:after="0"/>
              <w:rPr>
                <w:sz w:val="24"/>
                <w:szCs w:val="24"/>
                <w:color w:val="auto"/>
              </w:rPr>
            </w:pPr>
          </w:p>
        </w:tc>
      </w:tr>
      <w:tr>
        <w:trPr>
          <w:trHeight w:val="175"/>
        </w:trPr>
        <w:tc>
          <w:tcPr>
            <w:tcW w:w="3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5"/>
                <w:szCs w:val="15"/>
                <w:color w:val="auto"/>
              </w:rPr>
            </w:pPr>
          </w:p>
        </w:tc>
      </w:tr>
      <w:tr>
        <w:trPr>
          <w:trHeight w:val="130"/>
        </w:trPr>
        <w:tc>
          <w:tcPr>
            <w:tcW w:w="3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6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8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6"/>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6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91"/>
              </w:rPr>
              <w:t>The NASDAQ Stock Market, LLC</w:t>
            </w:r>
          </w:p>
        </w:tc>
      </w:tr>
    </w:tbl>
    <w:p>
      <w:pPr>
        <w:spacing w:after="0" w:line="134"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40" w:type="dxa"/>
            <w:vAlign w:val="bottom"/>
          </w:tcPr>
          <w:p>
            <w:pPr>
              <w:ind w:left="258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80" w:type="dxa"/>
            <w:vAlign w:val="bottom"/>
          </w:tcPr>
          <w:p>
            <w:pPr>
              <w:spacing w:after="0"/>
              <w:rPr>
                <w:sz w:val="20"/>
                <w:szCs w:val="20"/>
                <w:color w:val="auto"/>
              </w:rPr>
            </w:pPr>
            <w:r>
              <w:rPr>
                <w:rFonts w:ascii="Arial" w:cs="Arial" w:eastAsia="Arial" w:hAnsi="Arial"/>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58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30"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3"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420" w:type="dxa"/>
            <w:vAlign w:val="bottom"/>
          </w:tcPr>
          <w:p>
            <w:pPr>
              <w:ind w:left="56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30" w:lineRule="exact"/>
        <w:rPr>
          <w:sz w:val="24"/>
          <w:szCs w:val="24"/>
          <w:color w:val="auto"/>
        </w:rPr>
      </w:pPr>
    </w:p>
    <w:p>
      <w:pPr>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640" w:val="left"/>
          <w:tab w:leader="none" w:pos="7120" w:val="left"/>
        </w:tabs>
        <w:rPr>
          <w:sz w:val="20"/>
          <w:szCs w:val="20"/>
          <w:color w:val="auto"/>
        </w:rPr>
      </w:pPr>
      <w:r>
        <w:rPr>
          <w:rFonts w:ascii="Arial" w:cs="Arial" w:eastAsia="Arial" w:hAnsi="Arial"/>
          <w:sz w:val="12"/>
          <w:szCs w:val="12"/>
          <w:color w:val="auto"/>
        </w:rPr>
        <w:t>Indicate by check mark whether Lamar Advertising Company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53" w:lineRule="exact"/>
        <w:rPr>
          <w:sz w:val="24"/>
          <w:szCs w:val="24"/>
          <w:color w:val="auto"/>
        </w:rPr>
      </w:pPr>
    </w:p>
    <w:p>
      <w:pPr>
        <w:spacing w:after="0" w:line="150" w:lineRule="exact"/>
        <w:tabs>
          <w:tab w:leader="none" w:pos="6160" w:val="left"/>
          <w:tab w:leader="none" w:pos="6640" w:val="left"/>
        </w:tabs>
        <w:rPr>
          <w:sz w:val="20"/>
          <w:szCs w:val="20"/>
          <w:color w:val="auto"/>
        </w:rPr>
      </w:pPr>
      <w:r>
        <w:rPr>
          <w:rFonts w:ascii="Arial" w:cs="Arial" w:eastAsia="Arial" w:hAnsi="Arial"/>
          <w:sz w:val="12"/>
          <w:szCs w:val="12"/>
          <w:color w:val="auto"/>
        </w:rPr>
        <w:t>Indicate by check mark whether Lamar Media Corp.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Advertising Company’s Class A common stock outstanding as of July 28, 2023: 87,540,250</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Lamar Advertising Company’s Class B common stock outstanding as of July 28, 2023: 14,420,085</w:t>
      </w:r>
    </w:p>
    <w:p>
      <w:pPr>
        <w:spacing w:after="0" w:line="6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Media Corp. common stock outstanding as of July 28, 2023: 100</w:t>
      </w:r>
    </w:p>
    <w:p>
      <w:pPr>
        <w:spacing w:after="0" w:line="49" w:lineRule="exact"/>
        <w:rPr>
          <w:sz w:val="24"/>
          <w:szCs w:val="24"/>
          <w:color w:val="auto"/>
        </w:rPr>
      </w:pPr>
    </w:p>
    <w:p>
      <w:pPr>
        <w:spacing w:after="0" w:line="308" w:lineRule="auto"/>
        <w:rPr>
          <w:sz w:val="20"/>
          <w:szCs w:val="20"/>
          <w:color w:val="auto"/>
        </w:rPr>
      </w:pPr>
      <w:r>
        <w:rPr>
          <w:rFonts w:ascii="Arial" w:cs="Arial" w:eastAsia="Arial" w:hAnsi="Arial"/>
          <w:sz w:val="12"/>
          <w:szCs w:val="12"/>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assets and realize operating efficiency from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 including inflationary pressures;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2022 of the Company and Lamar Media (the “2022 Combined Form 10-K”), filed on February 24, 2023,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7"/>
              </w:rPr>
              <w:t>PART I — FINANCIAL INFORMATION</w:t>
            </w:r>
          </w:p>
        </w:tc>
        <w:tc>
          <w:tcPr>
            <w:tcW w:w="7360" w:type="dxa"/>
            <w:vAlign w:val="bottom"/>
            <w:gridSpan w:val="10"/>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412"/>
        </w:trPr>
        <w:tc>
          <w:tcPr>
            <w:tcW w:w="2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ITEM 1. FINANCIAL STATEMENTS</w:t>
            </w:r>
          </w:p>
        </w:tc>
        <w:tc>
          <w:tcPr>
            <w:tcW w:w="760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53"/>
        </w:trPr>
        <w:tc>
          <w:tcPr>
            <w:tcW w:w="10420" w:type="dxa"/>
            <w:vAlign w:val="bottom"/>
            <w:gridSpan w:val="18"/>
          </w:tcPr>
          <w:p>
            <w:pPr>
              <w:spacing w:after="0"/>
              <w:rPr>
                <w:sz w:val="20"/>
                <w:szCs w:val="20"/>
                <w:color w:val="auto"/>
              </w:rPr>
            </w:pPr>
            <w:r>
              <w:rPr>
                <w:rFonts w:ascii="Arial" w:cs="Arial" w:eastAsia="Arial" w:hAnsi="Arial"/>
                <w:sz w:val="18"/>
                <w:szCs w:val="18"/>
                <w:color w:val="auto"/>
              </w:rPr>
              <w:t>Lamar Advertising Company</w:t>
            </w:r>
          </w:p>
        </w:tc>
        <w:tc>
          <w:tcPr>
            <w:tcW w:w="780" w:type="dxa"/>
            <w:vAlign w:val="bottom"/>
          </w:tcPr>
          <w:p>
            <w:pPr>
              <w:spacing w:after="0"/>
              <w:rPr>
                <w:sz w:val="24"/>
                <w:szCs w:val="24"/>
                <w:color w:val="auto"/>
              </w:rPr>
            </w:pPr>
          </w:p>
        </w:tc>
      </w:tr>
      <w:tr>
        <w:trPr>
          <w:trHeight w:val="202"/>
        </w:trPr>
        <w:tc>
          <w:tcPr>
            <w:tcW w:w="480" w:type="dxa"/>
            <w:vAlign w:val="bottom"/>
          </w:tcPr>
          <w:p>
            <w:pPr>
              <w:spacing w:after="0"/>
              <w:rPr>
                <w:sz w:val="17"/>
                <w:szCs w:val="17"/>
                <w:color w:val="auto"/>
              </w:rPr>
            </w:pPr>
          </w:p>
        </w:tc>
        <w:tc>
          <w:tcPr>
            <w:tcW w:w="9940" w:type="dxa"/>
            <w:vAlign w:val="bottom"/>
            <w:gridSpan w:val="17"/>
          </w:tcPr>
          <w:p>
            <w:pPr>
              <w:spacing w:after="0" w:line="202" w:lineRule="exact"/>
              <w:rPr>
                <w:sz w:val="20"/>
                <w:szCs w:val="20"/>
                <w:color w:val="auto"/>
              </w:rPr>
            </w:pPr>
            <w:r>
              <w:rPr>
                <w:rFonts w:ascii="Arial" w:cs="Arial" w:eastAsia="Arial" w:hAnsi="Arial"/>
                <w:sz w:val="18"/>
                <w:szCs w:val="18"/>
                <w:color w:val="0000FF"/>
              </w:rPr>
              <w:t>Condensed Consolidated Balance Sheets as of June 30, 2023 and December 31, 2022</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Income and Comprehensive Income for the three and six months ended June 30, 2023 and 2022</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0"/>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 for the three and six months ended June 30, 2023 and 2022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23"/>
        </w:trPr>
        <w:tc>
          <w:tcPr>
            <w:tcW w:w="480" w:type="dxa"/>
            <w:vAlign w:val="bottom"/>
          </w:tcPr>
          <w:p>
            <w:pPr>
              <w:spacing w:after="0"/>
              <w:rPr>
                <w:sz w:val="19"/>
                <w:szCs w:val="19"/>
                <w:color w:val="auto"/>
              </w:rPr>
            </w:pPr>
          </w:p>
        </w:tc>
        <w:tc>
          <w:tcPr>
            <w:tcW w:w="86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130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6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10420" w:type="dxa"/>
            <w:vAlign w:val="bottom"/>
            <w:gridSpan w:val="18"/>
          </w:tcPr>
          <w:p>
            <w:pPr>
              <w:spacing w:after="0"/>
              <w:rPr>
                <w:sz w:val="20"/>
                <w:szCs w:val="20"/>
                <w:color w:val="auto"/>
              </w:rPr>
            </w:pPr>
            <w:r>
              <w:rPr>
                <w:rFonts w:ascii="Arial" w:cs="Arial" w:eastAsia="Arial" w:hAnsi="Arial"/>
                <w:sz w:val="18"/>
                <w:szCs w:val="18"/>
                <w:color w:val="auto"/>
              </w:rPr>
              <w:t>Lamar Media Corp.</w:t>
            </w:r>
          </w:p>
        </w:tc>
        <w:tc>
          <w:tcPr>
            <w:tcW w:w="78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9940" w:type="dxa"/>
            <w:vAlign w:val="bottom"/>
            <w:gridSpan w:val="17"/>
          </w:tcPr>
          <w:p>
            <w:pPr>
              <w:spacing w:after="0" w:line="190" w:lineRule="exact"/>
              <w:rPr>
                <w:sz w:val="20"/>
                <w:szCs w:val="20"/>
                <w:color w:val="auto"/>
              </w:rPr>
            </w:pPr>
            <w:r>
              <w:rPr>
                <w:rFonts w:ascii="Arial" w:cs="Arial" w:eastAsia="Arial" w:hAnsi="Arial"/>
                <w:sz w:val="18"/>
                <w:szCs w:val="18"/>
                <w:color w:val="0000FF"/>
              </w:rPr>
              <w:t>Condensed Consolidated Balance Sheets as of June 30, 2023 and December 31, 2022</w:t>
            </w: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89"/>
              </w:rPr>
              <w:t>21</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9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Income and Comprehensive Income for the three and six months ended June 30, 2023 and 2022</w:t>
            </w: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09"/>
        </w:trPr>
        <w:tc>
          <w:tcPr>
            <w:tcW w:w="48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 for the three and six months ended June 30, 2023 and 2022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09"/>
        </w:trPr>
        <w:tc>
          <w:tcPr>
            <w:tcW w:w="480" w:type="dxa"/>
            <w:vAlign w:val="bottom"/>
          </w:tcPr>
          <w:p>
            <w:pPr>
              <w:spacing w:after="0"/>
              <w:rPr>
                <w:sz w:val="18"/>
                <w:szCs w:val="18"/>
                <w:color w:val="auto"/>
              </w:rPr>
            </w:pPr>
          </w:p>
        </w:tc>
        <w:tc>
          <w:tcPr>
            <w:tcW w:w="86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132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23"/>
        </w:trPr>
        <w:tc>
          <w:tcPr>
            <w:tcW w:w="480" w:type="dxa"/>
            <w:vAlign w:val="bottom"/>
          </w:tcPr>
          <w:p>
            <w:pPr>
              <w:spacing w:after="0"/>
              <w:rPr>
                <w:sz w:val="19"/>
                <w:szCs w:val="19"/>
                <w:color w:val="auto"/>
              </w:rPr>
            </w:pPr>
          </w:p>
        </w:tc>
        <w:tc>
          <w:tcPr>
            <w:tcW w:w="72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680" w:type="dxa"/>
            <w:vAlign w:val="bottom"/>
            <w:gridSpan w:val="4"/>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71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33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18"/>
        </w:trPr>
        <w:tc>
          <w:tcPr>
            <w:tcW w:w="50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ITEM 3. Quantitative and Qualitative Disclosures About Market Risk</w:t>
            </w:r>
          </w:p>
        </w:tc>
        <w:tc>
          <w:tcPr>
            <w:tcW w:w="538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358"/>
        </w:trPr>
        <w:tc>
          <w:tcPr>
            <w:tcW w:w="2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4. Controls and Procedures</w:t>
            </w:r>
          </w:p>
        </w:tc>
        <w:tc>
          <w:tcPr>
            <w:tcW w:w="79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358"/>
        </w:trPr>
        <w:tc>
          <w:tcPr>
            <w:tcW w:w="2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6"/>
              </w:rPr>
              <w:t>PART II — OTHER INFORMATION</w:t>
            </w:r>
          </w:p>
        </w:tc>
        <w:tc>
          <w:tcPr>
            <w:tcW w:w="76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358"/>
        </w:trPr>
        <w:tc>
          <w:tcPr>
            <w:tcW w:w="10420" w:type="dxa"/>
            <w:vAlign w:val="bottom"/>
            <w:gridSpan w:val="18"/>
          </w:tcPr>
          <w:p>
            <w:pPr>
              <w:spacing w:after="0"/>
              <w:rPr>
                <w:sz w:val="20"/>
                <w:szCs w:val="20"/>
                <w:color w:val="auto"/>
              </w:rPr>
            </w:pPr>
            <w:r>
              <w:rPr>
                <w:rFonts w:ascii="Arial" w:cs="Arial" w:eastAsia="Arial" w:hAnsi="Arial"/>
                <w:sz w:val="18"/>
                <w:szCs w:val="18"/>
                <w:color w:val="0000FF"/>
              </w:rPr>
              <w:t>ITEM 1A. Risk Factors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2. Unregistered Sales of Equity Securities and Use of Proceeds</w:t>
            </w:r>
          </w:p>
        </w:tc>
        <w:tc>
          <w:tcPr>
            <w:tcW w:w="54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358"/>
        </w:trPr>
        <w:tc>
          <w:tcPr>
            <w:tcW w:w="10420" w:type="dxa"/>
            <w:vAlign w:val="bottom"/>
            <w:gridSpan w:val="18"/>
          </w:tcPr>
          <w:p>
            <w:pPr>
              <w:spacing w:after="0"/>
              <w:rPr>
                <w:sz w:val="20"/>
                <w:szCs w:val="20"/>
                <w:color w:val="auto"/>
              </w:rPr>
            </w:pPr>
            <w:r>
              <w:rPr>
                <w:rFonts w:ascii="Arial" w:cs="Arial" w:eastAsia="Arial" w:hAnsi="Arial"/>
                <w:sz w:val="18"/>
                <w:szCs w:val="18"/>
                <w:color w:val="0000FF"/>
              </w:rPr>
              <w:t>ITEM 5. Other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358"/>
        </w:trPr>
        <w:tc>
          <w:tcPr>
            <w:tcW w:w="12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6"/>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9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7"/>
        </w:trPr>
        <w:tc>
          <w:tcPr>
            <w:tcW w:w="7980" w:type="dxa"/>
            <w:vAlign w:val="bottom"/>
            <w:shd w:val="clear" w:color="auto" w:fill="CCEEFF"/>
          </w:tcPr>
          <w:p>
            <w:pPr>
              <w:ind w:left="37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47,779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52,619</w:t>
            </w:r>
          </w:p>
        </w:tc>
      </w:tr>
      <w:tr>
        <w:trPr>
          <w:trHeight w:val="186"/>
        </w:trPr>
        <w:tc>
          <w:tcPr>
            <w:tcW w:w="7980" w:type="dxa"/>
            <w:vAlign w:val="bottom"/>
          </w:tcPr>
          <w:p>
            <w:pPr>
              <w:ind w:left="180"/>
              <w:spacing w:after="0"/>
              <w:rPr>
                <w:sz w:val="20"/>
                <w:szCs w:val="20"/>
                <w:color w:val="auto"/>
              </w:rPr>
            </w:pPr>
            <w:r>
              <w:rPr>
                <w:rFonts w:ascii="Arial" w:cs="Arial" w:eastAsia="Arial" w:hAnsi="Arial"/>
                <w:sz w:val="14"/>
                <w:szCs w:val="14"/>
                <w:color w:val="auto"/>
              </w:rPr>
              <w:t>Receivables, net of allowance for doubtful accounts of $11,421 and $11,418 in 2023 and 2022, respectively</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322,193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285,039</w:t>
            </w:r>
          </w:p>
        </w:tc>
      </w:tr>
      <w:tr>
        <w:trPr>
          <w:trHeight w:val="20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26,894</w:t>
            </w:r>
          </w:p>
        </w:tc>
      </w:tr>
      <w:tr>
        <w:trPr>
          <w:trHeight w:val="176"/>
        </w:trPr>
        <w:tc>
          <w:tcPr>
            <w:tcW w:w="798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405,283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364,552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4,194,469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4,109,146</w:t>
            </w:r>
          </w:p>
        </w:tc>
      </w:tr>
      <w:tr>
        <w:trPr>
          <w:trHeight w:val="197"/>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(2,662,820)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(2,609,447)</w:t>
            </w:r>
          </w:p>
        </w:tc>
      </w:tr>
      <w:tr>
        <w:trPr>
          <w:trHeight w:val="182"/>
        </w:trPr>
        <w:tc>
          <w:tcPr>
            <w:tcW w:w="7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property, plant and equipment</w:t>
            </w: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1,531,649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1,499,699</w:t>
            </w:r>
          </w:p>
        </w:tc>
      </w:tr>
      <w:tr>
        <w:trPr>
          <w:trHeight w:val="20"/>
        </w:trPr>
        <w:tc>
          <w:tcPr>
            <w:tcW w:w="7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both"/>
        <w:ind w:left="20"/>
        <w:spacing w:after="0" w:line="292" w:lineRule="auto"/>
        <w:rPr>
          <w:sz w:val="20"/>
          <w:szCs w:val="20"/>
          <w:color w:val="auto"/>
        </w:rPr>
      </w:pPr>
      <w:r>
        <w:rPr>
          <w:rFonts w:ascii="Arial" w:cs="Arial" w:eastAsia="Arial" w:hAnsi="Arial"/>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4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1,286,390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1,271,631</w:t>
            </w:r>
          </w:p>
        </w:tc>
      </w:tr>
      <w:tr>
        <w:trPr>
          <w:trHeight w:val="184"/>
        </w:trPr>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12,611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14,037</w:t>
            </w:r>
          </w:p>
        </w:tc>
      </w:tr>
      <w:tr>
        <w:trPr>
          <w:trHeight w:val="203"/>
        </w:trPr>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2,035,273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2,035,269</w:t>
            </w:r>
          </w:p>
        </w:tc>
      </w:tr>
      <w:tr>
        <w:trPr>
          <w:trHeight w:val="203"/>
        </w:trPr>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1,163,673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1,206,625</w:t>
            </w:r>
          </w:p>
        </w:tc>
      </w:tr>
      <w:tr>
        <w:trPr>
          <w:trHeight w:val="189"/>
        </w:trPr>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86,165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83,401</w:t>
            </w:r>
          </w:p>
        </w:tc>
      </w:tr>
      <w:tr>
        <w:trPr>
          <w:trHeight w:val="26"/>
        </w:trPr>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6,521,044</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6,475,214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-629285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-372110</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-123825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-86995</wp:posOffset>
            </wp:positionV>
            <wp:extent cx="2066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1980" w:space="460"/>
            <w:col w:w="8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6"/>
        </w:trPr>
        <w:tc>
          <w:tcPr>
            <w:tcW w:w="7980" w:type="dxa"/>
            <w:vAlign w:val="bottom"/>
          </w:tcPr>
          <w:p>
            <w:pPr>
              <w:ind w:left="180"/>
              <w:spacing w:after="0"/>
              <w:rPr>
                <w:sz w:val="20"/>
                <w:szCs w:val="20"/>
                <w:color w:val="auto"/>
              </w:rPr>
            </w:pPr>
            <w:r>
              <w:rPr>
                <w:rFonts w:ascii="Arial" w:cs="Arial" w:eastAsia="Arial" w:hAnsi="Arial"/>
                <w:sz w:val="14"/>
                <w:szCs w:val="14"/>
                <w:color w:val="auto"/>
              </w:rPr>
              <w:t>Trade accounts payable</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17,184</w:t>
            </w:r>
          </w:p>
        </w:tc>
        <w:tc>
          <w:tcPr>
            <w:tcW w:w="6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19,643</w:t>
            </w:r>
          </w:p>
        </w:tc>
      </w:tr>
      <w:tr>
        <w:trPr>
          <w:trHeight w:val="18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net of deferred financing costs of $499 and $593 in 2023 and 2022, respectively</w:t>
            </w:r>
          </w:p>
        </w:tc>
        <w:tc>
          <w:tcPr>
            <w:tcW w:w="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234,788</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249,785</w:t>
            </w:r>
          </w:p>
        </w:tc>
      </w:tr>
      <w:tr>
        <w:trPr>
          <w:trHeight w:val="182"/>
        </w:trPr>
        <w:tc>
          <w:tcPr>
            <w:tcW w:w="7980" w:type="dxa"/>
            <w:vAlign w:val="bottom"/>
          </w:tcPr>
          <w:p>
            <w:pPr>
              <w:ind w:left="180"/>
              <w:spacing w:after="0"/>
              <w:rPr>
                <w:sz w:val="20"/>
                <w:szCs w:val="20"/>
                <w:color w:val="auto"/>
              </w:rPr>
            </w:pPr>
            <w:r>
              <w:rPr>
                <w:rFonts w:ascii="Arial" w:cs="Arial" w:eastAsia="Arial" w:hAnsi="Arial"/>
                <w:sz w:val="14"/>
                <w:szCs w:val="14"/>
                <w:color w:val="auto"/>
              </w:rPr>
              <w:t>Current operating lease liabilities</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185,647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205,838</w:t>
            </w: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9"/>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financing lease liabilities</w:t>
            </w: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r>
      <w:tr>
        <w:trPr>
          <w:trHeight w:val="182"/>
        </w:trPr>
        <w:tc>
          <w:tcPr>
            <w:tcW w:w="798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87,497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117,593</w:t>
            </w: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171,853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131,847</w:t>
            </w:r>
          </w:p>
        </w:tc>
      </w:tr>
      <w:tr>
        <w:trPr>
          <w:trHeight w:val="179"/>
        </w:trPr>
        <w:tc>
          <w:tcPr>
            <w:tcW w:w="798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698,300</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726,037</w:t>
            </w:r>
          </w:p>
        </w:tc>
      </w:tr>
      <w:tr>
        <w:trPr>
          <w:trHeight w:val="17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financing costs of $29,013 and $32,022 in 2023 and 2022, respectively</w:t>
            </w:r>
          </w:p>
        </w:tc>
        <w:tc>
          <w:tcPr>
            <w:tcW w:w="5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3,153,998</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3,063,020</w:t>
            </w: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1,039,326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1,035,655</w:t>
            </w: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lease liabilities</w:t>
            </w: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15,945</w:t>
            </w: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9,317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9,651</w:t>
            </w: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w:t>
            </w:r>
          </w:p>
        </w:tc>
        <w:tc>
          <w:tcPr>
            <w:tcW w:w="5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392,897</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390,442</w:t>
            </w: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41,432</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39,090</w:t>
            </w:r>
          </w:p>
        </w:tc>
      </w:tr>
      <w:tr>
        <w:trPr>
          <w:trHeight w:val="199"/>
        </w:trPr>
        <w:tc>
          <w:tcPr>
            <w:tcW w:w="79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5,350,550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5,279,840</w:t>
            </w:r>
          </w:p>
        </w:tc>
      </w:tr>
      <w:tr>
        <w:trPr>
          <w:trHeight w:val="162"/>
        </w:trPr>
        <w:tc>
          <w:tcPr>
            <w:tcW w:w="79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3"/>
        </w:trPr>
        <w:tc>
          <w:tcPr>
            <w:tcW w:w="798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Series AA preferred stock, par value $0.001, $63.80 cumulative dividends, 5,720 shares authorized; 5,720 shares issued and</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94"/>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outstanding at 2023 and 2022</w:t>
            </w: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3"/>
        </w:trPr>
        <w:tc>
          <w:tcPr>
            <w:tcW w:w="7980" w:type="dxa"/>
            <w:vAlign w:val="bottom"/>
          </w:tcPr>
          <w:p>
            <w:pPr>
              <w:ind w:left="180"/>
              <w:spacing w:after="0" w:line="143" w:lineRule="exact"/>
              <w:rPr>
                <w:sz w:val="20"/>
                <w:szCs w:val="20"/>
                <w:color w:val="auto"/>
              </w:rPr>
            </w:pPr>
            <w:r>
              <w:rPr>
                <w:rFonts w:ascii="Arial" w:cs="Arial" w:eastAsia="Arial" w:hAnsi="Arial"/>
                <w:sz w:val="14"/>
                <w:szCs w:val="14"/>
                <w:color w:val="auto"/>
                <w:w w:val="92"/>
              </w:rPr>
              <w:t>Class A common stock, par value $0.001, 362,500,000 shares authorized; 88,380,754 and 88,110,928 shares issued at 2023 and 2022,</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2"/>
        </w:trPr>
        <w:tc>
          <w:tcPr>
            <w:tcW w:w="7980" w:type="dxa"/>
            <w:vAlign w:val="bottom"/>
          </w:tcPr>
          <w:p>
            <w:pPr>
              <w:ind w:left="360"/>
              <w:spacing w:after="0"/>
              <w:rPr>
                <w:sz w:val="20"/>
                <w:szCs w:val="20"/>
                <w:color w:val="auto"/>
              </w:rPr>
            </w:pPr>
            <w:r>
              <w:rPr>
                <w:rFonts w:ascii="Arial" w:cs="Arial" w:eastAsia="Arial" w:hAnsi="Arial"/>
                <w:sz w:val="14"/>
                <w:szCs w:val="14"/>
                <w:color w:val="auto"/>
              </w:rPr>
              <w:t>respectively; 87,540,250 and 87,327,232 outstanding at 2023 and 2022, respectively</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5"/>
        </w:trPr>
        <w:tc>
          <w:tcPr>
            <w:tcW w:w="7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Class B common stock, par value $0.001, 37,500,000 shares authorized, 14,420,085 shares issued and outstanding at 2023 and 2022</w:t>
            </w: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2"/>
        </w:trPr>
        <w:tc>
          <w:tcPr>
            <w:tcW w:w="798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2,090,400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2,061,671</w:t>
            </w:r>
          </w:p>
        </w:tc>
      </w:tr>
      <w:tr>
        <w:trPr>
          <w:trHeight w:val="20"/>
        </w:trPr>
        <w:tc>
          <w:tcPr>
            <w:tcW w:w="7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comprehensive loss</w:t>
            </w:r>
          </w:p>
        </w:tc>
        <w:tc>
          <w:tcPr>
            <w:tcW w:w="5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w:t>
            </w:r>
          </w:p>
        </w:tc>
      </w:tr>
      <w:tr>
        <w:trPr>
          <w:trHeight w:val="186"/>
        </w:trPr>
        <w:tc>
          <w:tcPr>
            <w:tcW w:w="798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(852,901)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(804,382)</w:t>
            </w:r>
          </w:p>
        </w:tc>
      </w:tr>
      <w:tr>
        <w:trPr>
          <w:trHeight w:val="18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 of shares held in treasury, 840,504 and 783,696 shares at 2023 and 2022, respectively</w:t>
            </w:r>
          </w:p>
        </w:tc>
        <w:tc>
          <w:tcPr>
            <w:tcW w:w="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(67,304)</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(61,358)</w:t>
            </w:r>
          </w:p>
        </w:tc>
      </w:tr>
      <w:tr>
        <w:trPr>
          <w:trHeight w:val="19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Non-controlling interest</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Stockholders’ equity</w:t>
            </w: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1,170,494</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1,195,374</w:t>
            </w:r>
          </w:p>
        </w:tc>
      </w:tr>
      <w:tr>
        <w:trPr>
          <w:trHeight w:val="199"/>
        </w:trPr>
        <w:tc>
          <w:tcPr>
            <w:tcW w:w="7980" w:type="dxa"/>
            <w:vAlign w:val="bottom"/>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6,521,044</w:t>
            </w:r>
          </w:p>
        </w:tc>
        <w:tc>
          <w:tcPr>
            <w:tcW w:w="6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6,475,214</w:t>
            </w:r>
          </w:p>
        </w:tc>
      </w:tr>
      <w:tr>
        <w:trPr>
          <w:trHeight w:val="20"/>
        </w:trPr>
        <w:tc>
          <w:tcPr>
            <w:tcW w:w="7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09"/>
        </w:trPr>
        <w:tc>
          <w:tcPr>
            <w:tcW w:w="5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Statements of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541,137</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517,852</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1,012,469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969,240</w:t>
            </w: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 (income)</w:t>
            </w: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Direct advertising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324,495</w:t>
            </w:r>
          </w:p>
        </w:tc>
      </w:tr>
      <w:tr>
        <w:trPr>
          <w:trHeight w:val="21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3"/>
              </w:rPr>
              <w:t>General and administrative expenses (exclusive of 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90,658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175,660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173,742</w:t>
            </w: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Corporate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57,083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49,603</w:t>
            </w:r>
          </w:p>
        </w:tc>
      </w:tr>
      <w:tr>
        <w:trPr>
          <w:trHeight w:val="21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75,158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67,750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148,283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136,377</w:t>
            </w:r>
          </w:p>
        </w:tc>
      </w:tr>
      <w:tr>
        <w:trPr>
          <w:trHeight w:val="213"/>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Gain on disposition of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w:t>
            </w:r>
          </w:p>
        </w:tc>
      </w:tr>
      <w:tr>
        <w:trPr>
          <w:trHeight w:val="212"/>
        </w:trPr>
        <w:tc>
          <w:tcPr>
            <w:tcW w:w="56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364,346</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351,348</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716,877</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682,280</w:t>
            </w:r>
          </w:p>
        </w:tc>
      </w:tr>
      <w:tr>
        <w:trPr>
          <w:trHeight w:val="207"/>
        </w:trPr>
        <w:tc>
          <w:tcPr>
            <w:tcW w:w="562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176,791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166,504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295,592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286,960</w:t>
            </w:r>
          </w:p>
        </w:tc>
      </w:tr>
      <w:tr>
        <w:trPr>
          <w:trHeight w:val="21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56,279</w:t>
            </w:r>
          </w:p>
        </w:tc>
      </w:tr>
      <w:tr>
        <w:trPr>
          <w:trHeight w:val="213"/>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Equity in earnings of investee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r>
      <w:tr>
        <w:trPr>
          <w:trHeight w:val="212"/>
        </w:trPr>
        <w:tc>
          <w:tcPr>
            <w:tcW w:w="5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83,528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54,684</w:t>
            </w:r>
          </w:p>
        </w:tc>
      </w:tr>
      <w:tr>
        <w:trPr>
          <w:trHeight w:val="207"/>
        </w:trPr>
        <w:tc>
          <w:tcPr>
            <w:tcW w:w="562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134,068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232,276</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w:t>
            </w:r>
          </w:p>
        </w:tc>
      </w:tr>
      <w:tr>
        <w:trPr>
          <w:trHeight w:val="206"/>
        </w:trPr>
        <w:tc>
          <w:tcPr>
            <w:tcW w:w="5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130,888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134,205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207,086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226,356</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620" w:type="dxa"/>
            <w:vAlign w:val="bottom"/>
          </w:tcPr>
          <w:p>
            <w:pPr>
              <w:ind w:left="20"/>
              <w:spacing w:after="0"/>
              <w:rPr>
                <w:sz w:val="20"/>
                <w:szCs w:val="20"/>
                <w:color w:val="auto"/>
              </w:rPr>
            </w:pPr>
            <w:r>
              <w:rPr>
                <w:rFonts w:ascii="Arial" w:cs="Arial" w:eastAsia="Arial" w:hAnsi="Arial"/>
                <w:sz w:val="16"/>
                <w:szCs w:val="16"/>
                <w:color w:val="auto"/>
              </w:rPr>
              <w:t>Net income attributable to controlling interest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130,620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134,205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206,661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226,356</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 on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income applicable to common stock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130,529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134,114</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206,479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226,174</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6"/>
                <w:szCs w:val="16"/>
                <w:color w:val="auto"/>
              </w:rPr>
              <w:t>Basic earnings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0"/>
        </w:trPr>
        <w:tc>
          <w:tcPr>
            <w:tcW w:w="5620" w:type="dxa"/>
            <w:vAlign w:val="bottom"/>
          </w:tcPr>
          <w:p>
            <w:pPr>
              <w:ind w:left="220"/>
              <w:spacing w:after="0"/>
              <w:rPr>
                <w:sz w:val="20"/>
                <w:szCs w:val="20"/>
                <w:color w:val="auto"/>
              </w:rPr>
            </w:pPr>
            <w:r>
              <w:rPr>
                <w:rFonts w:ascii="Arial" w:cs="Arial" w:eastAsia="Arial" w:hAnsi="Arial"/>
                <w:sz w:val="16"/>
                <w:szCs w:val="16"/>
                <w:color w:val="auto"/>
              </w:rPr>
              <w:t>Cash dividends declared per share of common stock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2.50</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 average common shares used in computing 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101,917,200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101,486,547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101,855,104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101,413,458</w:t>
            </w: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102,104,429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101,660,120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102,047,875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101,602,743</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Statements of Comprehensive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130,888</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134,205</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207,086</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226,356</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07"/>
        </w:trPr>
        <w:tc>
          <w:tcPr>
            <w:tcW w:w="56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131,291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133,522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207,487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225,987</w:t>
            </w: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620" w:type="dxa"/>
            <w:vAlign w:val="bottom"/>
          </w:tcPr>
          <w:p>
            <w:pPr>
              <w:ind w:left="20"/>
              <w:spacing w:after="0"/>
              <w:rPr>
                <w:sz w:val="20"/>
                <w:szCs w:val="20"/>
                <w:color w:val="auto"/>
              </w:rPr>
            </w:pPr>
            <w:r>
              <w:rPr>
                <w:rFonts w:ascii="Arial" w:cs="Arial" w:eastAsia="Arial" w:hAnsi="Arial"/>
                <w:sz w:val="16"/>
                <w:szCs w:val="16"/>
                <w:color w:val="auto"/>
              </w:rPr>
              <w:t>Comprehensive income attributable to controlling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131,023</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133,522</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207,062</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225,987</w:t>
            </w: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700" w:type="dxa"/>
            <w:vAlign w:val="bottom"/>
          </w:tcPr>
          <w:p>
            <w:pPr>
              <w:jc w:val="center"/>
              <w:ind w:left="177"/>
              <w:spacing w:after="0"/>
              <w:rPr>
                <w:sz w:val="20"/>
                <w:szCs w:val="20"/>
                <w:color w:val="auto"/>
              </w:rPr>
            </w:pPr>
            <w:r>
              <w:rPr>
                <w:rFonts w:ascii="Arial" w:cs="Arial" w:eastAsia="Arial" w:hAnsi="Arial"/>
                <w:sz w:val="11"/>
                <w:szCs w:val="11"/>
                <w:b w:val="1"/>
                <w:bCs w:val="1"/>
                <w:color w:val="auto"/>
                <w:w w:val="88"/>
              </w:rPr>
              <w:t>Series 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5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1"/>
                <w:szCs w:val="11"/>
                <w:b w:val="1"/>
                <w:bCs w:val="1"/>
                <w:color w:val="auto"/>
                <w:w w:val="87"/>
              </w:rPr>
              <w:t>Non-controlling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700" w:type="dxa"/>
            <w:vAlign w:val="bottom"/>
          </w:tcPr>
          <w:p>
            <w:pPr>
              <w:jc w:val="center"/>
              <w:ind w:left="157"/>
              <w:spacing w:after="0" w:line="108" w:lineRule="exact"/>
              <w:rPr>
                <w:sz w:val="20"/>
                <w:szCs w:val="20"/>
                <w:color w:val="auto"/>
              </w:rPr>
            </w:pPr>
            <w:r>
              <w:rPr>
                <w:rFonts w:ascii="Arial" w:cs="Arial" w:eastAsia="Arial" w:hAnsi="Arial"/>
                <w:sz w:val="11"/>
                <w:szCs w:val="11"/>
                <w:b w:val="1"/>
                <w:bCs w:val="1"/>
                <w:color w:val="auto"/>
                <w:w w:val="95"/>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19"/>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9"/>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ind w:right="150"/>
              <w:spacing w:after="0" w:line="108" w:lineRule="exact"/>
              <w:rPr>
                <w:sz w:val="20"/>
                <w:szCs w:val="20"/>
                <w:color w:val="auto"/>
              </w:rPr>
            </w:pPr>
            <w:r>
              <w:rPr>
                <w:rFonts w:ascii="Arial" w:cs="Arial" w:eastAsia="Arial" w:hAnsi="Arial"/>
                <w:sz w:val="11"/>
                <w:szCs w:val="11"/>
                <w:b w:val="1"/>
                <w:bCs w:val="1"/>
                <w:color w:val="auto"/>
                <w:w w:val="94"/>
              </w:rPr>
              <w:t>Paid in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5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700" w:type="dxa"/>
            <w:vAlign w:val="bottom"/>
          </w:tcPr>
          <w:p>
            <w:pPr>
              <w:jc w:val="center"/>
              <w:ind w:left="177"/>
              <w:spacing w:after="0"/>
              <w:rPr>
                <w:sz w:val="20"/>
                <w:szCs w:val="20"/>
                <w:color w:val="auto"/>
              </w:rPr>
            </w:pPr>
            <w:r>
              <w:rPr>
                <w:rFonts w:ascii="Arial" w:cs="Arial" w:eastAsia="Arial" w:hAnsi="Arial"/>
                <w:sz w:val="11"/>
                <w:szCs w:val="11"/>
                <w:b w:val="1"/>
                <w:bCs w:val="1"/>
                <w:color w:val="auto"/>
                <w:w w:val="86"/>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9"/>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7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5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0"/>
              <w:spacing w:after="0"/>
              <w:rPr>
                <w:sz w:val="20"/>
                <w:szCs w:val="20"/>
                <w:color w:val="auto"/>
              </w:rPr>
            </w:pPr>
            <w:r>
              <w:rPr>
                <w:rFonts w:ascii="Arial" w:cs="Arial" w:eastAsia="Arial" w:hAnsi="Arial"/>
                <w:sz w:val="11"/>
                <w:szCs w:val="11"/>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30"/>
              <w:spacing w:after="0"/>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Balance, December 31, 2022</w:t>
            </w: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(61,358)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2,061,671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1,195,374</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Issuance of 161,050 shares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w w:val="95"/>
              </w:rPr>
              <w:t>of common stock through</w:t>
            </w:r>
          </w:p>
        </w:tc>
        <w:tc>
          <w:tcPr>
            <w:tcW w:w="7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15,934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15,934</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3"/>
              </w:rPr>
              <w:t>Exercise of 10,595 shares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Issuance of 45,232 shares of</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 through</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employee purchase plan</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0"/>
              </w:rPr>
              <w:t>Purchase of 56,808 shares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treasury stock</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(5,946)</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Foreign currency translation</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76,041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76,198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Reallocation of capital</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397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Dividends ($1.25 per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180"/>
              <w:spacing w:after="0" w:line="143" w:lineRule="exact"/>
              <w:rPr>
                <w:sz w:val="20"/>
                <w:szCs w:val="20"/>
                <w:color w:val="auto"/>
              </w:rPr>
            </w:pPr>
            <w:r>
              <w:rPr>
                <w:rFonts w:ascii="Arial" w:cs="Arial" w:eastAsia="Arial" w:hAnsi="Arial"/>
                <w:sz w:val="14"/>
                <w:szCs w:val="14"/>
                <w:color w:val="auto"/>
                <w:w w:val="93"/>
              </w:rPr>
              <w:t>common share) and other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(127,460)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(127,674)</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($15.95 per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 share)</w:t>
            </w:r>
          </w:p>
        </w:tc>
        <w:tc>
          <w:tcPr>
            <w:tcW w:w="7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700" w:type="dxa"/>
            <w:vAlign w:val="bottom"/>
          </w:tcPr>
          <w:p>
            <w:pPr>
              <w:jc w:val="right"/>
              <w:ind w:right="537"/>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88</w:t>
            </w:r>
          </w:p>
        </w:tc>
        <w:tc>
          <w:tcPr>
            <w:tcW w:w="780" w:type="dxa"/>
            <w:vAlign w:val="bottom"/>
            <w:gridSpan w:val="2"/>
          </w:tcPr>
          <w:p>
            <w:pPr>
              <w:jc w:val="right"/>
              <w:ind w:right="519"/>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(67,304)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2,084,102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(855,892)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340</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1,160,687</w:t>
            </w:r>
          </w:p>
        </w:tc>
        <w:tc>
          <w:tcPr>
            <w:tcW w:w="0" w:type="dxa"/>
            <w:vAlign w:val="bottom"/>
          </w:tcPr>
          <w:p>
            <w:pPr>
              <w:spacing w:after="0"/>
              <w:rPr>
                <w:sz w:val="1"/>
                <w:szCs w:val="1"/>
                <w:color w:val="auto"/>
              </w:rPr>
            </w:pPr>
          </w:p>
        </w:tc>
      </w:tr>
      <w:tr>
        <w:trPr>
          <w:trHeight w:val="182"/>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compensation</w:t>
            </w: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2,133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7,126 shares of</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180"/>
              <w:spacing w:after="0" w:line="143" w:lineRule="exact"/>
              <w:rPr>
                <w:sz w:val="20"/>
                <w:szCs w:val="20"/>
                <w:color w:val="auto"/>
              </w:rPr>
            </w:pPr>
            <w:r>
              <w:rPr>
                <w:rFonts w:ascii="Arial" w:cs="Arial" w:eastAsia="Arial" w:hAnsi="Arial"/>
                <w:sz w:val="14"/>
                <w:szCs w:val="14"/>
                <w:color w:val="auto"/>
              </w:rPr>
              <w:t>common stock through</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Exercise of 11,540 shares of</w:t>
            </w:r>
          </w:p>
        </w:tc>
        <w:tc>
          <w:tcPr>
            <w:tcW w:w="7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options</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20"/>
              <w:spacing w:after="0" w:line="143" w:lineRule="exact"/>
              <w:rPr>
                <w:sz w:val="20"/>
                <w:szCs w:val="20"/>
                <w:color w:val="auto"/>
              </w:rPr>
            </w:pPr>
            <w:r>
              <w:rPr>
                <w:rFonts w:ascii="Arial" w:cs="Arial" w:eastAsia="Arial" w:hAnsi="Arial"/>
                <w:sz w:val="14"/>
                <w:szCs w:val="14"/>
                <w:color w:val="auto"/>
                <w:w w:val="92"/>
              </w:rPr>
              <w:t>Issuance of 34,283 shares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180"/>
              <w:spacing w:after="0" w:line="141" w:lineRule="exact"/>
              <w:rPr>
                <w:sz w:val="20"/>
                <w:szCs w:val="20"/>
                <w:color w:val="auto"/>
              </w:rPr>
            </w:pPr>
            <w:r>
              <w:rPr>
                <w:rFonts w:ascii="Arial" w:cs="Arial" w:eastAsia="Arial" w:hAnsi="Arial"/>
                <w:sz w:val="14"/>
                <w:szCs w:val="14"/>
                <w:color w:val="auto"/>
              </w:rPr>
              <w:t>common stock through</w:t>
            </w:r>
          </w:p>
        </w:tc>
        <w:tc>
          <w:tcPr>
            <w:tcW w:w="70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2,675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2,675</w:t>
            </w: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w w:val="98"/>
              </w:rPr>
              <w:t>employee purchase plan</w:t>
            </w:r>
          </w:p>
        </w:tc>
        <w:tc>
          <w:tcPr>
            <w:tcW w:w="7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Foreign currency translation</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6"/>
        </w:trPr>
        <w:tc>
          <w:tcPr>
            <w:tcW w:w="1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130,620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130,888</w:t>
            </w:r>
          </w:p>
        </w:tc>
        <w:tc>
          <w:tcPr>
            <w:tcW w:w="0" w:type="dxa"/>
            <w:vAlign w:val="bottom"/>
          </w:tcPr>
          <w:p>
            <w:pPr>
              <w:spacing w:after="0"/>
              <w:rPr>
                <w:sz w:val="1"/>
                <w:szCs w:val="1"/>
                <w:color w:val="auto"/>
              </w:rPr>
            </w:pPr>
          </w:p>
        </w:tc>
      </w:tr>
      <w:tr>
        <w:trPr>
          <w:trHeight w:val="147"/>
        </w:trPr>
        <w:tc>
          <w:tcPr>
            <w:tcW w:w="17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Dividends/distributions to</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common shareholders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0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($1.25 per common</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(127,538)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(127,691)</w:t>
            </w: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Dividends ($15.95 per</w:t>
            </w:r>
          </w:p>
        </w:tc>
        <w:tc>
          <w:tcPr>
            <w:tcW w:w="7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preferred share)</w:t>
            </w:r>
          </w:p>
        </w:tc>
        <w:tc>
          <w:tcPr>
            <w:tcW w:w="7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2023</w:t>
            </w:r>
          </w:p>
        </w:tc>
        <w:tc>
          <w:tcPr>
            <w:tcW w:w="70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(67,304)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2,090,400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1,170,494</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700" w:type="dxa"/>
            <w:vAlign w:val="bottom"/>
          </w:tcPr>
          <w:p>
            <w:pPr>
              <w:jc w:val="center"/>
              <w:ind w:left="157"/>
              <w:spacing w:after="0"/>
              <w:rPr>
                <w:sz w:val="20"/>
                <w:szCs w:val="20"/>
                <w:color w:val="auto"/>
              </w:rPr>
            </w:pPr>
            <w:r>
              <w:rPr>
                <w:rFonts w:ascii="Arial" w:cs="Arial" w:eastAsia="Arial" w:hAnsi="Arial"/>
                <w:sz w:val="11"/>
                <w:szCs w:val="11"/>
                <w:b w:val="1"/>
                <w:bCs w:val="1"/>
                <w:color w:val="auto"/>
                <w:w w:val="84"/>
              </w:rPr>
              <w:t>Series 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50"/>
              <w:spacing w:after="0"/>
              <w:rPr>
                <w:sz w:val="20"/>
                <w:szCs w:val="20"/>
                <w:color w:val="auto"/>
              </w:rPr>
            </w:pPr>
            <w:r>
              <w:rPr>
                <w:rFonts w:ascii="Arial" w:cs="Arial" w:eastAsia="Arial" w:hAnsi="Arial"/>
                <w:sz w:val="11"/>
                <w:szCs w:val="11"/>
                <w:b w:val="1"/>
                <w:bCs w:val="1"/>
                <w:color w:val="auto"/>
                <w:w w:val="94"/>
              </w:rPr>
              <w:t>Add’l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700" w:type="dxa"/>
            <w:vAlign w:val="bottom"/>
          </w:tcPr>
          <w:p>
            <w:pPr>
              <w:jc w:val="center"/>
              <w:ind w:left="157"/>
              <w:spacing w:after="0" w:line="108" w:lineRule="exact"/>
              <w:rPr>
                <w:sz w:val="20"/>
                <w:szCs w:val="20"/>
                <w:color w:val="auto"/>
              </w:rPr>
            </w:pPr>
            <w:r>
              <w:rPr>
                <w:rFonts w:ascii="Arial" w:cs="Arial" w:eastAsia="Arial" w:hAnsi="Arial"/>
                <w:sz w:val="11"/>
                <w:szCs w:val="11"/>
                <w:b w:val="1"/>
                <w:bCs w:val="1"/>
                <w:color w:val="auto"/>
                <w:w w:val="95"/>
              </w:rPr>
              <w:t>PREF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19"/>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19"/>
              <w:spacing w:after="0" w:line="108" w:lineRule="exact"/>
              <w:rPr>
                <w:sz w:val="20"/>
                <w:szCs w:val="20"/>
                <w:color w:val="auto"/>
              </w:rPr>
            </w:pPr>
            <w:r>
              <w:rPr>
                <w:rFonts w:ascii="Arial" w:cs="Arial" w:eastAsia="Arial" w:hAnsi="Arial"/>
                <w:sz w:val="11"/>
                <w:szCs w:val="11"/>
                <w:b w:val="1"/>
                <w:bCs w:val="1"/>
                <w:color w:val="auto"/>
              </w:rPr>
              <w:t>CMN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ind w:right="150"/>
              <w:spacing w:after="0" w:line="108" w:lineRule="exact"/>
              <w:rPr>
                <w:sz w:val="20"/>
                <w:szCs w:val="20"/>
                <w:color w:val="auto"/>
              </w:rPr>
            </w:pPr>
            <w:r>
              <w:rPr>
                <w:rFonts w:ascii="Arial" w:cs="Arial" w:eastAsia="Arial" w:hAnsi="Arial"/>
                <w:sz w:val="11"/>
                <w:szCs w:val="11"/>
                <w:b w:val="1"/>
                <w:bCs w:val="1"/>
                <w:color w:val="auto"/>
                <w:w w:val="94"/>
              </w:rPr>
              <w:t>Paid in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5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700" w:type="dxa"/>
            <w:vAlign w:val="bottom"/>
          </w:tcPr>
          <w:p>
            <w:pPr>
              <w:jc w:val="center"/>
              <w:ind w:left="137"/>
              <w:spacing w:after="0"/>
              <w:rPr>
                <w:sz w:val="20"/>
                <w:szCs w:val="20"/>
                <w:color w:val="auto"/>
              </w:rPr>
            </w:pPr>
            <w:r>
              <w:rPr>
                <w:rFonts w:ascii="Arial" w:cs="Arial" w:eastAsia="Arial" w:hAnsi="Arial"/>
                <w:sz w:val="11"/>
                <w:szCs w:val="11"/>
                <w:b w:val="1"/>
                <w:bCs w:val="1"/>
                <w:color w:val="auto"/>
                <w:w w:val="86"/>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9"/>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9"/>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5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ind w:left="220"/>
              <w:spacing w:after="0"/>
              <w:rPr>
                <w:sz w:val="20"/>
                <w:szCs w:val="20"/>
                <w:color w:val="auto"/>
              </w:rPr>
            </w:pPr>
            <w:r>
              <w:rPr>
                <w:rFonts w:ascii="Arial" w:cs="Arial" w:eastAsia="Arial" w:hAnsi="Arial"/>
                <w:sz w:val="11"/>
                <w:szCs w:val="11"/>
                <w:b w:val="1"/>
                <w:bCs w:val="1"/>
                <w:color w:val="auto"/>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rPr>
              <w:t>Balance, December 31, 2021</w:t>
            </w: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78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9"/>
              </w:rPr>
              <w:t>(50,852)</w:t>
            </w:r>
          </w:p>
        </w:tc>
        <w:tc>
          <w:tcPr>
            <w:tcW w:w="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2,001,399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(734,415)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1,217,089</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20"/>
                <w:szCs w:val="20"/>
                <w:color w:val="auto"/>
              </w:rPr>
            </w:pPr>
            <w:r>
              <w:rPr>
                <w:rFonts w:ascii="Arial" w:cs="Arial" w:eastAsia="Arial" w:hAnsi="Arial"/>
                <w:sz w:val="14"/>
                <w:szCs w:val="14"/>
                <w:color w:val="auto"/>
              </w:rPr>
              <w:t>Non-cash compensation</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7"/>
        </w:trPr>
        <w:tc>
          <w:tcPr>
            <w:tcW w:w="17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97"/>
              </w:rPr>
              <w:t>Issuance of 241,750 shares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of common stock through</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30,145</w:t>
            </w:r>
          </w:p>
        </w:tc>
        <w:tc>
          <w:tcPr>
            <w:tcW w:w="0" w:type="dxa"/>
            <w:vAlign w:val="bottom"/>
          </w:tcPr>
          <w:p>
            <w:pPr>
              <w:spacing w:after="0"/>
              <w:rPr>
                <w:sz w:val="1"/>
                <w:szCs w:val="1"/>
                <w:color w:val="auto"/>
              </w:rPr>
            </w:pPr>
          </w:p>
        </w:tc>
      </w:tr>
      <w:tr>
        <w:trPr>
          <w:trHeight w:val="143"/>
        </w:trPr>
        <w:tc>
          <w:tcPr>
            <w:tcW w:w="1700" w:type="dxa"/>
            <w:vAlign w:val="bottom"/>
          </w:tcPr>
          <w:p>
            <w:pPr>
              <w:spacing w:after="0" w:line="143" w:lineRule="exact"/>
              <w:rPr>
                <w:sz w:val="20"/>
                <w:szCs w:val="20"/>
                <w:color w:val="auto"/>
              </w:rPr>
            </w:pPr>
            <w:r>
              <w:rPr>
                <w:rFonts w:ascii="Arial" w:cs="Arial" w:eastAsia="Arial" w:hAnsi="Arial"/>
                <w:sz w:val="14"/>
                <w:szCs w:val="14"/>
                <w:color w:val="auto"/>
                <w:w w:val="94"/>
              </w:rPr>
              <w:t>Exercise of 26,190 shares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3"/>
              </w:rPr>
              <w:t>Issuance of 36,347 shares of</w:t>
            </w: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0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common stock through</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8"/>
              </w:rPr>
              <w:t>employee purchase plan</w:t>
            </w: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4"/>
                <w:szCs w:val="14"/>
                <w:color w:val="auto"/>
                <w:w w:val="91"/>
              </w:rPr>
              <w:t>Purchase of 95,091 shares of</w:t>
            </w:r>
          </w:p>
        </w:tc>
        <w:tc>
          <w:tcPr>
            <w:tcW w:w="7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240"/>
              <w:spacing w:after="0"/>
              <w:rPr>
                <w:sz w:val="20"/>
                <w:szCs w:val="20"/>
                <w:color w:val="auto"/>
              </w:rPr>
            </w:pPr>
            <w:r>
              <w:rPr>
                <w:rFonts w:ascii="Arial" w:cs="Arial" w:eastAsia="Arial" w:hAnsi="Arial"/>
                <w:sz w:val="14"/>
                <w:szCs w:val="14"/>
                <w:color w:val="auto"/>
                <w:w w:val="99"/>
              </w:rPr>
              <w:t>(10,446)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(10,446)</w:t>
            </w: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treasury stock</w:t>
            </w:r>
          </w:p>
        </w:tc>
        <w:tc>
          <w:tcPr>
            <w:tcW w:w="7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6"/>
              </w:rPr>
              <w:t>Foreign currency translation</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92,151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92,151</w:t>
            </w:r>
          </w:p>
        </w:tc>
        <w:tc>
          <w:tcPr>
            <w:tcW w:w="0" w:type="dxa"/>
            <w:vAlign w:val="bottom"/>
          </w:tcPr>
          <w:p>
            <w:pPr>
              <w:spacing w:after="0"/>
              <w:rPr>
                <w:sz w:val="1"/>
                <w:szCs w:val="1"/>
                <w:color w:val="auto"/>
              </w:rPr>
            </w:pPr>
          </w:p>
        </w:tc>
      </w:tr>
      <w:tr>
        <w:trPr>
          <w:trHeight w:val="147"/>
        </w:trPr>
        <w:tc>
          <w:tcPr>
            <w:tcW w:w="17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Dividends/distributions to</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shareholders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($1.10 per common</w:t>
            </w:r>
          </w:p>
        </w:tc>
        <w:tc>
          <w:tcPr>
            <w:tcW w:w="7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(111,602)</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4"/>
                <w:szCs w:val="14"/>
                <w:color w:val="auto"/>
              </w:rPr>
              <w:t>Dividends ($15.95 per</w:t>
            </w:r>
          </w:p>
        </w:tc>
        <w:tc>
          <w:tcPr>
            <w:tcW w:w="7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preferred share)</w:t>
            </w:r>
          </w:p>
        </w:tc>
        <w:tc>
          <w:tcPr>
            <w:tcW w:w="7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March 31, 2022</w:t>
            </w:r>
          </w:p>
        </w:tc>
        <w:tc>
          <w:tcPr>
            <w:tcW w:w="70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9"/>
              </w:rPr>
              <w:t>(61,298)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2,037,845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(753,957)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1,223,861</w:t>
            </w:r>
          </w:p>
        </w:tc>
        <w:tc>
          <w:tcPr>
            <w:tcW w:w="0" w:type="dxa"/>
            <w:vAlign w:val="bottom"/>
          </w:tcPr>
          <w:p>
            <w:pPr>
              <w:spacing w:after="0"/>
              <w:rPr>
                <w:sz w:val="1"/>
                <w:szCs w:val="1"/>
                <w:color w:val="auto"/>
              </w:rPr>
            </w:pPr>
          </w:p>
        </w:tc>
      </w:tr>
      <w:tr>
        <w:trPr>
          <w:trHeight w:val="179"/>
        </w:trPr>
        <w:tc>
          <w:tcPr>
            <w:tcW w:w="1700" w:type="dxa"/>
            <w:vAlign w:val="bottom"/>
          </w:tcPr>
          <w:p>
            <w:pPr>
              <w:spacing w:after="0"/>
              <w:rPr>
                <w:sz w:val="20"/>
                <w:szCs w:val="20"/>
                <w:color w:val="auto"/>
              </w:rPr>
            </w:pPr>
            <w:r>
              <w:rPr>
                <w:rFonts w:ascii="Arial" w:cs="Arial" w:eastAsia="Arial" w:hAnsi="Arial"/>
                <w:sz w:val="14"/>
                <w:szCs w:val="14"/>
                <w:color w:val="auto"/>
              </w:rPr>
              <w:t>Non-cash compensation</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7"/>
              </w:rPr>
              <w:t>Issuance of 7,197 shares of</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common stock through</w:t>
            </w:r>
          </w:p>
        </w:tc>
        <w:tc>
          <w:tcPr>
            <w:tcW w:w="7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00" w:type="dxa"/>
            <w:vAlign w:val="bottom"/>
          </w:tcPr>
          <w:p>
            <w:pPr>
              <w:spacing w:after="0" w:line="143" w:lineRule="exact"/>
              <w:rPr>
                <w:sz w:val="20"/>
                <w:szCs w:val="20"/>
                <w:color w:val="auto"/>
              </w:rPr>
            </w:pPr>
            <w:r>
              <w:rPr>
                <w:rFonts w:ascii="Arial" w:cs="Arial" w:eastAsia="Arial" w:hAnsi="Arial"/>
                <w:sz w:val="14"/>
                <w:szCs w:val="14"/>
                <w:color w:val="auto"/>
                <w:w w:val="94"/>
              </w:rPr>
              <w:t>Exercise of 13,131 shares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7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Issuance of 32,172 shares of</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 through</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employee purchase plan</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w w:val="96"/>
              </w:rPr>
              <w:t>Foreign currency translation</w:t>
            </w:r>
          </w:p>
        </w:tc>
        <w:tc>
          <w:tcPr>
            <w:tcW w:w="7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134,205</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4"/>
                <w:szCs w:val="14"/>
                <w:color w:val="auto"/>
              </w:rPr>
              <w:t>Dividends/distributions to</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00" w:type="dxa"/>
            <w:vAlign w:val="bottom"/>
          </w:tcPr>
          <w:p>
            <w:pPr>
              <w:ind w:left="180"/>
              <w:spacing w:after="0" w:line="143" w:lineRule="exact"/>
              <w:rPr>
                <w:sz w:val="20"/>
                <w:szCs w:val="20"/>
                <w:color w:val="auto"/>
              </w:rPr>
            </w:pPr>
            <w:r>
              <w:rPr>
                <w:rFonts w:ascii="Arial" w:cs="Arial" w:eastAsia="Arial" w:hAnsi="Arial"/>
                <w:sz w:val="14"/>
                <w:szCs w:val="14"/>
                <w:color w:val="auto"/>
              </w:rPr>
              <w:t>common shareholders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180"/>
              <w:spacing w:after="0" w:line="141" w:lineRule="exact"/>
              <w:rPr>
                <w:sz w:val="20"/>
                <w:szCs w:val="20"/>
                <w:color w:val="auto"/>
              </w:rPr>
            </w:pPr>
            <w:r>
              <w:rPr>
                <w:rFonts w:ascii="Arial" w:cs="Arial" w:eastAsia="Arial" w:hAnsi="Arial"/>
                <w:sz w:val="14"/>
                <w:szCs w:val="14"/>
                <w:color w:val="auto"/>
              </w:rPr>
              <w:t>($1.20 per common</w:t>
            </w:r>
          </w:p>
        </w:tc>
        <w:tc>
          <w:tcPr>
            <w:tcW w:w="70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(121,808)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(121,808)</w:t>
            </w: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share)</w:t>
            </w:r>
          </w:p>
        </w:tc>
        <w:tc>
          <w:tcPr>
            <w:tcW w:w="7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Dividends ($15.95 per</w:t>
            </w:r>
          </w:p>
        </w:tc>
        <w:tc>
          <w:tcPr>
            <w:tcW w:w="7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share)</w:t>
            </w:r>
          </w:p>
        </w:tc>
        <w:tc>
          <w:tcPr>
            <w:tcW w:w="7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20"/>
                <w:szCs w:val="20"/>
                <w:color w:val="auto"/>
              </w:rPr>
            </w:pPr>
            <w:r>
              <w:rPr>
                <w:rFonts w:ascii="Arial" w:cs="Arial" w:eastAsia="Arial" w:hAnsi="Arial"/>
                <w:sz w:val="14"/>
                <w:szCs w:val="14"/>
                <w:color w:val="auto"/>
              </w:rPr>
              <w:t>Balance, June 30, 2022</w:t>
            </w:r>
          </w:p>
        </w:tc>
        <w:tc>
          <w:tcPr>
            <w:tcW w:w="700" w:type="dxa"/>
            <w:vAlign w:val="bottom"/>
          </w:tcPr>
          <w:p>
            <w:pPr>
              <w:jc w:val="right"/>
              <w:ind w:right="557"/>
              <w:spacing w:after="0"/>
              <w:rPr>
                <w:sz w:val="20"/>
                <w:szCs w:val="20"/>
                <w:color w:val="auto"/>
              </w:rPr>
            </w:pPr>
            <w:r>
              <w:rPr>
                <w:rFonts w:ascii="Arial" w:cs="Arial" w:eastAsia="Arial" w:hAnsi="Arial"/>
                <w:sz w:val="14"/>
                <w:szCs w:val="14"/>
                <w:color w:val="auto"/>
                <w:w w:val="76"/>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680" w:type="dxa"/>
            <w:vAlign w:val="bottom"/>
          </w:tcPr>
          <w:p>
            <w:pPr>
              <w:jc w:val="right"/>
              <w:ind w:right="51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ind w:left="240"/>
              <w:spacing w:after="0"/>
              <w:rPr>
                <w:sz w:val="20"/>
                <w:szCs w:val="20"/>
                <w:color w:val="auto"/>
              </w:rPr>
            </w:pPr>
            <w:r>
              <w:rPr>
                <w:rFonts w:ascii="Arial" w:cs="Arial" w:eastAsia="Arial" w:hAnsi="Arial"/>
                <w:sz w:val="14"/>
                <w:szCs w:val="14"/>
                <w:color w:val="auto"/>
                <w:w w:val="99"/>
              </w:rPr>
              <w:t>(61,298)</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2,042,427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(741,651)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1,240,066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3"/>
          <w:szCs w:val="13"/>
          <w:b w:val="1"/>
          <w:bCs w:val="1"/>
          <w:color w:val="auto"/>
        </w:rPr>
        <w:t>Six Months Ended</w:t>
      </w:r>
    </w:p>
    <w:p>
      <w:pPr>
        <w:jc w:val="center"/>
        <w:ind w:left="8420"/>
        <w:spacing w:after="0"/>
        <w:rPr>
          <w:sz w:val="20"/>
          <w:szCs w:val="20"/>
          <w:color w:val="auto"/>
        </w:rPr>
      </w:pPr>
      <w:r>
        <w:rPr>
          <w:rFonts w:ascii="Arial" w:cs="Arial" w:eastAsia="Arial" w:hAnsi="Arial"/>
          <w:sz w:val="13"/>
          <w:szCs w:val="13"/>
          <w:b w:val="1"/>
          <w:bCs w:val="1"/>
          <w:color w:val="auto"/>
        </w:rPr>
        <w:t>June 30,</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46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5"/>
        </w:trPr>
        <w:tc>
          <w:tcPr>
            <w:tcW w:w="846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207,086</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226,356</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6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148,283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136,377</w:t>
            </w: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9,223</w:t>
            </w:r>
          </w:p>
        </w:tc>
        <w:tc>
          <w:tcPr>
            <w:tcW w:w="0" w:type="dxa"/>
            <w:vAlign w:val="bottom"/>
          </w:tcPr>
          <w:p>
            <w:pPr>
              <w:spacing w:after="0"/>
              <w:rPr>
                <w:sz w:val="1"/>
                <w:szCs w:val="1"/>
                <w:color w:val="auto"/>
              </w:rPr>
            </w:pP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Gain on disposition of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0" w:type="dxa"/>
            <w:vAlign w:val="bottom"/>
          </w:tcPr>
          <w:p>
            <w:pPr>
              <w:spacing w:after="0"/>
              <w:rPr>
                <w:sz w:val="1"/>
                <w:szCs w:val="1"/>
                <w:color w:val="auto"/>
              </w:rPr>
            </w:pP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Equity in earnings of investee</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tax (benefit) expense</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r>
        <w:trPr>
          <w:trHeight w:val="160"/>
        </w:trPr>
        <w:tc>
          <w:tcPr>
            <w:tcW w:w="8460" w:type="dxa"/>
            <w:vAlign w:val="bottom"/>
          </w:tcPr>
          <w:p>
            <w:pPr>
              <w:ind w:left="460"/>
              <w:spacing w:after="0"/>
              <w:rPr>
                <w:sz w:val="20"/>
                <w:szCs w:val="20"/>
                <w:color w:val="auto"/>
              </w:rPr>
            </w:pPr>
            <w:r>
              <w:rPr>
                <w:rFonts w:ascii="Arial" w:cs="Arial" w:eastAsia="Arial" w:hAnsi="Arial"/>
                <w:sz w:val="13"/>
                <w:szCs w:val="13"/>
                <w:color w:val="auto"/>
              </w:rPr>
              <w:t>Provision for doubtful accounts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5,558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60" w:type="dxa"/>
            <w:vAlign w:val="bottom"/>
          </w:tcPr>
          <w:p>
            <w:pPr>
              <w:ind w:left="420"/>
              <w:spacing w:after="0"/>
              <w:rPr>
                <w:sz w:val="20"/>
                <w:szCs w:val="20"/>
                <w:color w:val="auto"/>
              </w:rPr>
            </w:pPr>
            <w:r>
              <w:rPr>
                <w:rFonts w:ascii="Arial" w:cs="Arial" w:eastAsia="Arial" w:hAnsi="Arial"/>
                <w:sz w:val="13"/>
                <w:szCs w:val="13"/>
                <w:color w:val="auto"/>
              </w:rPr>
              <w:t>Increase in:</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Receivables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(42,589)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(36,153)</w:t>
            </w:r>
          </w:p>
        </w:tc>
        <w:tc>
          <w:tcPr>
            <w:tcW w:w="0" w:type="dxa"/>
            <w:vAlign w:val="bottom"/>
          </w:tcPr>
          <w:p>
            <w:pPr>
              <w:spacing w:after="0"/>
              <w:rPr>
                <w:sz w:val="1"/>
                <w:szCs w:val="1"/>
                <w:color w:val="auto"/>
              </w:rPr>
            </w:pPr>
          </w:p>
        </w:tc>
      </w:tr>
      <w:tr>
        <w:trPr>
          <w:trHeight w:val="168"/>
        </w:trPr>
        <w:tc>
          <w:tcPr>
            <w:tcW w:w="8460" w:type="dxa"/>
            <w:vAlign w:val="bottom"/>
          </w:tcPr>
          <w:p>
            <w:pPr>
              <w:ind w:left="840"/>
              <w:spacing w:after="0"/>
              <w:rPr>
                <w:sz w:val="20"/>
                <w:szCs w:val="20"/>
                <w:color w:val="auto"/>
              </w:rPr>
            </w:pPr>
            <w:r>
              <w:rPr>
                <w:rFonts w:ascii="Arial" w:cs="Arial" w:eastAsia="Arial" w:hAnsi="Arial"/>
                <w:sz w:val="13"/>
                <w:szCs w:val="13"/>
                <w:color w:val="auto"/>
              </w:rPr>
              <w:t>Prepaid expenses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(5,453)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(5,513)</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840"/>
              <w:spacing w:after="0"/>
              <w:rPr>
                <w:sz w:val="20"/>
                <w:szCs w:val="20"/>
                <w:color w:val="auto"/>
              </w:rPr>
            </w:pPr>
            <w:r>
              <w:rPr>
                <w:rFonts w:ascii="Arial" w:cs="Arial" w:eastAsia="Arial" w:hAnsi="Arial"/>
                <w:sz w:val="13"/>
                <w:szCs w:val="13"/>
                <w:color w:val="auto"/>
              </w:rPr>
              <w:t>Other assets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(2,581)</w:t>
            </w:r>
          </w:p>
        </w:tc>
        <w:tc>
          <w:tcPr>
            <w:tcW w:w="0" w:type="dxa"/>
            <w:vAlign w:val="bottom"/>
          </w:tcPr>
          <w:p>
            <w:pPr>
              <w:spacing w:after="0"/>
              <w:rPr>
                <w:sz w:val="1"/>
                <w:szCs w:val="1"/>
                <w:color w:val="auto"/>
              </w:rPr>
            </w:pPr>
          </w:p>
        </w:tc>
      </w:tr>
      <w:tr>
        <w:trPr>
          <w:trHeight w:val="160"/>
        </w:trPr>
        <w:tc>
          <w:tcPr>
            <w:tcW w:w="8460" w:type="dxa"/>
            <w:vAlign w:val="bottom"/>
          </w:tcPr>
          <w:p>
            <w:pPr>
              <w:ind w:left="420"/>
              <w:spacing w:after="0"/>
              <w:rPr>
                <w:sz w:val="20"/>
                <w:szCs w:val="20"/>
                <w:color w:val="auto"/>
              </w:rPr>
            </w:pPr>
            <w:r>
              <w:rPr>
                <w:rFonts w:ascii="Arial" w:cs="Arial" w:eastAsia="Arial" w:hAnsi="Arial"/>
                <w:sz w:val="13"/>
                <w:szCs w:val="13"/>
                <w:color w:val="auto"/>
              </w:rPr>
              <w:t>(Decrease) increase in:</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shd w:val="clear" w:color="auto" w:fill="CCEEFF"/>
          </w:tcPr>
          <w:p>
            <w:pPr>
              <w:ind w:left="840"/>
              <w:spacing w:after="0"/>
              <w:rPr>
                <w:sz w:val="20"/>
                <w:szCs w:val="20"/>
                <w:color w:val="auto"/>
              </w:rPr>
            </w:pPr>
            <w:r>
              <w:rPr>
                <w:rFonts w:ascii="Arial" w:cs="Arial" w:eastAsia="Arial" w:hAnsi="Arial"/>
                <w:sz w:val="13"/>
                <w:szCs w:val="13"/>
                <w:color w:val="auto"/>
              </w:rPr>
              <w:t>Trade accounts payable</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68"/>
        </w:trPr>
        <w:tc>
          <w:tcPr>
            <w:tcW w:w="8460" w:type="dxa"/>
            <w:vAlign w:val="bottom"/>
          </w:tcPr>
          <w:p>
            <w:pPr>
              <w:ind w:left="840"/>
              <w:spacing w:after="0"/>
              <w:rPr>
                <w:sz w:val="20"/>
                <w:szCs w:val="20"/>
                <w:color w:val="auto"/>
              </w:rPr>
            </w:pPr>
            <w:r>
              <w:rPr>
                <w:rFonts w:ascii="Arial" w:cs="Arial" w:eastAsia="Arial" w:hAnsi="Arial"/>
                <w:sz w:val="13"/>
                <w:szCs w:val="13"/>
                <w:color w:val="auto"/>
              </w:rPr>
              <w:t>Accrued expenses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(16,531)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(15,086)</w:t>
            </w: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Operating lease liabilities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(30,656)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(21,780)</w:t>
            </w:r>
          </w:p>
        </w:tc>
        <w:tc>
          <w:tcPr>
            <w:tcW w:w="0" w:type="dxa"/>
            <w:vAlign w:val="bottom"/>
          </w:tcPr>
          <w:p>
            <w:pPr>
              <w:spacing w:after="0"/>
              <w:rPr>
                <w:sz w:val="1"/>
                <w:szCs w:val="1"/>
                <w:color w:val="auto"/>
              </w:rPr>
            </w:pPr>
          </w:p>
        </w:tc>
      </w:tr>
      <w:tr>
        <w:trPr>
          <w:trHeight w:val="169"/>
        </w:trPr>
        <w:tc>
          <w:tcPr>
            <w:tcW w:w="8460" w:type="dxa"/>
            <w:vAlign w:val="bottom"/>
          </w:tcPr>
          <w:p>
            <w:pPr>
              <w:ind w:left="840"/>
              <w:spacing w:after="0"/>
              <w:rPr>
                <w:sz w:val="20"/>
                <w:szCs w:val="20"/>
                <w:color w:val="auto"/>
              </w:rPr>
            </w:pPr>
            <w:r>
              <w:rPr>
                <w:rFonts w:ascii="Arial" w:cs="Arial" w:eastAsia="Arial" w:hAnsi="Arial"/>
                <w:sz w:val="13"/>
                <w:szCs w:val="13"/>
                <w:color w:val="auto"/>
              </w:rPr>
              <w:t>Other liabilities</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36,902</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17,290</w:t>
            </w:r>
          </w:p>
        </w:tc>
        <w:tc>
          <w:tcPr>
            <w:tcW w:w="0" w:type="dxa"/>
            <w:vAlign w:val="bottom"/>
          </w:tcPr>
          <w:p>
            <w:pPr>
              <w:spacing w:after="0"/>
              <w:rPr>
                <w:sz w:val="1"/>
                <w:szCs w:val="1"/>
                <w:color w:val="auto"/>
              </w:rPr>
            </w:pPr>
          </w:p>
        </w:tc>
      </w:tr>
      <w:tr>
        <w:trPr>
          <w:trHeight w:val="174"/>
        </w:trPr>
        <w:tc>
          <w:tcPr>
            <w:tcW w:w="8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306,873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312,630</w:t>
            </w:r>
          </w:p>
        </w:tc>
        <w:tc>
          <w:tcPr>
            <w:tcW w:w="0" w:type="dxa"/>
            <w:vAlign w:val="bottom"/>
          </w:tcPr>
          <w:p>
            <w:pPr>
              <w:spacing w:after="0"/>
              <w:rPr>
                <w:sz w:val="1"/>
                <w:szCs w:val="1"/>
                <w:color w:val="auto"/>
              </w:rPr>
            </w:pPr>
          </w:p>
        </w:tc>
      </w:tr>
      <w:tr>
        <w:trPr>
          <w:trHeight w:val="163"/>
        </w:trPr>
        <w:tc>
          <w:tcPr>
            <w:tcW w:w="846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(42,122)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(234,292)</w:t>
            </w: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(93,007)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(75,802)</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0" w:type="dxa"/>
            <w:vAlign w:val="bottom"/>
          </w:tcPr>
          <w:p>
            <w:pPr>
              <w:spacing w:after="0"/>
              <w:rPr>
                <w:sz w:val="1"/>
                <w:szCs w:val="1"/>
                <w:color w:val="auto"/>
              </w:rPr>
            </w:pPr>
          </w:p>
        </w:tc>
      </w:tr>
      <w:tr>
        <w:trPr>
          <w:trHeight w:val="163"/>
        </w:trPr>
        <w:tc>
          <w:tcPr>
            <w:tcW w:w="8460" w:type="dxa"/>
            <w:vAlign w:val="bottom"/>
          </w:tcPr>
          <w:p>
            <w:pPr>
              <w:ind w:left="116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(130,009)</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(308,378)</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Cash used for purchase of treasury stock</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(5,946)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(10,446)</w:t>
            </w: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proceeds from issuance of common stock</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7,692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7,901</w:t>
            </w: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(110,000)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(240,000)</w:t>
            </w:r>
          </w:p>
        </w:tc>
        <w:tc>
          <w:tcPr>
            <w:tcW w:w="0" w:type="dxa"/>
            <w:vAlign w:val="bottom"/>
          </w:tcPr>
          <w:p>
            <w:pPr>
              <w:spacing w:after="0"/>
              <w:rPr>
                <w:sz w:val="1"/>
                <w:szCs w:val="1"/>
                <w:color w:val="auto"/>
              </w:rPr>
            </w:pPr>
          </w:p>
        </w:tc>
      </w:tr>
      <w:tr>
        <w:trPr>
          <w:trHeight w:val="17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198,000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31,900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65,000</w:t>
            </w:r>
          </w:p>
        </w:tc>
        <w:tc>
          <w:tcPr>
            <w:tcW w:w="0" w:type="dxa"/>
            <w:vAlign w:val="bottom"/>
          </w:tcPr>
          <w:p>
            <w:pPr>
              <w:spacing w:after="0"/>
              <w:rPr>
                <w:sz w:val="1"/>
                <w:szCs w:val="1"/>
                <w:color w:val="auto"/>
              </w:rPr>
            </w:pP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(47,000)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460" w:type="dxa"/>
            <w:vAlign w:val="bottom"/>
          </w:tcPr>
          <w:p>
            <w:pPr>
              <w:ind w:left="220"/>
              <w:spacing w:after="0"/>
              <w:rPr>
                <w:sz w:val="20"/>
                <w:szCs w:val="20"/>
                <w:color w:val="auto"/>
              </w:rPr>
            </w:pPr>
            <w:r>
              <w:rPr>
                <w:rFonts w:ascii="Arial" w:cs="Arial" w:eastAsia="Arial" w:hAnsi="Arial"/>
                <w:sz w:val="13"/>
                <w:szCs w:val="13"/>
                <w:color w:val="auto"/>
              </w:rPr>
              <w:t>Debt issuance costs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3"/>
                <w:szCs w:val="13"/>
                <w:color w:val="auto"/>
              </w:rPr>
              <w:t>Dividends/distributions</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(255,180)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(233,592)</w:t>
            </w:r>
          </w:p>
        </w:tc>
        <w:tc>
          <w:tcPr>
            <w:tcW w:w="0" w:type="dxa"/>
            <w:vAlign w:val="bottom"/>
          </w:tcPr>
          <w:p>
            <w:pPr>
              <w:spacing w:after="0"/>
              <w:rPr>
                <w:sz w:val="1"/>
                <w:szCs w:val="1"/>
                <w:color w:val="auto"/>
              </w:rPr>
            </w:pPr>
          </w:p>
        </w:tc>
      </w:tr>
      <w:tr>
        <w:trPr>
          <w:trHeight w:val="184"/>
        </w:trPr>
        <w:tc>
          <w:tcPr>
            <w:tcW w:w="846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(181,780)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(12,283)</w:t>
            </w:r>
          </w:p>
        </w:tc>
        <w:tc>
          <w:tcPr>
            <w:tcW w:w="0" w:type="dxa"/>
            <w:vAlign w:val="bottom"/>
          </w:tcPr>
          <w:p>
            <w:pPr>
              <w:spacing w:after="0"/>
              <w:rPr>
                <w:sz w:val="1"/>
                <w:szCs w:val="1"/>
                <w:color w:val="auto"/>
              </w:rPr>
            </w:pPr>
          </w:p>
        </w:tc>
      </w:tr>
      <w:tr>
        <w:trPr>
          <w:trHeight w:val="163"/>
        </w:trPr>
        <w:tc>
          <w:tcPr>
            <w:tcW w:w="8460" w:type="dxa"/>
            <w:vAlign w:val="bottom"/>
          </w:tcPr>
          <w:p>
            <w:pPr>
              <w:ind w:left="220"/>
              <w:spacing w:after="0"/>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Net decrease in cash and cash equivalents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(8,102)</w:t>
            </w:r>
          </w:p>
        </w:tc>
        <w:tc>
          <w:tcPr>
            <w:tcW w:w="0" w:type="dxa"/>
            <w:vAlign w:val="bottom"/>
          </w:tcPr>
          <w:p>
            <w:pPr>
              <w:spacing w:after="0"/>
              <w:rPr>
                <w:sz w:val="1"/>
                <w:szCs w:val="1"/>
                <w:color w:val="auto"/>
              </w:rPr>
            </w:pPr>
          </w:p>
        </w:tc>
      </w:tr>
      <w:tr>
        <w:trPr>
          <w:trHeight w:val="183"/>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99,788</w:t>
            </w:r>
          </w:p>
        </w:tc>
        <w:tc>
          <w:tcPr>
            <w:tcW w:w="0" w:type="dxa"/>
            <w:vAlign w:val="bottom"/>
          </w:tcPr>
          <w:p>
            <w:pPr>
              <w:spacing w:after="0"/>
              <w:rPr>
                <w:sz w:val="1"/>
                <w:szCs w:val="1"/>
                <w:color w:val="auto"/>
              </w:rPr>
            </w:pPr>
          </w:p>
        </w:tc>
      </w:tr>
      <w:tr>
        <w:trPr>
          <w:trHeight w:val="200"/>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47,779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91,686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paid for interest</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81,882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60" w:type="dxa"/>
            <w:vAlign w:val="bottom"/>
          </w:tcPr>
          <w:p>
            <w:pPr>
              <w:ind w:left="220"/>
              <w:spacing w:after="0"/>
              <w:rPr>
                <w:sz w:val="20"/>
                <w:szCs w:val="20"/>
                <w:color w:val="auto"/>
              </w:rPr>
            </w:pPr>
            <w:r>
              <w:rPr>
                <w:rFonts w:ascii="Arial" w:cs="Arial" w:eastAsia="Arial" w:hAnsi="Arial"/>
                <w:sz w:val="13"/>
                <w:szCs w:val="13"/>
                <w:color w:val="auto"/>
              </w:rPr>
              <w:t>Cash paid for foreign, state and federal income taxes</w:t>
            </w:r>
          </w:p>
        </w:tc>
        <w:tc>
          <w:tcPr>
            <w:tcW w:w="78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6,896</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2022 Combined Form 10-K. Subsequent events, if any, are evaluated through the date on which the financial statements are issued.</w:t>
      </w:r>
    </w:p>
    <w:p>
      <w:pPr>
        <w:spacing w:after="0" w:line="30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Advertising revenues</w:t>
      </w:r>
      <w:r>
        <w:rPr>
          <w:rFonts w:ascii="Arial" w:cs="Arial" w:eastAsia="Arial" w:hAnsi="Arial"/>
          <w:sz w:val="18"/>
          <w:szCs w:val="18"/>
          <w:color w:val="auto"/>
        </w:rPr>
        <w:t>: The majority of our revenues are derived from contracts for advertising space on billboard, logo and transit displays. Contracts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 not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are accounted for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 copy.</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 by source for the three and six months ended June 30, 2023 and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3"/>
              </w:rPr>
              <w:t>2022</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advertising</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483,278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463,826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900,453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865,565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40,505</w:t>
            </w: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 advertising</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36,631</w:t>
            </w: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33,266</w:t>
            </w:r>
          </w:p>
        </w:tc>
        <w:tc>
          <w:tcPr>
            <w:tcW w:w="1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70,478</w:t>
            </w:r>
          </w:p>
        </w:tc>
        <w:tc>
          <w:tcPr>
            <w:tcW w:w="12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63,170</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1,012,469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969,240</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June 30, 2023 and 2022, we had operating lease costs of $79,640 and $76,382, respectively, and variable lease costs of $16,153 and $15,671, respectively. During the six months ended June 30, 2023 and 2022, we had operating lease costs of $159,086 and $152,201, respectively, and variable lease costs of $28,528 and $27,875, respectively. These operating lease costs are recorded in direct advertising expenses (exclusive of depreciation and amortization). For the three months ended June 30, 2023 and 2022, we recorded a gain of $337 and $429, respectively, in gain on disposition of assets related to the amendment and termination of lease agreements. For the six months ended June 30, 2023 and 2022, we recorded a gain of $192 and $469, respectively, in gain on disposition of assets related to the amendment and termination of lease agreements. Cash payments of $202,129 and $180,151 were made reducing our operating lease liabilities for the six months ended June 30, 2023 and 2022, respectively, and are included in cash flows provided by operating activities in the Condensed Consolidated Statements of Cash Flows.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$2,598 and $1,814 in direct advertising expenses (exclusive of depreciation and amortization) for these agreements during the three months ended June 30, 2023 and 2022, respectively. We recorded $5,008 and $3,551 in direct advertising expenses (exclusive of depreciation and amortization) for these agreements during the six months ended June 30, 2023 and 2022,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12.7 years. The weighted-average discount rate of our operating leases is 4.9%. Also, during the periods ended June 30, 2023 and 2022, we obtained $9,910 and $32,492,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maturities of our operating lease liabilities as of June 30, 2023:</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224,989</w:t>
            </w:r>
          </w:p>
        </w:tc>
      </w:tr>
      <w:tr>
        <w:trPr>
          <w:trHeight w:val="24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176,073</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150,071</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127,195</w:t>
            </w:r>
          </w:p>
        </w:tc>
      </w:tr>
      <w:tr>
        <w:trPr>
          <w:trHeight w:val="237"/>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921,598</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1,707,417</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(482,444)</w:t>
            </w:r>
          </w:p>
        </w:tc>
      </w:tr>
      <w:tr>
        <w:trPr>
          <w:trHeight w:val="261"/>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1,224,973</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months ended June 30, 2023 and 2022, $713 of amortization expense for each period and $127 and $137 of interest expense relating to our financing lease liabilities were recorded in depreciation and amortization and interest expense, respectively, in the Condensed Consolidated Statements of Income and Comprehensive Income. During the six months ended June 30, 2023 and 2022, $1,427 of amortization expense for each period and $257 and $277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each of the six months ended June 30, 2023 and 2022 and are included in cash flows used in financing activities in the Condensed Consolidated Statements of Cash Flows. Our financing leases have a weighted-average remaining lease term of 4.4 years and a weighted-average discount rate of 3.1%.</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Due to our election not to reassess conclusions about lease identification as part of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June 30, 2023 and 2022, non-lease variable transit payments were $20,320 and $24,241, respectively. For the six months ended June 30, 2023 and 2022, non-lease variable transit payments were $40,638 and $41,519,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transit expenses are recorded in direct advertising expenses (exclusive of depreciation and amortization) on the Condensed Consolidated Statements of Income and Comprehensive Income.</w:t>
      </w:r>
    </w:p>
    <w:p>
      <w:pPr>
        <w:spacing w:after="0" w:line="27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13,500 shares of its Class A common stock during the six months ended June 30, 2023. At June 30, 2023 a total of 1,728,045 shares were available for future grant.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auto"/>
        </w:rPr>
        <w:t>On May 30, 2019, our shareholders approved Lamar Advertising’s 2019 Employee Stock Purchase Plan (the “2019 ESPP”).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available under the 2019 ESPP was automatically increased by 87,327 shares on January 1, 2023 pursuant to the automatic increase provisions of the 2019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six months ended June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42"/>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301,971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40" w:type="dxa"/>
            <w:vAlign w:val="bottom"/>
          </w:tcPr>
          <w:p>
            <w:pPr>
              <w:jc w:val="right"/>
              <w:spacing w:after="0"/>
              <w:rPr>
                <w:sz w:val="20"/>
                <w:szCs w:val="20"/>
                <w:color w:val="auto"/>
              </w:rPr>
            </w:pPr>
            <w:r>
              <w:rPr>
                <w:rFonts w:ascii="Arial" w:cs="Arial" w:eastAsia="Arial" w:hAnsi="Arial"/>
                <w:sz w:val="18"/>
                <w:szCs w:val="18"/>
                <w:color w:val="auto"/>
              </w:rPr>
              <w:t>87,327</w:t>
            </w:r>
          </w:p>
        </w:tc>
      </w:tr>
      <w:tr>
        <w:trPr>
          <w:trHeight w:val="230"/>
        </w:trPr>
        <w:tc>
          <w:tcPr>
            <w:tcW w:w="9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Available for future purchases, June 30,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309,783</w:t>
            </w:r>
          </w:p>
        </w:tc>
      </w:tr>
      <w:tr>
        <w:trPr>
          <w:trHeight w:val="27"/>
        </w:trPr>
        <w:tc>
          <w:tcPr>
            <w:tcW w:w="9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Performance-based stock compensation. </w:t>
      </w:r>
      <w:r>
        <w:rPr>
          <w:rFonts w:ascii="Arial" w:cs="Arial" w:eastAsia="Arial" w:hAnsi="Arial"/>
          <w:sz w:val="16"/>
          <w:szCs w:val="16"/>
          <w:color w:val="auto"/>
        </w:rPr>
        <w:t>Unrestricted shares of our Class A common stock may be awarded to key officers, employees and directors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Incentive Plan. The number of shares to be issued, if any, will be dependent on the level of achievement of performance measures for key officers and employees, as determined by the Company’s Compensation Committee based on our 2023 results. Any shares issued based on the achievement of performance goals will be issued in the first quarter of 2024. The shares subject to these awards can range from a minimum of 0% to a maximum of 100% of the target number of shares depending on the level at which the goals are attained. For the three months ended June 30, 2023 and 2022, the Company recorded $1,855 and $5,959, respectively, as stock-based compensation expense related to performance-based awards. For the six months ended June 30, 2023 and 2022, the Company recorded $6,445 and $5,959, respectively, as stock-based compensation expense related to performance-based awards.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LTIP Units</w:t>
      </w:r>
      <w:r>
        <w:rPr>
          <w:rFonts w:ascii="Arial" w:cs="Arial" w:eastAsia="Arial" w:hAnsi="Arial"/>
          <w:sz w:val="17"/>
          <w:szCs w:val="17"/>
          <w:color w:val="auto"/>
        </w:rPr>
        <w:t>. In addition to performance-based stock compensation, the Company may issue LTIP Units of Lamar Advertising Limited Partnership (the</w:t>
      </w:r>
      <w:r>
        <w:rPr>
          <w:rFonts w:ascii="Arial" w:cs="Arial" w:eastAsia="Arial" w:hAnsi="Arial"/>
          <w:sz w:val="17"/>
          <w:szCs w:val="17"/>
          <w:i w:val="1"/>
          <w:iCs w:val="1"/>
          <w:color w:val="auto"/>
        </w:rPr>
        <w:t xml:space="preserve"> </w:t>
      </w:r>
      <w:r>
        <w:rPr>
          <w:rFonts w:ascii="Arial" w:cs="Arial" w:eastAsia="Arial" w:hAnsi="Arial"/>
          <w:sz w:val="17"/>
          <w:szCs w:val="17"/>
          <w:color w:val="auto"/>
        </w:rPr>
        <w:t>"OP"), a subsidiary of the Company, to certain officers, employees and directors under the Incentive Plan of the Company. Such LTIP Units are subject to vesting and forfeiture conditions based on performance criteria approved by the Compensation Committee, which mirrors the performance criteria applicable to the Company's performance-based stock compensation, as described above.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the June 30, 2023, the OP issued a total of 176,000 LTIP Units to the Company’s executive officers, of which 88,000 LTIP units have vested. For the three and six months ended June 30, 2023, the Company recorded $1,012 and $2,903, respectively, as stock-based compensation expense related to these LTIP Units.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Restricted stock compensation. </w:t>
      </w:r>
      <w:r>
        <w:rPr>
          <w:rFonts w:ascii="Arial" w:cs="Arial" w:eastAsia="Arial" w:hAnsi="Arial"/>
          <w:sz w:val="16"/>
          <w:szCs w:val="16"/>
          <w:color w:val="auto"/>
        </w:rPr>
        <w:t>Annually, each non-employee director automatically receives a restricted stock award of our Class A common stock upon</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or re-election. The awards vest 50% on grant date and 50% on the last day of the directors' one year term. For the three months ended June 30, 2023 and 2022, the Company recorded $419 and $369, respectively, in stock-based compensation expense related to these awards. For the six months ended June 30, 2023 and 2022, the Company recorded $520 and $429, respectively, in stock-based compensation expense related to these awards.</w:t>
      </w:r>
    </w:p>
    <w:p>
      <w:pPr>
        <w:spacing w:after="0" w:line="26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5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3"/>
              </w:rPr>
              <w:t>2022</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138,674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127,150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6,781</w:t>
            </w:r>
          </w:p>
        </w:tc>
      </w:tr>
      <w:tr>
        <w:trPr>
          <w:trHeight w:val="223"/>
        </w:trPr>
        <w:tc>
          <w:tcPr>
            <w:tcW w:w="56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136,377</w:t>
            </w:r>
          </w:p>
        </w:tc>
      </w:tr>
      <w:tr>
        <w:trPr>
          <w:trHeight w:val="21"/>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June 30, 2023 and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6"/>
                <w:szCs w:val="16"/>
                <w:color w:val="auto"/>
              </w:rPr>
            </w:pPr>
          </w:p>
        </w:tc>
        <w:tc>
          <w:tcPr>
            <w:tcW w:w="260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560" w:type="dxa"/>
            <w:vAlign w:val="bottom"/>
            <w:gridSpan w:val="3"/>
          </w:tcPr>
          <w:p>
            <w:pPr>
              <w:jc w:val="center"/>
              <w:ind w:right="150"/>
              <w:spacing w:after="0" w:line="147" w:lineRule="exact"/>
              <w:rPr>
                <w:sz w:val="20"/>
                <w:szCs w:val="20"/>
                <w:color w:val="auto"/>
              </w:rPr>
            </w:pPr>
            <w:r>
              <w:rPr>
                <w:rFonts w:ascii="Arial" w:cs="Arial" w:eastAsia="Arial" w:hAnsi="Arial"/>
                <w:sz w:val="14"/>
                <w:szCs w:val="14"/>
                <w:b w:val="1"/>
                <w:bCs w:val="1"/>
                <w:color w:val="auto"/>
                <w:w w:val="96"/>
              </w:rPr>
              <w:t>Life</w:t>
            </w:r>
          </w:p>
        </w:tc>
        <w:tc>
          <w:tcPr>
            <w:tcW w:w="1180" w:type="dxa"/>
            <w:vAlign w:val="bottom"/>
          </w:tcPr>
          <w:p>
            <w:pPr>
              <w:jc w:val="right"/>
              <w:ind w:right="96"/>
              <w:spacing w:after="0" w:line="147" w:lineRule="exact"/>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55"/>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76"/>
              <w:spacing w:after="0" w:line="147" w:lineRule="exact"/>
              <w:rPr>
                <w:sz w:val="20"/>
                <w:szCs w:val="20"/>
                <w:color w:val="auto"/>
              </w:rPr>
            </w:pPr>
            <w:r>
              <w:rPr>
                <w:rFonts w:ascii="Arial" w:cs="Arial" w:eastAsia="Arial" w:hAnsi="Arial"/>
                <w:sz w:val="14"/>
                <w:szCs w:val="14"/>
                <w:b w:val="1"/>
                <w:bCs w:val="1"/>
                <w:color w:val="auto"/>
                <w:w w:val="96"/>
              </w:rPr>
              <w:t>Gross Carrying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155"/>
              <w:spacing w:after="0" w:line="147"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(Years)</w:t>
            </w: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
        </w:trPr>
        <w:tc>
          <w:tcPr>
            <w:tcW w:w="422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721,635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627,803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720,051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614,840</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65,647</w:t>
            </w:r>
          </w:p>
        </w:tc>
        <w:tc>
          <w:tcPr>
            <w:tcW w:w="0" w:type="dxa"/>
            <w:vAlign w:val="bottom"/>
          </w:tcPr>
          <w:p>
            <w:pPr>
              <w:spacing w:after="0"/>
              <w:rPr>
                <w:sz w:val="1"/>
                <w:szCs w:val="1"/>
                <w:color w:val="auto"/>
              </w:rPr>
            </w:pPr>
          </w:p>
        </w:tc>
      </w:tr>
      <w:tr>
        <w:trPr>
          <w:trHeight w:val="237"/>
        </w:trPr>
        <w:tc>
          <w:tcPr>
            <w:tcW w:w="422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2,888,864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1,836,144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2,864,854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1,781,164</w:t>
            </w:r>
          </w:p>
        </w:tc>
        <w:tc>
          <w:tcPr>
            <w:tcW w:w="0" w:type="dxa"/>
            <w:vAlign w:val="bottom"/>
          </w:tcPr>
          <w:p>
            <w:pPr>
              <w:spacing w:after="0"/>
              <w:rPr>
                <w:sz w:val="1"/>
                <w:szCs w:val="1"/>
                <w:color w:val="auto"/>
              </w:rPr>
            </w:pPr>
          </w:p>
        </w:tc>
      </w:tr>
      <w:tr>
        <w:trPr>
          <w:trHeight w:val="236"/>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3,734,571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2,570,898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3,708,668</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2,502,043</w:t>
            </w: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2,288,809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2,288,805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ectPr>
          <w:pgSz w:w="11900" w:h="16838" w:orient="portrait"/>
          <w:cols w:equalWidth="0" w:num="1">
            <w:col w:w="11240"/>
          </w:cols>
          <w:pgMar w:left="320" w:top="449"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234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to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2343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Revision in estimates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Accretion expense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2343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646" w:hanging="646"/>
        <w:spacing w:after="0"/>
        <w:tabs>
          <w:tab w:leader="none" w:pos="6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390,442</w:t>
      </w:r>
    </w:p>
    <w:p>
      <w:pPr>
        <w:spacing w:after="0" w:line="47" w:lineRule="exact"/>
        <w:rPr>
          <w:rFonts w:ascii="Arial" w:cs="Arial" w:eastAsia="Arial" w:hAnsi="Arial"/>
          <w:sz w:val="17"/>
          <w:szCs w:val="17"/>
          <w:color w:val="auto"/>
        </w:rPr>
      </w:pPr>
    </w:p>
    <w:p>
      <w:pPr>
        <w:ind w:left="966"/>
        <w:spacing w:after="0"/>
        <w:rPr>
          <w:rFonts w:ascii="Arial" w:cs="Arial" w:eastAsia="Arial" w:hAnsi="Arial"/>
          <w:sz w:val="17"/>
          <w:szCs w:val="17"/>
          <w:color w:val="auto"/>
        </w:rPr>
      </w:pPr>
      <w:r>
        <w:rPr>
          <w:rFonts w:ascii="Arial" w:cs="Arial" w:eastAsia="Arial" w:hAnsi="Arial"/>
          <w:sz w:val="18"/>
          <w:szCs w:val="18"/>
          <w:color w:val="auto"/>
        </w:rPr>
        <w:t>667</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1,230</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3,565</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48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 w:lineRule="exact"/>
        <w:rPr>
          <w:sz w:val="20"/>
          <w:szCs w:val="20"/>
          <w:color w:val="auto"/>
        </w:rPr>
      </w:pPr>
    </w:p>
    <w:p>
      <w:pPr>
        <w:ind w:left="646" w:hanging="646"/>
        <w:spacing w:after="0"/>
        <w:tabs>
          <w:tab w:leader="none" w:pos="646" w:val="left"/>
        </w:tabs>
        <w:numPr>
          <w:ilvl w:val="0"/>
          <w:numId w:val="13"/>
        </w:numPr>
        <w:rPr>
          <w:rFonts w:ascii="Arial" w:cs="Arial" w:eastAsia="Arial" w:hAnsi="Arial"/>
          <w:sz w:val="17"/>
          <w:szCs w:val="17"/>
          <w:color w:val="auto"/>
        </w:rPr>
      </w:pPr>
      <w:r>
        <w:rPr>
          <w:rFonts w:ascii="Arial" w:cs="Arial" w:eastAsia="Arial" w:hAnsi="Arial"/>
          <w:sz w:val="17"/>
          <w:szCs w:val="17"/>
          <w:color w:val="auto"/>
        </w:rPr>
        <w:t>392,897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22225</wp:posOffset>
            </wp:positionV>
            <wp:extent cx="848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47625</wp:posOffset>
            </wp:positionV>
            <wp:extent cx="8483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94" w:space="720"/>
            <w:col w:w="1326"/>
          </w:cols>
          <w:pgMar w:left="320" w:top="449"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June 30, 2023 and December 31, 2022, Lamar Media was permitted under the terms of its outstanding notes to make transfers to Lamar Advertising in the form of cash dividends, loans or advances in amounts up to $4,272,023 and $4,187,593,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Lamar Media’s senior credit facility allows it to make transfers to Lamar Advertising in any taxable year up to the amount of Lamar Advertising’s taxable income (without any deduction for dividends paid). In addition, as of June 30, 2023,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2023, the total debt ratio was less than 7.0 to 1 and Lamar Media’s secured debt ratio was less than 4.5 to 1, and the available cumulative credit was $3,022,503.</w:t>
      </w:r>
    </w:p>
    <w:p>
      <w:pPr>
        <w:spacing w:after="0" w:line="30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six months ended June 30, 2023 or 2022.</w:t>
      </w:r>
    </w:p>
    <w:p>
      <w:pPr>
        <w:spacing w:after="0" w:line="29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June 30, 2023 and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June 30, 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39"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7"/>
              </w:rPr>
              <w:t>financing 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1,075,326</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234,900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234,401</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594,533</w:t>
            </w:r>
          </w:p>
        </w:tc>
        <w:tc>
          <w:tcPr>
            <w:tcW w:w="0" w:type="dxa"/>
            <w:vAlign w:val="bottom"/>
          </w:tcPr>
          <w:p>
            <w:pPr>
              <w:spacing w:after="0"/>
              <w:rPr>
                <w:sz w:val="1"/>
                <w:szCs w:val="1"/>
                <w:color w:val="auto"/>
              </w:rPr>
            </w:pPr>
          </w:p>
        </w:tc>
      </w:tr>
      <w:tr>
        <w:trPr>
          <w:trHeight w:val="237"/>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tcPr>
          <w:p>
            <w:pPr>
              <w:ind w:left="20"/>
              <w:spacing w:after="0"/>
              <w:rPr>
                <w:sz w:val="20"/>
                <w:szCs w:val="20"/>
                <w:color w:val="auto"/>
              </w:rPr>
            </w:pPr>
            <w:r>
              <w:rPr>
                <w:rFonts w:ascii="Arial" w:cs="Arial" w:eastAsia="Arial" w:hAnsi="Arial"/>
                <w:sz w:val="18"/>
                <w:szCs w:val="18"/>
                <w:color w:val="auto"/>
              </w:rPr>
              <w:t>5/8% Senior Notes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543,392</w:t>
            </w:r>
          </w:p>
        </w:tc>
        <w:tc>
          <w:tcPr>
            <w:tcW w:w="0" w:type="dxa"/>
            <w:vAlign w:val="bottom"/>
          </w:tcPr>
          <w:p>
            <w:pPr>
              <w:spacing w:after="0"/>
              <w:rPr>
                <w:sz w:val="1"/>
                <w:szCs w:val="1"/>
                <w:color w:val="auto"/>
              </w:rPr>
            </w:pPr>
          </w:p>
        </w:tc>
      </w:tr>
      <w:tr>
        <w:trPr>
          <w:trHeight w:val="23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543,405</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395,904</w:t>
            </w:r>
          </w:p>
        </w:tc>
        <w:tc>
          <w:tcPr>
            <w:tcW w:w="0" w:type="dxa"/>
            <w:vAlign w:val="bottom"/>
          </w:tcPr>
          <w:p>
            <w:pPr>
              <w:spacing w:after="0"/>
              <w:rPr>
                <w:sz w:val="1"/>
                <w:szCs w:val="1"/>
                <w:color w:val="auto"/>
              </w:rPr>
            </w:pPr>
          </w:p>
        </w:tc>
      </w:tr>
      <w:tr>
        <w:trPr>
          <w:trHeight w:val="23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3,418,298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3,388,786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(234,788)</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3,183,011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29,013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3,153,998</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94"/>
              <w:spacing w:after="0" w:line="129"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9"/>
        </w:trPr>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4"/>
              <w:spacing w:after="0" w:line="13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3"/>
              <w:spacing w:after="0"/>
              <w:rPr>
                <w:sz w:val="20"/>
                <w:szCs w:val="20"/>
                <w:color w:val="auto"/>
              </w:rPr>
            </w:pPr>
            <w:r>
              <w:rPr>
                <w:rFonts w:ascii="Arial" w:cs="Arial" w:eastAsia="Arial" w:hAnsi="Arial"/>
                <w:sz w:val="14"/>
                <w:szCs w:val="14"/>
                <w:b w:val="1"/>
                <w:bCs w:val="1"/>
                <w:color w:val="auto"/>
                <w:w w:val="87"/>
              </w:rPr>
              <w:t>financing costs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985,799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249,407</w:t>
            </w: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3 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543,018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542,978</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4 7/8% Senior Notes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395,590</w:t>
            </w: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3,345,420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3,312,805</w:t>
            </w: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(250,378)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3,063,020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senior secured Term B loan facility (the “Term B loans”) which will mature on February 6, 2027, (iii) a $350,000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Term SOFR plus 1.50%. Term B loans bearing interest at a rate based on the Adjusted Base Rate bear interest at a rate per annum equal to the Adjusted Base Rate plus 0.50%.</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with no required amortization payments prior to maturity and bear interest at rates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2023, Lamar Media entered into Amendment No. 3 (the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there were $133,000 in borrowings outstanding under the revolving credit facility. Availability under the revolving credit facility is reduced by the amount of any letters of credit outstanding. Lamar Media had $8,683 in letters of credit outstanding as of June 30, 2023 resulting in $608,317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18, 2018, Lamar Media entered into a $175,000 Receivable Financing Agreement (the “Receivable Financing Agreement”) with its wholly-owned special purpose entities, Lamar QRS Receivables, LLC and Lamar TRS Receivables, LLC</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there was $234,900 outstanding aggregate borrowings under the Accounts Receivable Securitization Program. Based on the availability of eligible accounts, Lamar Media had an additional $5,000 available for borrowing under the Accounts Receivable Securitization Program as of June 30, 2023. The commitment fees based on the amount of unused commitments under the Accounts Receivable Securitization Program were immaterial during the six months ended June 30, 2023.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 each holder’s 4% Notes at a price equal to 101% of the principal amount of the 4% Notes, plus accrued and unpaid interest, up to but not including the repurchase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June 30, 2023.</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2023 and December 31, 2022,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$3,159,472 which does not exceed the carrying amount of $3,418,298 as of June 30, 2023. The majority of the fair value is determined using observed prices of publicly traded debt (level 1 in the fair value hierarchy) and the remaining is valued based on quoted prices for similar debt (level 2 in the fair value hierarchy).</w:t>
      </w:r>
    </w:p>
    <w:p>
      <w:pPr>
        <w:spacing w:after="0" w:line="27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which provides guidance on the recognition and measurement of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The adoption of this guidance did not have a material impact on the Company's consolidated financial statements.</w:t>
      </w:r>
    </w:p>
    <w:p>
      <w:pPr>
        <w:spacing w:after="0" w:line="300"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June 30, 2023 and 2022, the Company declared and paid cash distributions in an aggregate amount of $127,538 or $1.25 per share and $121,808 or $1.20 per share, respectively. During the six months ended June 30, 2023 and 2022, the Company declared and paid cash distributions in an aggregate amount of $254,998 or $2.50 per share and $233,410 or $2.30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six months ended June 30, 2023 and 2022, the Company paid cash dividend distributions to holders of its Series AA Preferred Stock in an aggregate amount of $91 or $15.95 per share and $182 or $31.90 per share for each period, respectively.</w:t>
      </w:r>
    </w:p>
    <w:p>
      <w:pPr>
        <w:spacing w:after="0" w:line="290"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external customers attributable to foreign countries totaled $13,762 and $13,269 for the six months ended June 30, 2023 and 2022, respectively. Net carrying value of long-lived assets located in foreign countries totaled $13,786 and $11,763 as of June 30, 2023 and December 31, 2022, respectively. All other revenues from external customers and long-lived assets relate to domestic operations.</w:t>
      </w:r>
    </w:p>
    <w:p>
      <w:pPr>
        <w:spacing w:after="0" w:line="292"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Sales Agreement. </w:t>
      </w:r>
      <w:r>
        <w:rPr>
          <w:rFonts w:ascii="Arial" w:cs="Arial" w:eastAsia="Arial" w:hAnsi="Arial"/>
          <w:sz w:val="18"/>
          <w:szCs w:val="18"/>
          <w:color w:val="auto"/>
        </w:rPr>
        <w:t>On June 21, 2021, the Company entered into an equity distribution agreement (the "2021 Sales Agreement") with J.P. Morgan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no shares of our Class A common stock have been sold under the 2021 Sales Agreement and accordingly $400,000 remained available to be sold under the 2021 Sales Agreement as of June 30,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Shelf Registration. </w:t>
      </w:r>
      <w:r>
        <w:rPr>
          <w:rFonts w:ascii="Arial" w:cs="Arial" w:eastAsia="Arial" w:hAnsi="Arial"/>
          <w:sz w:val="18"/>
          <w:szCs w:val="18"/>
          <w:color w:val="auto"/>
        </w:rPr>
        <w:t>On June 21, 2021, the Company filed an automatically effective shelf registration statement that allows Lamar Advertising to offer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 an indeterminate amount of additional shares of its Class A common stock. During the six months ended June 30, 2023 and the year ended December 31, 2022, the Company did not issue any shares under this shelf registration.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On March 16, 2020, the Company’s Board of Directors authorized the repurchase of up to $250,000 of the Company’s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February 23, 2023, the Board of Directors authorized the extension of the repurchase program through September 30, 2024. There were no repurchases under the program as of June 30, 2023.</w:t>
      </w:r>
    </w:p>
    <w:p>
      <w:pPr>
        <w:spacing w:after="0" w:line="29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Subsequent Event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to time to time, one or more new incremental revolving facilities on the terms, and subject to the conditions, set forth therein.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rates, unused fees, guarantees, covenants, events of default and other material terms of the Fourth Amended and Restated Credit Agreement applicable to the revolving credit facility remain unchanged by Amendment No. 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52,119</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Receivables, net of allowance for doubtful accounts of $11,421 and $11,418 in 2023 and 2022, respectively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322,193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285,039</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35,311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26,894</w:t>
            </w:r>
          </w:p>
        </w:tc>
        <w:tc>
          <w:tcPr>
            <w:tcW w:w="0" w:type="dxa"/>
            <w:vAlign w:val="bottom"/>
          </w:tcPr>
          <w:p>
            <w:pPr>
              <w:spacing w:after="0"/>
              <w:rPr>
                <w:sz w:val="1"/>
                <w:szCs w:val="1"/>
                <w:color w:val="auto"/>
              </w:rPr>
            </w:pPr>
          </w:p>
        </w:tc>
      </w:tr>
      <w:tr>
        <w:trPr>
          <w:trHeight w:val="209"/>
        </w:trPr>
        <w:tc>
          <w:tcPr>
            <w:tcW w:w="798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404,783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364,052</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4,109,146</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(2,662,820)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(2,609,447)</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1,531,649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1,499,699</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1,286,390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1,271,631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right of use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2,025,121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2,025,117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1,163,205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1,206,158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6,504,301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6,458,472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17,184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19,643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Current maturities of long-term debt, net of deferred financing costs of $499 and $593 in 2023 and 2022, respectively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249,785</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Current operating 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185,647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205,838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financing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798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108,724</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131,847</w:t>
            </w:r>
          </w:p>
        </w:tc>
        <w:tc>
          <w:tcPr>
            <w:tcW w:w="0" w:type="dxa"/>
            <w:vAlign w:val="bottom"/>
          </w:tcPr>
          <w:p>
            <w:pPr>
              <w:spacing w:after="0"/>
              <w:rPr>
                <w:sz w:val="1"/>
                <w:szCs w:val="1"/>
                <w:color w:val="auto"/>
              </w:rPr>
            </w:pPr>
          </w:p>
        </w:tc>
      </w:tr>
      <w:tr>
        <w:trPr>
          <w:trHeight w:val="210"/>
        </w:trPr>
        <w:tc>
          <w:tcPr>
            <w:tcW w:w="798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689,004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717,168</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costs of $29,013 and $32,022 in 2023 and 2022, respectively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3,153,998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3,063,020</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1,039,326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1,035,655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9,651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390,442</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39,090</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5,341,254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5,270,971</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Common stock, par value $0.01, 3,000 shares authorized, 100 shares issued and outstanding at 2023 and 2022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3,160,907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3,132,178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comprehensive loss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(1,998,057)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(1,944,018)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1,163,047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1,187,501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6,504,301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6,458,472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541,137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517,852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1,012,469</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969,240</w:t>
            </w:r>
          </w:p>
        </w:tc>
        <w:tc>
          <w:tcPr>
            <w:tcW w:w="0" w:type="dxa"/>
            <w:vAlign w:val="bottom"/>
          </w:tcPr>
          <w:p>
            <w:pPr>
              <w:spacing w:after="0"/>
              <w:rPr>
                <w:sz w:val="1"/>
                <w:szCs w:val="1"/>
                <w:color w:val="auto"/>
              </w:rPr>
            </w:pPr>
          </w:p>
        </w:tc>
      </w:tr>
      <w:tr>
        <w:trPr>
          <w:trHeight w:val="229"/>
        </w:trPr>
        <w:tc>
          <w:tcPr>
            <w:tcW w:w="5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340,215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324,495</w:t>
            </w: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90,525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90,658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175,660</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173,742</w:t>
            </w: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56,838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49,357</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148,283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136,377</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Gain on disposition of assets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4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364,237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351,238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716,632</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682,034</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295,837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287,206</w:t>
            </w: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56,279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in earnings of investee</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212,309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232,522</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207,331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226,602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130,729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134,315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206,906</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226,602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Statements of Comprehensive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130,997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134,315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207,331</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226,602</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226,233</w:t>
            </w: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Earnings attributable to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207,307</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980" w:type="dxa"/>
            <w:vAlign w:val="bottom"/>
            <w:vMerge w:val="restart"/>
          </w:tcPr>
          <w:p>
            <w:pPr>
              <w:jc w:val="center"/>
              <w:ind w:left="217"/>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Non-controlling</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4"/>
              <w:spacing w:after="0" w:line="13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980" w:type="dxa"/>
            <w:vAlign w:val="bottom"/>
          </w:tcPr>
          <w:p>
            <w:pPr>
              <w:jc w:val="center"/>
              <w:ind w:left="237"/>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1,187,501</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Reallocation of capital</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76,334</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(2,001,247)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1,153,041</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130,729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130,997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3,160,907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(1,998,057)</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1,163,047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2860" w:type="dxa"/>
            <w:vAlign w:val="bottom"/>
          </w:tcPr>
          <w:p>
            <w:pPr>
              <w:spacing w:after="0"/>
              <w:rPr>
                <w:sz w:val="24"/>
                <w:szCs w:val="24"/>
                <w:color w:val="auto"/>
              </w:rPr>
            </w:pPr>
          </w:p>
        </w:tc>
        <w:tc>
          <w:tcPr>
            <w:tcW w:w="980" w:type="dxa"/>
            <w:vAlign w:val="bottom"/>
            <w:vMerge w:val="restart"/>
          </w:tcPr>
          <w:p>
            <w:pPr>
              <w:jc w:val="center"/>
              <w:ind w:left="217"/>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Non-controlling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4"/>
              <w:spacing w:after="0" w:line="14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17"/>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2021</w:t>
            </w:r>
          </w:p>
        </w:tc>
        <w:tc>
          <w:tcPr>
            <w:tcW w:w="980" w:type="dxa"/>
            <w:vAlign w:val="bottom"/>
            <w:tcBorders>
              <w:top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3,071,905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(1,864,414)</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1,208,346</w:t>
            </w:r>
          </w:p>
        </w:tc>
        <w:tc>
          <w:tcPr>
            <w:tcW w:w="0" w:type="dxa"/>
            <w:vAlign w:val="bottom"/>
          </w:tcPr>
          <w:p>
            <w:pPr>
              <w:spacing w:after="0"/>
              <w:rPr>
                <w:sz w:val="1"/>
                <w:szCs w:val="1"/>
                <w:color w:val="auto"/>
              </w:rPr>
            </w:pPr>
          </w:p>
        </w:tc>
      </w:tr>
      <w:tr>
        <w:trPr>
          <w:trHeight w:val="237"/>
        </w:trPr>
        <w:tc>
          <w:tcPr>
            <w:tcW w:w="28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36,447</w:t>
            </w:r>
          </w:p>
        </w:tc>
        <w:tc>
          <w:tcPr>
            <w:tcW w:w="0" w:type="dxa"/>
            <w:vAlign w:val="bottom"/>
          </w:tcPr>
          <w:p>
            <w:pPr>
              <w:spacing w:after="0"/>
              <w:rPr>
                <w:sz w:val="1"/>
                <w:szCs w:val="1"/>
                <w:color w:val="auto"/>
              </w:rPr>
            </w:pPr>
          </w:p>
        </w:tc>
      </w:tr>
      <w:tr>
        <w:trPr>
          <w:trHeight w:val="236"/>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(122,047)</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(122,047)</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3,108,352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(1,894,174)</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1,215,347</w:t>
            </w:r>
          </w:p>
        </w:tc>
        <w:tc>
          <w:tcPr>
            <w:tcW w:w="0" w:type="dxa"/>
            <w:vAlign w:val="bottom"/>
          </w:tcPr>
          <w:p>
            <w:pPr>
              <w:spacing w:after="0"/>
              <w:rPr>
                <w:sz w:val="1"/>
                <w:szCs w:val="1"/>
                <w:color w:val="auto"/>
              </w:rPr>
            </w:pPr>
          </w:p>
        </w:tc>
      </w:tr>
      <w:tr>
        <w:trPr>
          <w:trHeight w:val="229"/>
        </w:trPr>
        <w:tc>
          <w:tcPr>
            <w:tcW w:w="28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9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134,315</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(121,809)</w:t>
            </w: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June 30, 2022</w:t>
            </w:r>
          </w:p>
        </w:tc>
        <w:tc>
          <w:tcPr>
            <w:tcW w:w="980" w:type="dxa"/>
            <w:vAlign w:val="bottom"/>
            <w:shd w:val="clear" w:color="auto" w:fill="CFF0FC"/>
          </w:tcPr>
          <w:p>
            <w:pPr>
              <w:jc w:val="right"/>
              <w:ind w:right="7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3,112,934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(1,881,668)</w:t>
            </w:r>
          </w:p>
        </w:tc>
        <w:tc>
          <w:tcPr>
            <w:tcW w:w="2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1,231,752</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4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2022</w:t>
            </w:r>
          </w:p>
        </w:tc>
      </w:tr>
      <w:tr>
        <w:trPr>
          <w:trHeight w:val="25"/>
        </w:trPr>
        <w:tc>
          <w:tcPr>
            <w:tcW w:w="8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6"/>
        </w:trPr>
        <w:tc>
          <w:tcPr>
            <w:tcW w:w="84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0"/>
        </w:trPr>
        <w:tc>
          <w:tcPr>
            <w:tcW w:w="846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207,331</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226,602</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148,283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136,377</w:t>
            </w:r>
          </w:p>
        </w:tc>
      </w:tr>
      <w:tr>
        <w:trPr>
          <w:trHeight w:val="177"/>
        </w:trPr>
        <w:tc>
          <w:tcPr>
            <w:tcW w:w="8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Non-cash compensation</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12,446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9,223</w:t>
            </w: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2,950</w:t>
            </w:r>
          </w:p>
        </w:tc>
      </w:tr>
      <w:tr>
        <w:trPr>
          <w:trHeight w:val="183"/>
        </w:trPr>
        <w:tc>
          <w:tcPr>
            <w:tcW w:w="84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r>
      <w:tr>
        <w:trPr>
          <w:trHeight w:val="160"/>
        </w:trPr>
        <w:tc>
          <w:tcPr>
            <w:tcW w:w="8460" w:type="dxa"/>
            <w:vAlign w:val="bottom"/>
          </w:tcPr>
          <w:p>
            <w:pPr>
              <w:ind w:left="460"/>
              <w:spacing w:after="0"/>
              <w:rPr>
                <w:sz w:val="20"/>
                <w:szCs w:val="20"/>
                <w:color w:val="auto"/>
              </w:rPr>
            </w:pPr>
            <w:r>
              <w:rPr>
                <w:rFonts w:ascii="Arial" w:cs="Arial" w:eastAsia="Arial" w:hAnsi="Arial"/>
                <w:sz w:val="13"/>
                <w:szCs w:val="13"/>
                <w:color w:val="auto"/>
              </w:rPr>
              <w:t>Equity in earnings of investee</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(1,101)</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84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tax (benefit) expense</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Provision for doubtful accounts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4,368</w:t>
            </w:r>
          </w:p>
        </w:tc>
      </w:tr>
      <w:tr>
        <w:trPr>
          <w:trHeight w:val="17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Increase in:</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Receivables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(42,589)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(36,153)</w:t>
            </w:r>
          </w:p>
        </w:tc>
      </w:tr>
      <w:tr>
        <w:trPr>
          <w:trHeight w:val="160"/>
        </w:trPr>
        <w:tc>
          <w:tcPr>
            <w:tcW w:w="8460" w:type="dxa"/>
            <w:vAlign w:val="bottom"/>
          </w:tcPr>
          <w:p>
            <w:pPr>
              <w:ind w:left="680"/>
              <w:spacing w:after="0"/>
              <w:rPr>
                <w:sz w:val="20"/>
                <w:szCs w:val="20"/>
                <w:color w:val="auto"/>
              </w:rPr>
            </w:pPr>
            <w:r>
              <w:rPr>
                <w:rFonts w:ascii="Arial" w:cs="Arial" w:eastAsia="Arial" w:hAnsi="Arial"/>
                <w:sz w:val="13"/>
                <w:szCs w:val="13"/>
                <w:color w:val="auto"/>
              </w:rPr>
              <w:t>Prepaid expenses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(5,453)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(5,513)</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84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Other assets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(2,581)</w:t>
            </w:r>
          </w:p>
        </w:tc>
      </w:tr>
      <w:tr>
        <w:trPr>
          <w:trHeight w:val="168"/>
        </w:trPr>
        <w:tc>
          <w:tcPr>
            <w:tcW w:w="8460" w:type="dxa"/>
            <w:vAlign w:val="bottom"/>
          </w:tcPr>
          <w:p>
            <w:pPr>
              <w:ind w:left="460"/>
              <w:spacing w:after="0"/>
              <w:rPr>
                <w:sz w:val="20"/>
                <w:szCs w:val="20"/>
                <w:color w:val="auto"/>
              </w:rPr>
            </w:pPr>
            <w:r>
              <w:rPr>
                <w:rFonts w:ascii="Arial" w:cs="Arial" w:eastAsia="Arial" w:hAnsi="Arial"/>
                <w:sz w:val="13"/>
                <w:szCs w:val="13"/>
                <w:color w:val="auto"/>
              </w:rPr>
              <w:t>(Decrease) increase in:</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Trade 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(995)</w:t>
            </w:r>
          </w:p>
        </w:tc>
      </w:tr>
      <w:tr>
        <w:trPr>
          <w:trHeight w:val="168"/>
        </w:trPr>
        <w:tc>
          <w:tcPr>
            <w:tcW w:w="8460" w:type="dxa"/>
            <w:vAlign w:val="bottom"/>
          </w:tcPr>
          <w:p>
            <w:pPr>
              <w:ind w:left="680"/>
              <w:spacing w:after="0"/>
              <w:rPr>
                <w:sz w:val="20"/>
                <w:szCs w:val="20"/>
                <w:color w:val="auto"/>
              </w:rPr>
            </w:pPr>
            <w:r>
              <w:rPr>
                <w:rFonts w:ascii="Arial" w:cs="Arial" w:eastAsia="Arial" w:hAnsi="Arial"/>
                <w:sz w:val="13"/>
                <w:szCs w:val="13"/>
                <w:color w:val="auto"/>
              </w:rPr>
              <w:t>Accrued expenses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(16,531)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(15,086)</w:t>
            </w:r>
          </w:p>
        </w:tc>
      </w:tr>
      <w:tr>
        <w:trPr>
          <w:trHeight w:val="183"/>
        </w:trPr>
        <w:tc>
          <w:tcPr>
            <w:tcW w:w="84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lease liabilities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(30,656)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(21,780)</w:t>
            </w:r>
          </w:p>
        </w:tc>
      </w:tr>
      <w:tr>
        <w:trPr>
          <w:trHeight w:val="160"/>
        </w:trPr>
        <w:tc>
          <w:tcPr>
            <w:tcW w:w="8460" w:type="dxa"/>
            <w:vAlign w:val="bottom"/>
          </w:tcPr>
          <w:p>
            <w:pPr>
              <w:ind w:left="680"/>
              <w:spacing w:after="0"/>
              <w:rPr>
                <w:sz w:val="20"/>
                <w:szCs w:val="20"/>
                <w:color w:val="auto"/>
              </w:rPr>
            </w:pPr>
            <w:r>
              <w:rPr>
                <w:rFonts w:ascii="Arial" w:cs="Arial" w:eastAsia="Arial" w:hAnsi="Arial"/>
                <w:sz w:val="13"/>
                <w:szCs w:val="13"/>
                <w:color w:val="auto"/>
              </w:rPr>
              <w:t>Other liabilities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14,423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(16,266)</w:t>
            </w:r>
          </w:p>
        </w:tc>
      </w:tr>
      <w:tr>
        <w:trPr>
          <w:trHeight w:val="29"/>
        </w:trPr>
        <w:tc>
          <w:tcPr>
            <w:tcW w:w="8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60" w:type="dxa"/>
            <w:vAlign w:val="bottom"/>
            <w:tcBorders>
              <w:bottom w:val="single" w:sz="8" w:color="CCEEFF"/>
            </w:tcBorders>
            <w:shd w:val="clear" w:color="auto" w:fill="CCEEFF"/>
          </w:tcPr>
          <w:p>
            <w:pPr>
              <w:ind w:left="100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284,639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279,320</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(42,122)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(234,292)</w:t>
            </w:r>
          </w:p>
        </w:tc>
      </w:tr>
      <w:tr>
        <w:trPr>
          <w:trHeight w:val="160"/>
        </w:trPr>
        <w:tc>
          <w:tcPr>
            <w:tcW w:w="846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(93,007)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(75,802)</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1"/>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5,120</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r>
      <w:tr>
        <w:trPr>
          <w:trHeight w:val="155"/>
        </w:trPr>
        <w:tc>
          <w:tcPr>
            <w:tcW w:w="8460" w:type="dxa"/>
            <w:vAlign w:val="bottom"/>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(130,009)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(308,378)</w:t>
            </w:r>
          </w:p>
        </w:tc>
      </w:tr>
      <w:tr>
        <w:trPr>
          <w:trHeight w:val="29"/>
        </w:trPr>
        <w:tc>
          <w:tcPr>
            <w:tcW w:w="8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9"/>
        </w:trPr>
        <w:tc>
          <w:tcPr>
            <w:tcW w:w="846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(110,000)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(240,000)</w:t>
            </w:r>
          </w:p>
        </w:tc>
      </w:tr>
      <w:tr>
        <w:trPr>
          <w:trHeight w:val="17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198,000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400,000</w:t>
            </w: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31,900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65,000</w:t>
            </w:r>
          </w:p>
        </w:tc>
      </w:tr>
      <w:tr>
        <w:trPr>
          <w:trHeight w:val="183"/>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(47,000)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460" w:type="dxa"/>
            <w:vAlign w:val="bottom"/>
          </w:tcPr>
          <w:p>
            <w:pPr>
              <w:ind w:left="220"/>
              <w:spacing w:after="0"/>
              <w:rPr>
                <w:sz w:val="20"/>
                <w:szCs w:val="20"/>
                <w:color w:val="auto"/>
              </w:rPr>
            </w:pPr>
            <w:r>
              <w:rPr>
                <w:rFonts w:ascii="Arial" w:cs="Arial" w:eastAsia="Arial" w:hAnsi="Arial"/>
                <w:sz w:val="13"/>
                <w:szCs w:val="13"/>
                <w:color w:val="auto"/>
              </w:rPr>
              <w:t>Debt issuance costs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84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8"/>
        </w:trPr>
        <w:tc>
          <w:tcPr>
            <w:tcW w:w="8460" w:type="dxa"/>
            <w:vAlign w:val="bottom"/>
          </w:tcPr>
          <w:p>
            <w:pPr>
              <w:ind w:left="220"/>
              <w:spacing w:after="0"/>
              <w:rPr>
                <w:sz w:val="20"/>
                <w:szCs w:val="20"/>
                <w:color w:val="auto"/>
              </w:rPr>
            </w:pPr>
            <w:r>
              <w:rPr>
                <w:rFonts w:ascii="Arial" w:cs="Arial" w:eastAsia="Arial" w:hAnsi="Arial"/>
                <w:sz w:val="13"/>
                <w:szCs w:val="13"/>
                <w:color w:val="auto"/>
              </w:rPr>
              <w:t>Contributions from parent</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29,745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41,029</w:t>
            </w:r>
          </w:p>
        </w:tc>
      </w:tr>
      <w:tr>
        <w:trPr>
          <w:trHeight w:val="197"/>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Dividend to parent</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(260,945)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(243,856)</w:t>
            </w:r>
          </w:p>
        </w:tc>
      </w:tr>
      <w:tr>
        <w:trPr>
          <w:trHeight w:val="163"/>
        </w:trPr>
        <w:tc>
          <w:tcPr>
            <w:tcW w:w="8460" w:type="dxa"/>
            <w:vAlign w:val="bottom"/>
          </w:tcPr>
          <w:p>
            <w:pPr>
              <w:ind w:left="1000"/>
              <w:spacing w:after="0" w:line="141" w:lineRule="exact"/>
              <w:rPr>
                <w:sz w:val="20"/>
                <w:szCs w:val="20"/>
                <w:color w:val="auto"/>
              </w:rPr>
            </w:pPr>
            <w:r>
              <w:rPr>
                <w:rFonts w:ascii="Arial" w:cs="Arial" w:eastAsia="Arial" w:hAnsi="Arial"/>
                <w:sz w:val="13"/>
                <w:szCs w:val="13"/>
                <w:color w:val="auto"/>
              </w:rPr>
              <w:t>Net cash (used in) provided by financing activities</w:t>
            </w:r>
          </w:p>
        </w:tc>
        <w:tc>
          <w:tcPr>
            <w:tcW w:w="7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(159,546)</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21,027</w:t>
            </w:r>
          </w:p>
        </w:tc>
      </w:tr>
      <w:tr>
        <w:trPr>
          <w:trHeight w:val="169"/>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60"/>
        </w:trPr>
        <w:tc>
          <w:tcPr>
            <w:tcW w:w="8460" w:type="dxa"/>
            <w:vAlign w:val="bottom"/>
          </w:tcPr>
          <w:p>
            <w:pPr>
              <w:ind w:left="1000"/>
              <w:spacing w:after="0"/>
              <w:rPr>
                <w:sz w:val="20"/>
                <w:szCs w:val="20"/>
                <w:color w:val="auto"/>
              </w:rPr>
            </w:pPr>
            <w:r>
              <w:rPr>
                <w:rFonts w:ascii="Arial" w:cs="Arial" w:eastAsia="Arial" w:hAnsi="Arial"/>
                <w:sz w:val="13"/>
                <w:szCs w:val="13"/>
                <w:color w:val="auto"/>
              </w:rPr>
              <w:t>Net decrease in cash and cash equivalents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(4,840)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(8,102)</w:t>
            </w:r>
          </w:p>
        </w:tc>
      </w:tr>
      <w:tr>
        <w:trPr>
          <w:trHeight w:val="29"/>
        </w:trPr>
        <w:tc>
          <w:tcPr>
            <w:tcW w:w="8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9"/>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52,119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99,288</w:t>
            </w:r>
          </w:p>
        </w:tc>
      </w:tr>
      <w:tr>
        <w:trPr>
          <w:trHeight w:val="169"/>
        </w:trPr>
        <w:tc>
          <w:tcPr>
            <w:tcW w:w="8460" w:type="dxa"/>
            <w:vAlign w:val="bottom"/>
          </w:tcPr>
          <w:p>
            <w:pPr>
              <w:ind w:left="220"/>
              <w:spacing w:after="0"/>
              <w:rPr>
                <w:sz w:val="20"/>
                <w:szCs w:val="20"/>
                <w:color w:val="auto"/>
              </w:rPr>
            </w:pPr>
            <w:r>
              <w:rPr>
                <w:rFonts w:ascii="Arial" w:cs="Arial" w:eastAsia="Arial" w:hAnsi="Arial"/>
                <w:sz w:val="13"/>
                <w:szCs w:val="13"/>
                <w:color w:val="auto"/>
              </w:rPr>
              <w:t>Cash and cash equivalents at end of period</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47,279</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91,186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846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r>
      <w:tr>
        <w:trPr>
          <w:trHeight w:val="169"/>
        </w:trPr>
        <w:tc>
          <w:tcPr>
            <w:tcW w:w="8460" w:type="dxa"/>
            <w:vAlign w:val="bottom"/>
          </w:tcPr>
          <w:p>
            <w:pPr>
              <w:ind w:left="220"/>
              <w:spacing w:after="0"/>
              <w:rPr>
                <w:sz w:val="20"/>
                <w:szCs w:val="20"/>
                <w:color w:val="auto"/>
              </w:rPr>
            </w:pPr>
            <w:r>
              <w:rPr>
                <w:rFonts w:ascii="Arial" w:cs="Arial" w:eastAsia="Arial" w:hAnsi="Arial"/>
                <w:sz w:val="13"/>
                <w:szCs w:val="13"/>
                <w:color w:val="auto"/>
              </w:rPr>
              <w:t>Cash paid for interest</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81,882</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53,149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8460" w:type="dxa"/>
            <w:vAlign w:val="bottom"/>
            <w:tcBorders>
              <w:bottom w:val="single" w:sz="8" w:color="CCEEFF"/>
            </w:tcBorders>
            <w:shd w:val="clear" w:color="auto" w:fill="CCEEFF"/>
          </w:tcPr>
          <w:p>
            <w:pPr>
              <w:ind w:left="220"/>
              <w:spacing w:after="0" w:line="140" w:lineRule="exact"/>
              <w:rPr>
                <w:sz w:val="20"/>
                <w:szCs w:val="20"/>
                <w:color w:val="auto"/>
              </w:rPr>
            </w:pPr>
            <w:r>
              <w:rPr>
                <w:rFonts w:ascii="Arial" w:cs="Arial" w:eastAsia="Arial" w:hAnsi="Arial"/>
                <w:sz w:val="13"/>
                <w:szCs w:val="13"/>
                <w:color w:val="auto"/>
              </w:rPr>
              <w:t>Cash paid for foreign, state and federal income taxes</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319"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2022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14, 15 and 16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9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Lamar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4"/>
              <w:spacing w:after="0" w:line="13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Media 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3,171,312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3,188,326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4,586,262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(5,090,572)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4,623,088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6,363,084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608,701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(5,090,572)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6,504,301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392,602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269,460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347,323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(576,183)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1,844,406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5,341,254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1,162,592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4,518,678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(4,514,389)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4,623,088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6,363,084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(5,090,572)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6,504,301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Balance Sheet as of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3"/>
              <w:spacing w:after="0" w:line="13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36,667</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287,556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364,052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1,483,395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1,499,699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1,252,414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1,271,631</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3,214,284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3,231,275</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4,514,221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325,052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250,056</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(4,997,514)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91,815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4,554,050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6,311,812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590,124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(4,997,514)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6,458,472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249,407</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249,785</w:t>
            </w:r>
          </w:p>
        </w:tc>
        <w:tc>
          <w:tcPr>
            <w:tcW w:w="0" w:type="dxa"/>
            <w:vAlign w:val="bottom"/>
          </w:tcPr>
          <w:p>
            <w:pPr>
              <w:spacing w:after="0"/>
              <w:rPr>
                <w:sz w:val="1"/>
                <w:szCs w:val="1"/>
                <w:color w:val="auto"/>
              </w:rPr>
            </w:pPr>
          </w:p>
        </w:tc>
      </w:tr>
      <w:tr>
        <w:trPr>
          <w:trHeight w:val="237"/>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205,838</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222,871</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261,545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421,569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272,239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717,168</w:t>
            </w: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3,061,385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3,063,020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1,025,385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1,035,655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281,804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418,163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301,957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(546,796)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455,128</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3,366,549</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1,866,752</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584,466</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(546,796)</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5,270,971</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1,187,501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4,445,060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(4,450,718)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1,187,501</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4,554,050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6,311,812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590,124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(4,997,514)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6,458,472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Consolidating Statements of Income and Comprehensive Income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June 30, 2023</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Statement of Income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 (income)</w:t>
      </w:r>
    </w:p>
    <w:p>
      <w:pPr>
        <w:ind w:left="220"/>
        <w:spacing w:after="0" w:line="209" w:lineRule="auto"/>
        <w:rPr>
          <w:sz w:val="20"/>
          <w:szCs w:val="20"/>
          <w:color w:val="auto"/>
        </w:rPr>
      </w:pPr>
      <w:r>
        <w:rPr>
          <w:rFonts w:ascii="Arial" w:cs="Arial" w:eastAsia="Arial" w:hAnsi="Arial"/>
          <w:sz w:val="18"/>
          <w:szCs w:val="18"/>
          <w:color w:val="auto"/>
        </w:rPr>
        <w:t>Direct advertising expenses</w:t>
      </w:r>
      <w:r>
        <w:rPr>
          <w:rFonts w:ascii="Arial" w:cs="Arial" w:eastAsia="Arial" w:hAnsi="Arial"/>
          <w:sz w:val="28"/>
          <w:szCs w:val="28"/>
          <w:color w:val="auto"/>
          <w:vertAlign w:val="superscript"/>
        </w:rPr>
        <w:t>(1)</w:t>
      </w:r>
    </w:p>
    <w:p>
      <w:pPr>
        <w:ind w:left="220"/>
        <w:spacing w:after="0" w:line="208" w:lineRule="auto"/>
        <w:rPr>
          <w:sz w:val="20"/>
          <w:szCs w:val="20"/>
          <w:color w:val="auto"/>
        </w:rPr>
      </w:pPr>
      <w:r>
        <w:rPr>
          <w:rFonts w:ascii="Arial" w:cs="Arial" w:eastAsia="Arial" w:hAnsi="Arial"/>
          <w:sz w:val="15"/>
          <w:szCs w:val="15"/>
          <w:color w:val="auto"/>
        </w:rPr>
        <w:t>General and administrative expenses</w:t>
      </w:r>
      <w:r>
        <w:rPr>
          <w:rFonts w:ascii="Arial" w:cs="Arial" w:eastAsia="Arial" w:hAnsi="Arial"/>
          <w:sz w:val="23"/>
          <w:szCs w:val="23"/>
          <w:color w:val="auto"/>
          <w:vertAlign w:val="superscript"/>
        </w:rPr>
        <w:t>(1)</w:t>
      </w:r>
    </w:p>
    <w:p>
      <w:pPr>
        <w:ind w:left="220"/>
        <w:spacing w:after="0" w:line="184" w:lineRule="auto"/>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Lamar Media Corp.</w:t>
            </w: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gridSpan w:val="4"/>
            <w:vMerge w:val="continue"/>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530,670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541,137</w:t>
            </w: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164,647</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171,783</w:t>
            </w: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90,525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28,447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-890905</wp:posOffset>
            </wp:positionV>
            <wp:extent cx="709803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-591185</wp:posOffset>
            </wp:positionV>
            <wp:extent cx="709803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-290830</wp:posOffset>
            </wp:positionV>
            <wp:extent cx="709803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00" w:space="720"/>
            <w:col w:w="700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353,433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364,237</w:t>
            </w: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177,237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176,900</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of investee</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line="230" w:lineRule="exact"/>
              <w:rPr>
                <w:sz w:val="20"/>
                <w:szCs w:val="20"/>
                <w:color w:val="auto"/>
              </w:rPr>
            </w:pPr>
            <w:r>
              <w:rPr>
                <w:rFonts w:ascii="Arial" w:cs="Arial" w:eastAsia="Arial" w:hAnsi="Arial"/>
                <w:sz w:val="17"/>
                <w:szCs w:val="17"/>
                <w:color w:val="auto"/>
              </w:rPr>
              <w:t>Income tax expense</w:t>
            </w:r>
            <w:r>
              <w:rPr>
                <w:rFonts w:ascii="Arial" w:cs="Arial" w:eastAsia="Arial" w:hAnsi="Arial"/>
                <w:sz w:val="26"/>
                <w:szCs w:val="26"/>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Comprehensive income (loss) attributable to controlling</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130,729</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174,949</w:t>
            </w:r>
          </w:p>
        </w:tc>
        <w:tc>
          <w:tcPr>
            <w:tcW w:w="5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131,132</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w:t>
            </w:r>
          </w:p>
        </w:tc>
        <w:tc>
          <w:tcPr>
            <w:tcW w:w="3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ind w:right="48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right"/>
        <w:ind w:right="47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Consolidating Statements of Income and Comprehensive Income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June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left="740"/>
        <w:spacing w:after="0"/>
        <w:rPr>
          <w:sz w:val="20"/>
          <w:szCs w:val="20"/>
          <w:color w:val="auto"/>
        </w:rPr>
      </w:pPr>
      <w:r>
        <w:rPr>
          <w:rFonts w:ascii="Arial" w:cs="Arial" w:eastAsia="Arial" w:hAnsi="Arial"/>
          <w:sz w:val="17"/>
          <w:szCs w:val="17"/>
          <w:b w:val="1"/>
          <w:bCs w:val="1"/>
          <w:color w:val="auto"/>
        </w:rPr>
        <w:t>Statement of Income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(income)</w:t>
      </w:r>
    </w:p>
    <w:p>
      <w:pPr>
        <w:ind w:left="180"/>
        <w:spacing w:after="0" w:line="209" w:lineRule="auto"/>
        <w:rPr>
          <w:sz w:val="20"/>
          <w:szCs w:val="20"/>
          <w:color w:val="auto"/>
        </w:rPr>
      </w:pPr>
      <w:r>
        <w:rPr>
          <w:rFonts w:ascii="Arial" w:cs="Arial" w:eastAsia="Arial" w:hAnsi="Arial"/>
          <w:sz w:val="18"/>
          <w:szCs w:val="18"/>
          <w:color w:val="auto"/>
        </w:rPr>
        <w:t>Direct advertising expenses</w:t>
      </w:r>
      <w:r>
        <w:rPr>
          <w:rFonts w:ascii="Arial" w:cs="Arial" w:eastAsia="Arial" w:hAnsi="Arial"/>
          <w:sz w:val="28"/>
          <w:szCs w:val="28"/>
          <w:color w:val="auto"/>
          <w:vertAlign w:val="superscript"/>
        </w:rPr>
        <w:t>(1)</w:t>
      </w:r>
    </w:p>
    <w:p>
      <w:pPr>
        <w:ind w:left="180"/>
        <w:spacing w:after="0" w:line="208" w:lineRule="auto"/>
        <w:rPr>
          <w:sz w:val="20"/>
          <w:szCs w:val="20"/>
          <w:color w:val="auto"/>
        </w:rPr>
      </w:pPr>
      <w:r>
        <w:rPr>
          <w:rFonts w:ascii="Arial" w:cs="Arial" w:eastAsia="Arial" w:hAnsi="Arial"/>
          <w:sz w:val="15"/>
          <w:szCs w:val="15"/>
          <w:color w:val="auto"/>
        </w:rPr>
        <w:t>General and administrative expenses</w:t>
      </w:r>
      <w:r>
        <w:rPr>
          <w:rFonts w:ascii="Arial" w:cs="Arial" w:eastAsia="Arial" w:hAnsi="Arial"/>
          <w:sz w:val="23"/>
          <w:szCs w:val="23"/>
          <w:color w:val="auto"/>
          <w:vertAlign w:val="superscript"/>
        </w:rPr>
        <w:t>(1)</w:t>
      </w:r>
    </w:p>
    <w:p>
      <w:pPr>
        <w:ind w:left="180"/>
        <w:spacing w:after="0" w:line="184" w:lineRule="auto"/>
        <w:rPr>
          <w:sz w:val="20"/>
          <w:szCs w:val="20"/>
          <w:color w:val="auto"/>
        </w:rPr>
      </w:pPr>
      <w:r>
        <w:rPr>
          <w:rFonts w:ascii="Arial" w:cs="Arial" w:eastAsia="Arial" w:hAnsi="Arial"/>
          <w:sz w:val="17"/>
          <w:szCs w:val="17"/>
          <w:color w:val="auto"/>
        </w:rPr>
        <w:t>Corporate expenses</w:t>
      </w:r>
      <w:r>
        <w:rPr>
          <w:rFonts w:ascii="Arial" w:cs="Arial" w:eastAsia="Arial" w:hAnsi="Arial"/>
          <w:sz w:val="26"/>
          <w:szCs w:val="26"/>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gridSpan w:val="4"/>
            <w:vMerge w:val="continue"/>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507,588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517,852</w:t>
            </w: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159,151</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166,723</w:t>
            </w: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90,658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66,803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-890905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-591185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-290830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60" w:space="720"/>
            <w:col w:w="6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339,514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351,238</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166,614</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162,870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of investee</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137,755</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7"/>
                <w:szCs w:val="17"/>
                <w:color w:val="auto"/>
              </w:rPr>
              <w:t>Income tax expense (benefit)</w:t>
            </w:r>
            <w:r>
              <w:rPr>
                <w:rFonts w:ascii="Arial" w:cs="Arial" w:eastAsia="Arial" w:hAnsi="Arial"/>
                <w:sz w:val="26"/>
                <w:szCs w:val="26"/>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(162,870)</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(162,870)</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3"/>
              <w:spacing w:after="0" w:line="13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6"/>
        </w:trPr>
        <w:tc>
          <w:tcPr>
            <w:tcW w:w="424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1,012,469</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180"/>
              <w:spacing w:after="0" w:line="236"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340,215</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175,660</w:t>
            </w: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180"/>
              <w:spacing w:after="0" w:line="243" w:lineRule="exact"/>
              <w:rPr>
                <w:sz w:val="20"/>
                <w:szCs w:val="20"/>
                <w:color w:val="auto"/>
              </w:rPr>
            </w:pPr>
            <w:r>
              <w:rPr>
                <w:rFonts w:ascii="Arial" w:cs="Arial" w:eastAsia="Arial" w:hAnsi="Arial"/>
                <w:sz w:val="18"/>
                <w:szCs w:val="18"/>
                <w:color w:val="auto"/>
              </w:rPr>
              <w:t>Corporate expenses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56,838</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148,283</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716,632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295,837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285,124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212,309</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Income tax expense</w:t>
            </w:r>
            <w:r>
              <w:rPr>
                <w:rFonts w:ascii="Arial" w:cs="Arial" w:eastAsia="Arial" w:hAnsi="Arial"/>
                <w:sz w:val="28"/>
                <w:szCs w:val="28"/>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294,676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Comprehensive income (loss) attributable to controlling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294,541</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(285,124)</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207,307</w:t>
            </w: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3"/>
              <w:spacing w:after="0" w:line="13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6"/>
        </w:trPr>
        <w:tc>
          <w:tcPr>
            <w:tcW w:w="424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969,240</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Direct advertising expenses</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324,495</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7"/>
                <w:szCs w:val="17"/>
                <w:color w:val="auto"/>
              </w:rPr>
              <w:t>General and administrative expenses</w:t>
            </w:r>
            <w:r>
              <w:rPr>
                <w:rFonts w:ascii="Arial" w:cs="Arial" w:eastAsia="Arial" w:hAnsi="Arial"/>
                <w:sz w:val="26"/>
                <w:szCs w:val="26"/>
                <w:color w:val="auto"/>
                <w:vertAlign w:val="superscript"/>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173,742</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Corporate expenses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49,357</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136,377</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660,505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682,034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of investee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232,522</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8"/>
                <w:szCs w:val="28"/>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93"/>
              <w:spacing w:after="0" w:line="145"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202,750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389,003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(263,976)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3"/>
              </w:rPr>
              <w:t>(Increase) decrease in intercompany notes receivable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Payment on accounts receivable securitization</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31,900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20"/>
              <w:spacing w:after="0"/>
              <w:rPr>
                <w:sz w:val="20"/>
                <w:szCs w:val="20"/>
                <w:color w:val="auto"/>
              </w:rPr>
            </w:pPr>
            <w:r>
              <w:rPr>
                <w:rFonts w:ascii="Arial" w:cs="Arial" w:eastAsia="Arial" w:hAnsi="Arial"/>
                <w:sz w:val="18"/>
                <w:szCs w:val="18"/>
                <w:color w:val="auto"/>
              </w:rPr>
              <w:t>securitization program</w:t>
            </w: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(260,945)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(261,551)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80"/>
              <w:spacing w:after="0" w:line="162" w:lineRule="exact"/>
              <w:rPr>
                <w:sz w:val="20"/>
                <w:szCs w:val="20"/>
                <w:color w:val="auto"/>
              </w:rPr>
            </w:pPr>
            <w:r>
              <w:rPr>
                <w:rFonts w:ascii="Arial" w:cs="Arial" w:eastAsia="Arial" w:hAnsi="Arial"/>
                <w:sz w:val="18"/>
                <w:szCs w:val="18"/>
                <w:color w:val="auto"/>
                <w:w w:val="97"/>
              </w:rPr>
              <w:t>Effect of exchange rate changes in cash and cash</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w w:val="97"/>
              </w:rPr>
              <w:t>Net (decrease) increase in cash and cash equivalents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93"/>
              <w:spacing w:after="0" w:line="13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Arial" w:cs="Arial" w:eastAsia="Arial" w:hAnsi="Arial"/>
                <w:sz w:val="18"/>
                <w:szCs w:val="18"/>
                <w:color w:val="auto"/>
                <w:w w:val="93"/>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201,763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364,272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(253,565)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Decrease (increase) in intercompany notes receivable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4"/>
              </w:rPr>
              <w:t>Net cash (used in) provided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Proceeds received from accounts receivable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 program</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loan (payments) proceeds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4"/>
              </w:rPr>
              <w:t>Net cash (used in)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Pr>
          <w:p>
            <w:pPr>
              <w:ind w:left="280"/>
              <w:spacing w:after="0" w:line="169" w:lineRule="exact"/>
              <w:rPr>
                <w:sz w:val="20"/>
                <w:szCs w:val="20"/>
                <w:color w:val="auto"/>
              </w:rPr>
            </w:pPr>
            <w:r>
              <w:rPr>
                <w:rFonts w:ascii="Arial" w:cs="Arial" w:eastAsia="Arial" w:hAnsi="Arial"/>
                <w:sz w:val="18"/>
                <w:szCs w:val="18"/>
                <w:color w:val="auto"/>
                <w:w w:val="97"/>
              </w:rPr>
              <w:t>Effect of exchange rate changes in cash and cash</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(decrease) increase in cash and cash equivalents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2022 Combined Form 10-K filed on February 24, 2023,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consolidated financial condition and results of operations of the Company for the three and six months ended June 30, 2023 and 2022. This discussion should be read in conjunction with the condensed consolidated financial statements of the Company and the related notes thereto.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Arial" w:cs="Arial" w:eastAsia="Arial" w:hAnsi="Arial"/>
          <w:sz w:val="17"/>
          <w:szCs w:val="17"/>
          <w:i w:val="1"/>
          <w:iCs w:val="1"/>
          <w:color w:val="auto"/>
        </w:rPr>
        <w:t>Sources of Cash</w:t>
      </w:r>
      <w:r>
        <w:rPr>
          <w:rFonts w:ascii="Arial" w:cs="Arial" w:eastAsia="Arial" w:hAnsi="Arial"/>
          <w:sz w:val="17"/>
          <w:szCs w:val="17"/>
          <w:color w:val="auto"/>
        </w:rPr>
        <w:t>” for more information.</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During the six months ended June 30, 2023, the Company completed multiple acquisitions for a total cash purchase price of approximately $42.1 million. See </w:t>
      </w:r>
      <w:r>
        <w:rPr>
          <w:rFonts w:ascii="Arial" w:cs="Arial" w:eastAsia="Arial" w:hAnsi="Arial"/>
          <w:sz w:val="16"/>
          <w:szCs w:val="16"/>
          <w:i w:val="1"/>
          <w:iCs w:val="1"/>
          <w:color w:val="auto"/>
        </w:rPr>
        <w:t>Uses of Cash – Acquisitions</w:t>
      </w:r>
      <w:r>
        <w:rPr>
          <w:rFonts w:ascii="Arial" w:cs="Arial" w:eastAsia="Arial" w:hAnsi="Arial"/>
          <w:sz w:val="16"/>
          <w:szCs w:val="16"/>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2023 and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2022</w:t>
            </w: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Billboard — traditional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15,423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28,961</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18,223</w:t>
            </w:r>
          </w:p>
        </w:tc>
      </w:tr>
      <w:tr>
        <w:trPr>
          <w:trHeight w:val="23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digital</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24,109</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41,541</w:t>
            </w: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6,003</w:t>
            </w: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2,635</w:t>
            </w: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4,783</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50,722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47,043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93,007</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75,802</w:t>
            </w:r>
          </w:p>
        </w:tc>
      </w:tr>
      <w:tr>
        <w:trPr>
          <w:trHeight w:val="27"/>
        </w:trPr>
        <w:tc>
          <w:tcPr>
            <w:tcW w:w="56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equity in earnings (loss) of investees, loss (gain) on extinguishment of debt and investments, stock-based compensation, depreciation and amortization, loss (gain) on disposition of assets and investments, transaction expenses and capitalized contract fulfillment costs, net.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define AFFO as FFO before (i) straight-line income and expense; (ii) capitalized contract fulfillment costs, net (iii) stock-based compensation expense;</w:t>
      </w:r>
    </w:p>
    <w:p>
      <w:pPr>
        <w:spacing w:after="0" w:line="4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non-cash portion of tax expense (benefit); (v) non-real estate related depreciation and amortization; (vi) amortization of deferred financing costs;</w:t>
      </w:r>
    </w:p>
    <w:p>
      <w:pPr>
        <w:spacing w:after="0" w:line="20" w:lineRule="exact"/>
        <w:rPr>
          <w:rFonts w:ascii="Arial" w:cs="Arial" w:eastAsia="Arial" w:hAnsi="Arial"/>
          <w:sz w:val="17"/>
          <w:szCs w:val="17"/>
          <w:color w:val="auto"/>
        </w:rPr>
      </w:pPr>
    </w:p>
    <w:p>
      <w:pPr>
        <w:ind w:firstLine="8"/>
        <w:spacing w:after="0" w:line="260" w:lineRule="auto"/>
        <w:tabs>
          <w:tab w:leader="none" w:pos="3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4" w:lineRule="exact"/>
        <w:rPr>
          <w:sz w:val="20"/>
          <w:szCs w:val="20"/>
          <w:color w:val="auto"/>
        </w:rPr>
      </w:pPr>
    </w:p>
    <w:p>
      <w:pPr>
        <w:jc w:val="both"/>
        <w:ind w:firstLine="8"/>
        <w:spacing w:after="0" w:line="252" w:lineRule="auto"/>
        <w:tabs>
          <w:tab w:leader="none" w:pos="2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$43.2 million or 4.5% to $1.01 billion for the six months ended June 30, 2023 from $969.2 million for the same period in 2022. This increase was primarily attributable to an increase in billboard net revenues of $34.9 million and an increase in transit net revenues of $7.3 million over the same period in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six months ended June 30, 2023, there was a $21.3 million increase in net revenues as compared to acquisition-adjusted net revenue for the six months ended June 30, 2022, which represents an increase of 2.1%. See "Reconciliations" below. The $21.3 million increase in revenue is primarily due to an increase of $14.2 million in billboard net revenues as well as an increase in transit net revenues of $6.0 million over the same period in 2022.</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$25.1 million, or 4.6%, to $573.0 million for the six months ended June 30, 2023 from $547.8 million for the same period in 2022. The $25.1 million increase over the prior year is comprised of a $25.6 million increase in total direct, general and administrative and corporate expenses (excluding stock-based compensation and transaction expenses) primarily related to the operations of our outdoor advertising assets, as well as a $3.2 million increase in stock-based compensation, offset by a $3.7 million decrease in transaction expenses related to acquisitions and the write-off of deferred offering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$11.9 million to $148.3 million for the six months ended June 30, 2023 as compared to $136.4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the Company recognized a gain on disposition of assets of $4.4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$8.6 million to $295.6 million for the six months ended June 30, 2023 as compared to $287.0 million for the same period in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$28.8 million for the six months ended June 30, 2023 to $85.1 million as compared to $56.3 million for the six months ended June 30, 2022 primarily due to the increase in interest rates on the Accounts Receivable Securitization Program and senior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$0.6 million and $1.1 million for the six months ended June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$20.2 million decrease in net income before income taxes. The effective tax rate for the six months ended June 30, 2023 was 2.3%,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six months ended June 30, 2023 of $207.1 million, as compared to net income of $226.4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six months ended June 30, 2022 by adding to or subtracting from it the net revenue generated by the acquired or divested assets prior to our acquisition or divestiture of these assets for the same time frame that those assets were owned in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2022 reported net revenue to 2022 acquisition-adjusted net revenue for the six months ended June 30, as well as a comparison of 2022 acquisition-adjusted net revenue to 2023 reported net revenue for the six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right"/>
              <w:ind w:right="8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1,012,469</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969,240</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1,012,469</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991,213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 of</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Percent Increase</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226,356</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55,785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451,871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434,608</w:t>
            </w:r>
          </w:p>
        </w:tc>
        <w:tc>
          <w:tcPr>
            <w:tcW w:w="8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17,263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2023 increased 4.0% to $451.9 million. The increase in adjusted EBITDA was primarily attributable to an increase in our gross margin (net revenue less direct advertising expense, exclusive of depreciation and amortization and capitalized contract fulfillment costs, net) of $27.1 million, offset by an increase in total general and administrative and corporate expenses of $9.9 million, excluding the impact of stock-based compensation expense and transaction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142,406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7"/>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for the six months ended June 30, 2023 decreased from $353.9 million in 2022 to $344.1 million for the same period in 2023, a decrease of 2.8%. AFFO for the six months ended June 30, 2023 decreased 3.0% to $338.5 million as compared to $348.8 million for the same period in 2022. The decrease in AFFO was primarily attributable to an increase in our interest expense of $28.8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$23.3 million or 4.5% to $541.1 million for the three months ended June 30, 2023 from $517.9 million for the same period in 2022. This increase was primarily attributable to an increase in billboard net revenues of $19.5 million and an increase in transit net revenues of $3.4 million over the same period in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June 30, 2023, there was a $14.3 million increase in net revenues as compared to acquisition-adjusted net revenue for the three months ended June 30, 2022, which represents an increase of 2.7%. See "Reconciliations" below. The $14.3 million increase in revenue is primarily due to an increase of $10.8 million in billboard net revenues as well as an increase in transit net revenues of $3.0 million over the same period in 2022.</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$5.9 million, or 2.1%, to $290.9 million for the three months ended June 30, 2023 from $285.0 million for the same period in 2022. The $5.9 million increase over the prior year is comprised of a $12.6 million increase in total direct, general and administrative and corporate expenses (excluding stock-based compensation and transaction expenses) primarily related to the operations of our outdoor advertising assets, offset by a $3.0 million decrease in stock-based compensation and a $3.7 million decrease in transaction expenses related to acquisitions and the write-off of deferred offering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$7.4 million to $75.2 million for the three months ended June 30, 2023 as compared to $67.8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the Company recognized a gain on disposition of assets of $1.7 million primarily resulting from transactions related to the sale of billboard locations and displays.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$10.3 million to $176.8 million for the three months ended June 30, 2023 as compared to $166.5 million for the same period in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$14.2 million for the three months ended June 30, 2023 to $43.6 million as compared to $29.5 million for the three months ended June 30, 2022 primarily due to the increase in interest rates on the Accounts Receivable Securitization Program and senior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$0.4 million for the three months ended June 30, 2023 and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$3.6 million decrease in net income before income taxes. The effective tax rate for the three months ended June 30, 2023 was 2.4%,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June 30, 2023 of $130.9 million, as compared to net income of $134.2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three months ended June 30, 2022 by adding to or subtracting from it the net revenue generated by the acquired or divested assets prior to our acquisition or divestiture of these assets for the same time frame that those assets were owned in the three months ended June 30, 2023.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2022 reported net revenue to 2022 acquisition-adjusted net revenue for the three months ended June 30, as well as a comparison of 2022 acquisition-adjusted net revenue to 2023 reported net revenue for the three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517,852</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r>
      <w:tr>
        <w:trPr>
          <w:trHeight w:val="25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 Increase</w:t>
            </w:r>
          </w:p>
        </w:tc>
      </w:tr>
      <w:tr>
        <w:trPr>
          <w:trHeight w:val="197"/>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(Decrease)</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253,919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243,362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June 30, 2023 increased 4.3% to $253.9 million. The increase in adjusted EBITDA was primarily attributable to an increase in our gross margin (net revenue less direct advertising expense, exclusive of depreciation and amortization and capitalized contract fulfillment costs, net) of $18.1 million, offset by an increase in total general and administrative and corporate expenses of $7.5 million, excluding the impact of stock-based compensation expense and transaction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(Decrease)</w:t>
            </w: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r>
      <w:tr>
        <w:trPr>
          <w:trHeight w:val="223"/>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for the three months ended June 30, 2023 increased from $197.6 million in 2022 to $200.6 million for the same period in 2023, an increase of 1.6%. AFFO for the three months ended June 30, 2023 decreased 1.3% to $194.4 million as compared to $196.9 million for the same period in 2022. The decrease in AFFO was primarily attributable to an increase in our interest expense of $14.2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Total Liquidity. </w:t>
      </w:r>
      <w:r>
        <w:rPr>
          <w:rFonts w:ascii="Arial" w:cs="Arial" w:eastAsia="Arial" w:hAnsi="Arial"/>
          <w:sz w:val="17"/>
          <w:szCs w:val="17"/>
          <w:color w:val="auto"/>
        </w:rPr>
        <w:t>As of June 30, 2023 we had $661.1 million of total liquidity, which is comprised of $47.8 million in cash and cash equivalents, $608.3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availability under the revolving portion of Lamar Media’s senior credit facility and $5.0 million of availability under the Accounts Receivable Securitization Program.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the Company had a working capital deficit of $293.0 million and $361.5 million, respectively. The decrease in working capital deficit of $68.5 million is primarily due to increases in receivables and other current assets and decreases in payroll related accrued expenses.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Cash Generated by Operations</w:t>
      </w:r>
      <w:r>
        <w:rPr>
          <w:rFonts w:ascii="Arial" w:cs="Arial" w:eastAsia="Arial" w:hAnsi="Arial"/>
          <w:sz w:val="16"/>
          <w:szCs w:val="16"/>
          <w:color w:val="auto"/>
        </w:rPr>
        <w:t>. For the six months ended June 30, 2023 and 2022, our cash provided by operating activities was $306.9 million and $312.6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The decrease in cash provided by operating activities for the six months ended June 30, 2023 over the same period in 2022 primarily relates to an increase in operating expenses (excluding stock-based compensation, gain on disposition of assets, and depreciation and amortization) of $21.9 million and an increase in interest expense of $28.8 million offset by an increase in revenues of $43.2 million. We expect to generate cash flows from operations during 2023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Accounts Receivable Securitization Program. </w:t>
      </w:r>
      <w:r>
        <w:rPr>
          <w:rFonts w:ascii="Arial" w:cs="Arial" w:eastAsia="Arial" w:hAnsi="Arial"/>
          <w:sz w:val="18"/>
          <w:szCs w:val="18"/>
          <w:color w:val="auto"/>
        </w:rPr>
        <w:t>On June 24, 2022, Lamar Media and the Special Purpose Subsidiaries entered into the Sixth Amendment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there was $234.9 million in outstanding aggregate borrowings under the Accounts Receivable Securitization Program. Based on the availability of eligible accounts, Lamar Media had $5.0 million of unused availability under the Accounts Receivable Securitization Program as of June 30, 2023. The Accounts Receivable Securitization Program will mature on July 21, 2025.</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On June 21, 2021, the Company entered into an equity distribution agreement (the "2021 Sales Agreement"), with J.P.</w:t>
      </w:r>
      <w:r>
        <w:rPr>
          <w:rFonts w:ascii="Arial" w:cs="Arial" w:eastAsia="Arial" w:hAnsi="Arial"/>
          <w:sz w:val="16"/>
          <w:szCs w:val="16"/>
          <w:i w:val="1"/>
          <w:iCs w:val="1"/>
          <w:color w:val="auto"/>
        </w:rPr>
        <w:t xml:space="preserve"> </w:t>
      </w:r>
      <w:r>
        <w:rPr>
          <w:rFonts w:ascii="Arial" w:cs="Arial" w:eastAsia="Arial" w:hAnsi="Arial"/>
          <w:sz w:val="16"/>
          <w:szCs w:val="16"/>
          <w:color w:val="auto"/>
        </w:rPr>
        <w:t>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June 30, 2023.</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21, 2021, the Company filed a new automatically effective shelf registration statement that allows Lamar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to offer and sell an indeterminate amount of additional shares of its Class A common stock. During the six months ended June 30, 2023 and the year ended December 31, 2022, the Company did not issue any shares under either shelf registration.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senior secured Term B loan facility (the “Term B loans”) which will mature on February 6, 2027, (iii) a $350.0 million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of 4.50 to 1.00, as well as certain other conditions including lender approval. Lamar Media borrowed all $600.0 million in Term B loans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6, 2020. The entire amount of the Term B loans will be payable at maturity.</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and bear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to time to time, one or more new incremental revolving facilities on the terms, and subject to the conditions, set forth therein.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rates, unused fees, guarantees, covenants, events of default and other material terms of the Fourth Amended and Restated Credit Agreement applicable to the revolving credit facility remain unchanged by Amendment No. 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aggregate balance outstanding under the senior credit facility was $1.08 billion, consisting of $600.0 million in Term B loans aggregate principal balance, $350.0 million in Term A loans aggregate principal balance and $133.0 million outstanding borrowings under our revolving credit facility. Lamar Media had approximately $608.3 million of unused capacity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Internally Generated Funds. </w:t>
      </w:r>
      <w:r>
        <w:rPr>
          <w:rFonts w:ascii="Arial" w:cs="Arial" w:eastAsia="Arial" w:hAnsi="Arial"/>
          <w:sz w:val="17"/>
          <w:szCs w:val="17"/>
          <w:color w:val="auto"/>
        </w:rPr>
        <w:t>The key factors affecting internally generated cash flow are general economic conditions, specific economic conditions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where the Company conducts its business and overall spending on advertising by advertisers. We expect to generate cash flows from operations during 2023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June 30, 2023 we were, and currently, we are,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84" w:lineRule="auto"/>
        <w:tabs>
          <w:tab w:leader="none" w:pos="2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$93.0 million for the six months ended June 30, 2023.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2023 total capital expenditures to be approximately $185.0 million.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the six months ended June 30, 2023, the Company completed acquisitions for an aggregate purchase price of approximately $42.1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which were financed using available cash on hand and borrowings on the Accounts Receivable Securitization Program and senior credit facility.</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23, 2023, the Company's Board of Directors declared a quarterly cash dividend of $1.25 per share, paid on March 31, 2023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record of its Class A common stock and Class B common stock on March 17, 2023. On May 10, 2023, the Company's Board of Directors declared a quarterly cash dividend of $1.25 per share, paid on June 30,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2023 to its stockholders of record of its Class A common stock and Class B common stock on June 19, 2023. Subject to approval of the Company's Board of Directors, the Company expects aggregate quarterly distributions to stockholders in 2023 will be $5.00 per share of common stock, including the dividends paid on March 31, 2023 and June 30, 2023.</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Stock and Debt Repurchasing Program. </w:t>
      </w:r>
      <w:r>
        <w:rPr>
          <w:rFonts w:ascii="Arial" w:cs="Arial" w:eastAsia="Arial" w:hAnsi="Arial"/>
          <w:sz w:val="18"/>
          <w:szCs w:val="18"/>
          <w:color w:val="auto"/>
        </w:rPr>
        <w:t>On March 16, 2020, the Company’s Board of Directors authorized the repurchase of up to $250.0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February 23, 2023, the Board of Directors authorized the extension of the repurchase program through September 30, 2024. There were no repurchases under the program as of June 30, 2023. The Company’s management may opt not to make any repurchases under the program, or may make aggregate purchases less than the total amount authorized.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expected material cash requirements for the twelve months following June 30, 2023 and thereafter are comprised of contractual obligations, required annual distributions and other opportunistic expenditures.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Debt and Contractual Obligations. </w:t>
      </w:r>
      <w:r>
        <w:rPr>
          <w:rFonts w:ascii="Arial" w:cs="Arial" w:eastAsia="Arial" w:hAnsi="Arial"/>
          <w:sz w:val="18"/>
          <w:szCs w:val="18"/>
          <w:color w:val="auto"/>
        </w:rPr>
        <w:t>The following table summarizes our future debt maturities, interest payment obligations, and contractual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required payments under operating and financing leases as of June 30, 2023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Less than 1 year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8480" w:type="dxa"/>
            <w:vAlign w:val="bottom"/>
            <w:shd w:val="clear" w:color="auto" w:fill="CCEEFF"/>
          </w:tcPr>
          <w:p>
            <w:pPr>
              <w:ind w:left="20"/>
              <w:spacing w:after="0" w:line="242" w:lineRule="exact"/>
              <w:rPr>
                <w:sz w:val="20"/>
                <w:szCs w:val="20"/>
                <w:color w:val="auto"/>
              </w:rPr>
            </w:pPr>
            <w:r>
              <w:rPr>
                <w:rFonts w:ascii="Arial" w:cs="Arial" w:eastAsia="Arial" w:hAnsi="Arial"/>
                <w:sz w:val="18"/>
                <w:szCs w:val="18"/>
                <w:color w:val="auto"/>
              </w:rPr>
              <w:t>Debt maturities</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3,154.0</w:t>
            </w: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7"/>
                <w:szCs w:val="17"/>
                <w:color w:val="auto"/>
              </w:rPr>
              <w:t>Interest obligations on long-term debt</w:t>
            </w:r>
            <w:r>
              <w:rPr>
                <w:rFonts w:ascii="Arial" w:cs="Arial" w:eastAsia="Arial" w:hAnsi="Arial"/>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r>
      <w:tr>
        <w:trPr>
          <w:trHeight w:val="236"/>
        </w:trPr>
        <w:tc>
          <w:tcPr>
            <w:tcW w:w="848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5,362.3</w:t>
            </w:r>
          </w:p>
        </w:tc>
      </w:tr>
      <w:tr>
        <w:trPr>
          <w:trHeight w:val="21"/>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Debt maturities assume there is no refinancing prior to the existing maturity date.</w:t>
      </w:r>
    </w:p>
    <w:p>
      <w:pPr>
        <w:spacing w:after="0" w:line="22" w:lineRule="exact"/>
        <w:rPr>
          <w:rFonts w:ascii="Arial" w:cs="Arial" w:eastAsia="Arial" w:hAnsi="Arial"/>
          <w:sz w:val="16"/>
          <w:szCs w:val="16"/>
          <w:color w:val="auto"/>
        </w:rPr>
      </w:pPr>
    </w:p>
    <w:p>
      <w:pPr>
        <w:ind w:left="360" w:hanging="352"/>
        <w:spacing w:after="0"/>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Interest rates on our variable rate instruments assume rates at the June 2023 levels.</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Required Annual Distributions</w:t>
      </w:r>
      <w:r>
        <w:rPr>
          <w:rFonts w:ascii="Arial" w:cs="Arial" w:eastAsia="Arial" w:hAnsi="Arial"/>
          <w:sz w:val="17"/>
          <w:szCs w:val="17"/>
          <w:color w:val="auto"/>
        </w:rPr>
        <w:t>. As a REIT, the Company must annually distribute to its stockholders an amount equal to at least 90% of its REIT taxable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(determined before the deduction for distributed earnings and excluding any net capital gain). On February 23, 2023, the Company's Board of Directors declared a quarterly cash dividend of $1.25 per share, paid on March 31, 2023 to its stockholders of record of its Class A common stock and Class B common stock on March 17, 2023. On May 10, 2023, the Company's Board of Directors declared a quarterly cash dividend of $1.25 per share, paid on June 30, 2023 to its stockholders of record of its Class A common stock and Class B common stock on June 19, 2023. Subject to approval of the Company's Board of Directors, the Company expects aggregate quarterly distributions to stockholders in 2023 will be $5.00 per share of common stock, including the dividends paid on March 31, 2023 and June 30, 2023.</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Opportunistic Expenditures</w:t>
      </w:r>
      <w:r>
        <w:rPr>
          <w:rFonts w:ascii="Arial" w:cs="Arial" w:eastAsia="Arial" w:hAnsi="Arial"/>
          <w:sz w:val="18"/>
          <w:szCs w:val="18"/>
          <w:color w:val="auto"/>
        </w:rPr>
        <w:t>. As part of our capital allocation strategy, we plan to continue to allocate our available capital among investment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flows provided by operating activities decreased $5.8 million from $312.6 million for the six months ended June 30, 2022 to $306.9 million for the six months ended June 30, 2023, primarily resulting from an increase in operating expenses (excluding stock-based compensation, gain on disposition of assets, and depreciation and amortization) of $21.9 million and an increase in interest expense of $28.8 million offset by an increase in revenues of $43.2 million, as compared to the same period in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used in investing activities decreased $178.4 million from $308.4 million for the six months ended June 30, 2022 to $130.0 million for the six months ended June 30, 2023 primarily due to a net decrease in the amount of assets acquired through acquisitions, investments and capital expenditures of $175.0 million, as compared to the same period in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flows used in financing activities were $181.8 million for the six months ended June 30, 2023 as compared to $12.3 million for the six months ended June 30, 2022. The cash flows used in financing activities of $181.8 million for the six months ended June 30, 2023 is primarily due to cash paid for dividends and distributions offset by net borrowings on the senior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2022 Combined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and Regulatory Update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"New Accounting Pronouncements" to our condensed consolidated financial statements included in Part 1, Item 1 of this report for a discussion of our Accounting Standards and Regulatory Update.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three and six months ended June 30, 2023 and 2022. This discussion should be read in conjunction with the consolidated financial statements of Lamar Media and the related notes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$43.2 million or 4.5% to $1.01 billion for the six months ended June 30, 2023 from $969.2 million for the same period in 2022. This increase was primarily attributable to an increase in billboard net revenues of $34.9 million and an increase in transit net revenues of $7.3 million over the same period in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six months ended June 30, 2023, there was a $21.3 million increase in net revenues as compared to acquisition-adjusted net revenue for the six months ended June 30, 2022, which represents an increase of 2.1%. See "Reconciliations" below. The $21.3 million increase in revenue is primarily due to an increase of $14.2 million in billboard net revenues as well as an increase in transit net revenues of $6.0 million over the same period in 2022.</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on disposition of assets, increased $25.1 million, or 4.6% to $572.7 million for the six months ended June 30, 2023 from $547.6 million for the same period in 2022. The $25.1 million increase over the prior year is comprised of a $25.6 million increase in total direct, general and administrative and corporate expenses (excluding stock-based compensation and transaction expenses) primarily related to the operations of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outdoor advertising assets, as well as a $3.2 million increase in stock-based compensation, offset by a $3.7 million decrease in transaction expenses related to acquisitions and the write-off of deferred offering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$11.9 million to $148.3 million for the six months ended June 30, 2023 as compared to $136.4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Lamar Media recognized a gain on disposition of assets of $4.4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$8.6 million to $295.8 million for the six months ended June 30, 2023 as compared to $287.2 million for the same period in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$28.8 million for the six months ended June 30, 2023 to $85.1 million as compared to $56.3 million for the six months ended June 30, 2022 primarily due to the increase in interest rates on the Accounts Receivable Securitization Program and senior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$0.6 million and $1.1 million for the six months ended June 30, 2023 and 2022,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$20.2 million decrease in net income before income taxes. The effective tax rate for the six months ended June 30, 2023 was 2.3%,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six months ended June 30, 2023 of $207.3 million, as compared to net income of $226.6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six months ended June 30, 2022 by adding to or subtracting from it the net revenue generated by the acquired or divested assets prior to our acquisition or divestiture of these assets for the same time frame that those assets were owned in the six months ended June 30, 2023.</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2022 reported net revenue to 2022 acquisition-adjusted net revenue for the six months ended June 30, as well as a comparison of 2022 acquisition-adjusted net revenue to 2023 reported net revenue for the six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969,240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r>
      <w:tr>
        <w:trPr>
          <w:trHeight w:val="25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1,012,469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991,213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28,370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452,116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434,854</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17,262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2023 increased 4.0% to $452.1 million. The increase in adjusted EBITDA was primarily attributable to an increase in our gross margin (net revenue less direct advertising expense, exclusive of depreciation and amortization and capitalized contract fulfillment costs, net) of $27.1 million, offset by an increase in total general and administrative and corporate expenses of $9.9 million, excluding the impact of stock-based compensation expense and transaction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7"/>
                <w:szCs w:val="17"/>
                <w:color w:val="auto"/>
              </w:rPr>
            </w:pPr>
          </w:p>
        </w:tc>
        <w:tc>
          <w:tcPr>
            <w:tcW w:w="1440" w:type="dxa"/>
            <w:vAlign w:val="bottom"/>
          </w:tcPr>
          <w:p>
            <w:pPr>
              <w:jc w:val="right"/>
              <w:ind w:right="122"/>
              <w:spacing w:after="0"/>
              <w:rPr>
                <w:sz w:val="20"/>
                <w:szCs w:val="20"/>
                <w:color w:val="auto"/>
              </w:rPr>
            </w:pPr>
            <w:r>
              <w:rPr>
                <w:rFonts w:ascii="Arial" w:cs="Arial" w:eastAsia="Arial" w:hAnsi="Arial"/>
                <w:sz w:val="14"/>
                <w:szCs w:val="14"/>
                <w:b w:val="1"/>
                <w:bCs w:val="1"/>
                <w:color w:val="auto"/>
              </w:rPr>
              <w:t>Percent Increase</w:t>
            </w:r>
          </w:p>
        </w:tc>
      </w:tr>
      <w:tr>
        <w:trPr>
          <w:trHeight w:val="196"/>
        </w:trPr>
        <w:tc>
          <w:tcPr>
            <w:tcW w:w="5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344,378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354,133</w:t>
            </w: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r>
      <w:tr>
        <w:trPr>
          <w:trHeight w:val="248"/>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FFO for the six months ended June 30, 2023 decreased from $354.1 million in 2022 to $344.4 million for the same period in 2023, a decrease of 2.8%. AFFO for the six months ended June 30, 2023 decreased 3.0% to $338.7 million as compared to $349.0 million for the same period in 2022. The decrease in AFFO was primarily attributable to an increase in our interest expense of $28.8 million and an increase in total general and administrative and corporate expenses (excluding the effect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and transaction expenses) offset by an increase in our gross margin (net revenue less direct advertising expense, exclusive of depreciation and amortization and capitalized contract fulfillment costs,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$23.3 million or 4.5% to $541.1 million for the three months ended June 30, 2023 from $517.9 million for the same period in 2022. This increase was primarily attributable to an increase in billboard net revenues of $19.5 million and an increase in transit net revenues of $3.4 million over the same period in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June 30, 2023, there was a $14.3 million increase in net revenues as compared to acquisition-adjusted net revenue for the three months ended June 30, 2022, which represents an increase of 2.7%. See "Reconciliations" below. The $14.3 million increase in revenue is primarily due to an increase of $10.8 million in billboard net revenues as well as an increase in transit net revenues of $3.0 million over the same period in 2022.</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$5.9 million, or 2.1%, to $290.8 million for the three months ended June 30, 2023 from $284.9 million for the same period in 2022. The $5.9 million increase over the prior year is comprised of a $12.6 million increase in total direct, general and administrative and corporate expenses (excluding stock-based compensation and transaction expenses) primarily related to the operations of our outdoor advertising assets, offset by a $3.0 million decrease in stock-based compensation and a $3.7 million decrease in transaction expenses related to acquisitions and the write-off of deferred offering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$7.4 million to $75.2 million for the three months ended June 30, 2023 as compared to $67.8 million for the same period in 2022, primarily related to acquisitions and capital expenditures completed during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Lamar Media recognized a gain on disposition of assets of $1.7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$10.3 million to $176.9 million for the three months ended June 30, 2023 as compared to $166.6 million for the same period in 2022.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$14.2 million for the three months ended June 30, 2023 to $43.6 million as compared to $29.5 million for the three months ended June 30, 2022 primarily due to the increase in interest rates on the Accounts Receivable Securitization Program and senior credit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investee was $0.4 million for the three months ended June 30, 2023 and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increase in interest expense, resulted in a $3.6 million decrease in net income before income taxes. The effective tax rate for the three months ended June 30, 2023 was 2.4%,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June 30, 2023 of $131.0 million, as compared to net income of $134.3 million for the same period in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2021 have contributed to our net revenue results for the periods presented, we provide 2022 acquisition-adjusted net revenue, which adjusts our 2022 net revenue for the three months ended June 30, 2022 by adding to or subtracting from it the net revenue generated by the acquired or divested assets prior to our acquisition or divestiture of these assets for the same time frame that those assets were owned in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2022 reported net revenue to 2022 acquisition-adjusted net revenue for the three months ended June 30, as well as a comparison of 2022 acquisition-adjusted net revenue to 2023 reported net revenue for the three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5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jc w:val="right"/>
              <w:ind w:right="8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541,137</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517,852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541,137</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526,876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Amount of Increase</w:t>
            </w:r>
          </w:p>
        </w:tc>
        <w:tc>
          <w:tcPr>
            <w:tcW w:w="120" w:type="dxa"/>
            <w:vAlign w:val="bottom"/>
          </w:tcPr>
          <w:p>
            <w:pPr>
              <w:spacing w:after="0"/>
              <w:rPr>
                <w:sz w:val="16"/>
                <w:szCs w:val="16"/>
                <w:color w:val="auto"/>
              </w:rPr>
            </w:pPr>
          </w:p>
        </w:tc>
        <w:tc>
          <w:tcPr>
            <w:tcW w:w="1320" w:type="dxa"/>
            <w:vAlign w:val="bottom"/>
            <w:gridSpan w:val="2"/>
            <w:vMerge w:val="restart"/>
          </w:tcPr>
          <w:p>
            <w:pPr>
              <w:jc w:val="right"/>
              <w:ind w:right="115"/>
              <w:spacing w:after="0"/>
              <w:rPr>
                <w:sz w:val="20"/>
                <w:szCs w:val="20"/>
                <w:color w:val="auto"/>
              </w:rPr>
            </w:pPr>
            <w:r>
              <w:rPr>
                <w:rFonts w:ascii="Arial" w:cs="Arial" w:eastAsia="Arial" w:hAnsi="Arial"/>
                <w:sz w:val="14"/>
                <w:szCs w:val="14"/>
                <w:b w:val="1"/>
                <w:bCs w:val="1"/>
                <w:color w:val="auto"/>
                <w:w w:val="98"/>
              </w:rPr>
              <w:t>Percent Increase</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130,997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254,028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243,472</w:t>
            </w:r>
          </w:p>
        </w:tc>
        <w:tc>
          <w:tcPr>
            <w:tcW w:w="1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June 30, 2023 increased 4.3% to $254.0 million. The increase in adjusted EBITDA was primarily attributable to an increase in our gross margin (net revenue less direct advertising expense, exclusive of depreciation and amortization and capitalized contract fulfillment costs, net) of $18.1 million, offset by an increase in total general and administrative and corporate expenses of $7.5 million, excluding the impact of stock-based compensation expense and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Amount of Increase</w:t>
            </w:r>
          </w:p>
        </w:tc>
        <w:tc>
          <w:tcPr>
            <w:tcW w:w="120" w:type="dxa"/>
            <w:vAlign w:val="bottom"/>
          </w:tcPr>
          <w:p>
            <w:pPr>
              <w:spacing w:after="0"/>
              <w:rPr>
                <w:sz w:val="16"/>
                <w:szCs w:val="16"/>
                <w:color w:val="auto"/>
              </w:rPr>
            </w:pPr>
          </w:p>
        </w:tc>
        <w:tc>
          <w:tcPr>
            <w:tcW w:w="14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7,507</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200,749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Transaction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197,002</w:t>
            </w:r>
          </w:p>
        </w:tc>
        <w:tc>
          <w:tcPr>
            <w:tcW w:w="3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FFO for the three months ended June 30, 2023 increased from $197.7 million in 2022 to $200.7 million for the same period in 2023, an increase of 1.6%. AFFO for the three months ended June 30, 2023 decreased 1.3% to $194.5 million as compared to $197.0 million for the same period in 2022. The decrease in AFFO was primarily attributable to an increase in our interest expense of $14.2 million and an increase in total general and administrative and corporate expenses (excluding the effect of stock-based compensation expense and transaction expenses) offset by an increase in our gross margin (net revenue less direct advertising expense, exclusive of depreciation and amortization and capitalized contract fulfillment costs, net).</w:t>
      </w:r>
    </w:p>
    <w:p>
      <w:pPr>
        <w:spacing w:after="0" w:line="265" w:lineRule="exact"/>
        <w:rPr>
          <w:sz w:val="20"/>
          <w:szCs w:val="20"/>
          <w:color w:val="auto"/>
        </w:rPr>
      </w:pPr>
    </w:p>
    <w:p>
      <w:pPr>
        <w:ind w:right="396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2023,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there was approximately $1.32 billion of indebtedness outstanding under the senior credit facility and the Accounts Receivable Securitization Program, or approximately 38.5% of the Company’s outstanding long-term debt on that date, bearing interest at variable rates. The aggregate interest expense for 2023 with respect to borrowings under the senior credit facility and the Accounts Receivable Securitization Program was $38.8 million, and the weighted average interest rate applicable to these borrowings during 2023 was 6.1%. Assuming that the weighted average interest rate was 200 basis points higher (that is 8.1% rather than 6.1%), then the Company’s 2023 interest expense would have increased by approximately $12.4 million for the six months ended June 30, 2023.</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2022,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2022.</w:t>
      </w:r>
    </w:p>
    <w:p>
      <w:pPr>
        <w:spacing w:after="0" w:line="291" w:lineRule="exact"/>
        <w:rPr>
          <w:sz w:val="20"/>
          <w:szCs w:val="20"/>
          <w:color w:val="auto"/>
        </w:rPr>
      </w:pPr>
    </w:p>
    <w:p>
      <w:pPr>
        <w:ind w:right="404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420" w:type="dxa"/>
            <w:vAlign w:val="bottom"/>
            <w:gridSpan w:val="9"/>
            <w:vMerge w:val="restart"/>
          </w:tcPr>
          <w:p>
            <w:pPr>
              <w:ind w:left="2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State of Delaware effective as of November 18, 2014. Previously filed as Exhibit 3.1 to the Company’s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85">
              <w:r>
                <w:rPr>
                  <w:rFonts w:ascii="Arial" w:cs="Arial" w:eastAsia="Arial" w:hAnsi="Arial"/>
                  <w:sz w:val="18"/>
                  <w:szCs w:val="18"/>
                  <w:color w:val="0000FF"/>
                </w:rPr>
                <w:t>(File No. 1-36756) filed on November 19, 2014 and 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K (File No. 1-36756) filed on November 19, 2014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7"/>
              </w:rPr>
            </w:pPr>
            <w:hyperlink r:id="rId87">
              <w:r>
                <w:rPr>
                  <w:rFonts w:ascii="Arial" w:cs="Arial" w:eastAsia="Arial" w:hAnsi="Arial"/>
                  <w:sz w:val="18"/>
                  <w:szCs w:val="18"/>
                  <w:color w:val="0000FF"/>
                  <w:w w:val="97"/>
                </w:rPr>
                <w:t>Company’s Quarterly Report on Form 10-Q for the period ended March 31, 2007 (File No. 0-30242) filed on May 10, 2007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9"/>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Current Report on Form 8-K (File No. 1-36756) filed on November 19, 2014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9"/>
          </w:tcPr>
          <w:p>
            <w:pPr>
              <w:spacing w:after="0" w:line="169" w:lineRule="exact"/>
              <w:rPr>
                <w:rFonts w:ascii="Arial" w:cs="Arial" w:eastAsia="Arial" w:hAnsi="Arial"/>
                <w:sz w:val="18"/>
                <w:szCs w:val="18"/>
                <w:color w:val="0000FF"/>
                <w:w w:val="98"/>
              </w:rPr>
            </w:pPr>
            <w:hyperlink r:id="rId89">
              <w:r>
                <w:rPr>
                  <w:rFonts w:ascii="Arial" w:cs="Arial" w:eastAsia="Arial" w:hAnsi="Arial"/>
                  <w:sz w:val="18"/>
                  <w:szCs w:val="18"/>
                  <w:color w:val="0000FF"/>
                  <w:w w:val="98"/>
                </w:rPr>
                <w:t>the period ended September 30, 1999 (File No. 1-12407) filed on November 12, 1999 and 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Amendment No. 3, dated as of April 26, 2023 to the Fourth Amended and Restated Credit Agreement dated February 6, 2020, by and</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among Lamar Media, as Borrower, the Company, Lamar Media's subsidiary guarantors party thereto, JPMorgan Chase Bank, N.A.,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9"/>
          </w:tcPr>
          <w:p>
            <w:pPr>
              <w:spacing w:after="0" w:line="169"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Administrative Agent and certain lenders from time to time party thereto. Previously filed as Exhibit 10.1 to the Company's Current</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9"/>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Report on Form 8-K (File No. 1-36756) filed on May 2, 2023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w w:val="94"/>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9"/>
              </w:rPr>
              <w:t>and 15d-14(a) as adopted pursuant to Section 302 of the Sarbanes-Oxley Act of 2002. Filed herewith.</w:t>
            </w:r>
          </w:p>
        </w:tc>
        <w:tc>
          <w:tcPr>
            <w:tcW w:w="246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w w:val="94"/>
              </w:rPr>
              <w:t>Certification of the Chief Financial Officer of the Company and Lamar Media pursuant to Securities Exchange Act Rules 13a-14(a)</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89"/>
              </w:rPr>
              <w:t>and 15d-14(a) as adopted pursuant to Section 302 of the Sarbanes-Oxley Act of 2002. Filed herewith.</w:t>
            </w:r>
          </w:p>
        </w:tc>
        <w:tc>
          <w:tcPr>
            <w:tcW w:w="24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w w:val="97"/>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herewith.</w:t>
            </w:r>
          </w:p>
        </w:tc>
        <w:tc>
          <w:tcPr>
            <w:tcW w:w="90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420" w:hanging="909"/>
        <w:spacing w:after="0" w:line="241"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June 30, 2023, formatted in Inline XBRL: (i) Condensed Consolidated Balance Sheets, (ii) Condensed Consolidated Statements of Income and Comprehensive Income, (iii) Condensed Consolidated Statements of Stockholders' Equity, (iv) Condensed Consolidated Statements of Cash Flows, and</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(v) Notes to the Condensed Consolidated Financial Statements, tagged as blocks of text and including detailed tags.</w:t>
      </w:r>
    </w:p>
    <w:p>
      <w:pPr>
        <w:spacing w:after="0" w:line="115" w:lineRule="exact"/>
        <w:rPr>
          <w:sz w:val="20"/>
          <w:szCs w:val="20"/>
          <w:color w:val="auto"/>
        </w:rPr>
      </w:pPr>
    </w:p>
    <w:p>
      <w:pPr>
        <w:ind w:left="1420" w:hanging="90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2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2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300" w:hanging="564"/>
        <w:spacing w:after="0" w:line="263" w:lineRule="auto"/>
        <w:tabs>
          <w:tab w:leader="none" w:pos="12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Advertising Company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12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300" w:hanging="564"/>
        <w:spacing w:after="0" w:line="263" w:lineRule="auto"/>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Advertising Company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215"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2023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49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59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30"/>
        </w:trPr>
        <w:tc>
          <w:tcPr>
            <w:tcW w:w="59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 Lamar Advertising Company</w:t>
            </w:r>
          </w:p>
        </w:tc>
      </w:tr>
      <w:tr>
        <w:trPr>
          <w:trHeight w:val="243"/>
        </w:trPr>
        <w:tc>
          <w:tcPr>
            <w:tcW w:w="598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 Lamar Media Corp.</w:t>
            </w:r>
          </w:p>
        </w:tc>
      </w:tr>
      <w:tr>
        <w:trPr>
          <w:trHeight w:val="419"/>
        </w:trPr>
        <w:tc>
          <w:tcPr>
            <w:tcW w:w="5980" w:type="dxa"/>
            <w:vAlign w:val="bottom"/>
          </w:tcPr>
          <w:p>
            <w:pPr>
              <w:spacing w:after="0"/>
              <w:rPr>
                <w:sz w:val="20"/>
                <w:szCs w:val="20"/>
                <w:color w:val="auto"/>
              </w:rPr>
            </w:pPr>
            <w:r>
              <w:rPr>
                <w:rFonts w:ascii="Arial" w:cs="Arial" w:eastAsia="Arial" w:hAnsi="Arial"/>
                <w:sz w:val="18"/>
                <w:szCs w:val="18"/>
                <w:color w:val="auto"/>
              </w:rPr>
              <w:t>Date: August 3, 2023</w:t>
            </w:r>
          </w:p>
        </w:tc>
        <w:tc>
          <w:tcPr>
            <w:tcW w:w="5100" w:type="dxa"/>
            <w:vAlign w:val="bottom"/>
          </w:tcPr>
          <w:p>
            <w:pPr>
              <w:spacing w:after="0"/>
              <w:rPr>
                <w:sz w:val="24"/>
                <w:szCs w:val="24"/>
                <w:color w:val="auto"/>
              </w:rPr>
            </w:pPr>
          </w:p>
        </w:tc>
      </w:tr>
      <w:tr>
        <w:trPr>
          <w:trHeight w:val="459"/>
        </w:trPr>
        <w:tc>
          <w:tcPr>
            <w:tcW w:w="5980" w:type="dxa"/>
            <w:vAlign w:val="bottom"/>
          </w:tcPr>
          <w:p>
            <w:pPr>
              <w:ind w:left="49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59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29"/>
        </w:trPr>
        <w:tc>
          <w:tcPr>
            <w:tcW w:w="59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59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1."/>
      <w:numFmt w:val="decimal"/>
      <w:start w:val="3"/>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8"/>
    </w:lvl>
  </w:abstractNum>
  <w:abstractNum w:abstractNumId="14">
    <w:nsid w:val="2CA88611"/>
    <w:multiLevelType w:val="hybridMultilevel"/>
    <w:lvl w:ilvl="0">
      <w:lvlJc w:val="left"/>
      <w:lvlText w:val="%1."/>
      <w:numFmt w:val="decimal"/>
      <w:start w:val="9"/>
    </w:lvl>
  </w:abstractNum>
  <w:abstractNum w:abstractNumId="15">
    <w:nsid w:val="836C40E"/>
    <w:multiLevelType w:val="hybridMultilevel"/>
    <w:lvl w:ilvl="0">
      <w:lvlJc w:val="left"/>
      <w:lvlText w:val="%1."/>
      <w:numFmt w:val="decimal"/>
      <w:start w:val="10"/>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1"/>
    </w:lvl>
  </w:abstractNum>
  <w:abstractNum w:abstractNumId="18">
    <w:nsid w:val="8138641"/>
    <w:multiLevelType w:val="hybridMultilevel"/>
    <w:lvl w:ilvl="0">
      <w:lvlJc w:val="left"/>
      <w:lvlText w:val="%1."/>
      <w:numFmt w:val="decimal"/>
      <w:start w:val="12"/>
    </w:lvl>
  </w:abstractNum>
  <w:abstractNum w:abstractNumId="19">
    <w:nsid w:val="1E7FF521"/>
    <w:multiLevelType w:val="hybridMultilevel"/>
    <w:lvl w:ilvl="0">
      <w:lvlJc w:val="left"/>
      <w:lvlText w:val="%1."/>
      <w:numFmt w:val="decimal"/>
      <w:start w:val="13"/>
    </w:lvl>
  </w:abstractNum>
  <w:abstractNum w:abstractNumId="20">
    <w:nsid w:val="7C3DBD3D"/>
    <w:multiLevelType w:val="hybridMultilevel"/>
    <w:lvl w:ilvl="0">
      <w:lvlJc w:val="left"/>
      <w:lvlText w:val="%1."/>
      <w:numFmt w:val="decimal"/>
      <w:start w:val="14"/>
    </w:lvl>
  </w:abstractNum>
  <w:abstractNum w:abstractNumId="21">
    <w:nsid w:val="737B8DDC"/>
    <w:multiLevelType w:val="hybridMultilevel"/>
    <w:lvl w:ilvl="0">
      <w:lvlJc w:val="left"/>
      <w:lvlText w:val="%1."/>
      <w:numFmt w:val="decimal"/>
      <w:start w:val="15"/>
    </w:lvl>
  </w:abstractNum>
  <w:abstractNum w:abstractNumId="22">
    <w:nsid w:val="6CEAF087"/>
    <w:multiLevelType w:val="hybridMultilevel"/>
    <w:lvl w:ilvl="0">
      <w:lvlJc w:val="left"/>
      <w:lvlText w:val="%1."/>
      <w:numFmt w:val="decimal"/>
      <w:start w:val="16"/>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lowerRoman"/>
      <w:start w:val="4"/>
    </w:lvl>
  </w:abstractNum>
  <w:abstractNum w:abstractNumId="30">
    <w:nsid w:val="5072367"/>
    <w:multiLevelType w:val="hybridMultilevel"/>
    <w:lvl w:ilvl="0">
      <w:lvlJc w:val="left"/>
      <w:lvlText w:val="(%1)"/>
      <w:numFmt w:val="lowerRoman"/>
      <w:start w:val="7"/>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Roman"/>
      <w:start w:val="5"/>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decimal"/>
      <w:start w:val="101"/>
    </w:lvl>
  </w:abstractNum>
  <w:abstractNum w:abstractNumId="38">
    <w:nsid w:val="2D517796"/>
    <w:multiLevelType w:val="hybridMultilevel"/>
    <w:lvl w:ilvl="0">
      <w:lvlJc w:val="left"/>
      <w:lvlText w:val="%1"/>
      <w:numFmt w:val="decimal"/>
      <w:start w:val="104"/>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85" Type="http://schemas.openxmlformats.org/officeDocument/2006/relationships/hyperlink" Target="https://www.sec.gov/Archives/edgar/data/1090425/000119312514417756/d823054dex31.htm" TargetMode="External"/><Relationship Id="rId86" Type="http://schemas.openxmlformats.org/officeDocument/2006/relationships/hyperlink" Target="https://www.sec.gov/Archives/edgar/data/1090425/000119312514417756/d823054dex32.htm" TargetMode="External"/><Relationship Id="rId87" Type="http://schemas.openxmlformats.org/officeDocument/2006/relationships/hyperlink" Target="https://www.sec.gov/Archives/edgar/data/899045/000095013407011105/d46520exv3w2.htm" TargetMode="External"/><Relationship Id="rId88" Type="http://schemas.openxmlformats.org/officeDocument/2006/relationships/hyperlink" Target="https://www.sec.gov/Archives/edgar/data/1090425/000119312514417756/d823054dex33.htm" TargetMode="External"/><Relationship Id="rId89" Type="http://schemas.openxmlformats.org/officeDocument/2006/relationships/hyperlink" Target="https://www.sec.gov/Archives/edgar/data/899045/000095013499009877/0000950134-99-009877.txt" TargetMode="External"/><Relationship Id="rId90" Type="http://schemas.openxmlformats.org/officeDocument/2006/relationships/hyperlink" Target="https://www.sec.gov/Archives/edgar/data/1090425/000119312523132452/d9259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2023-08-03T10:06:48Z</dcterms:created>
  <dcterms:modified xsi:type="dcterms:W3CDTF">2023-08-03T10:06:48Z</dcterms:modified>
</cp:coreProperties>
</file>