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3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18" w:lineRule="exact"/>
        <w:rPr>
          <w:sz w:val="24"/>
          <w:szCs w:val="24"/>
          <w:color w:val="auto"/>
        </w:rPr>
      </w:pPr>
    </w:p>
    <w:p>
      <w:pPr>
        <w:ind w:left="4440" w:right="4400" w:hanging="4401"/>
        <w:spacing w:after="0" w:line="469" w:lineRule="auto"/>
        <w:tabs>
          <w:tab w:leader="none" w:pos="571" w:val="left"/>
        </w:tabs>
        <w:numPr>
          <w:ilvl w:val="1"/>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 For the fiscal year ended December 31, 2023</w:t>
      </w:r>
    </w:p>
    <w:p>
      <w:pPr>
        <w:spacing w:after="0" w:line="27" w:lineRule="exact"/>
        <w:rPr>
          <w:rFonts w:ascii="Wingdings" w:cs="Wingdings" w:eastAsia="Wingdings" w:hAnsi="Wingdings"/>
          <w:sz w:val="12"/>
          <w:szCs w:val="12"/>
          <w:b w:val="1"/>
          <w:bCs w:val="1"/>
          <w:color w:val="auto"/>
        </w:rPr>
      </w:pPr>
    </w:p>
    <w:p>
      <w:pPr>
        <w:ind w:left="560" w:hanging="534"/>
        <w:spacing w:after="0"/>
        <w:tabs>
          <w:tab w:leader="none" w:pos="5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26" w:lineRule="exact"/>
        <w:rPr>
          <w:sz w:val="24"/>
          <w:szCs w:val="24"/>
          <w:color w:val="auto"/>
        </w:rPr>
      </w:pPr>
    </w:p>
    <w:tbl>
      <w:tblPr>
        <w:tblLayout w:type="fixed"/>
        <w:tblInd w:w="4440" w:type="dxa"/>
        <w:tblCellMar>
          <w:top w:w="0" w:type="dxa"/>
          <w:left w:w="0" w:type="dxa"/>
          <w:bottom w:w="0" w:type="dxa"/>
          <w:right w:w="0" w:type="dxa"/>
        </w:tblCellMar>
      </w:tblPr>
      <w:tr>
        <w:trPr>
          <w:trHeight w:val="149"/>
        </w:trPr>
        <w:tc>
          <w:tcPr>
            <w:tcW w:w="1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6"/>
              </w:rPr>
              <w:t>For the transition period from</w:t>
            </w:r>
          </w:p>
        </w:tc>
        <w:tc>
          <w:tcPr>
            <w:tcW w:w="300" w:type="dxa"/>
            <w:vAlign w:val="bottom"/>
            <w:tcBorders>
              <w:bottom w:val="single" w:sz="8" w:color="auto"/>
            </w:tcBorders>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1"/>
              </w:rPr>
              <w:t>to</w:t>
            </w:r>
          </w:p>
        </w:tc>
        <w:tc>
          <w:tcPr>
            <w:tcW w:w="300" w:type="dxa"/>
            <w:vAlign w:val="bottom"/>
            <w:tcBorders>
              <w:bottom w:val="single" w:sz="8" w:color="auto"/>
            </w:tcBorders>
          </w:tcPr>
          <w:p>
            <w:pPr>
              <w:spacing w:after="0"/>
              <w:rPr>
                <w:sz w:val="12"/>
                <w:szCs w:val="12"/>
                <w:color w:val="auto"/>
              </w:rPr>
            </w:pPr>
          </w:p>
        </w:tc>
      </w:tr>
      <w:tr>
        <w:trPr>
          <w:trHeight w:val="193"/>
        </w:trPr>
        <w:tc>
          <w:tcPr>
            <w:tcW w:w="2360" w:type="dxa"/>
            <w:vAlign w:val="bottom"/>
            <w:gridSpan w:val="4"/>
          </w:tcPr>
          <w:p>
            <w:pPr>
              <w:ind w:left="260"/>
              <w:spacing w:after="0"/>
              <w:rPr>
                <w:sz w:val="20"/>
                <w:szCs w:val="20"/>
                <w:color w:val="auto"/>
              </w:rPr>
            </w:pPr>
            <w:r>
              <w:rPr>
                <w:rFonts w:ascii="Times New Roman" w:cs="Times New Roman" w:eastAsia="Times New Roman" w:hAnsi="Times New Roman"/>
                <w:sz w:val="13"/>
                <w:szCs w:val="13"/>
                <w:b w:val="1"/>
                <w:bCs w:val="1"/>
                <w:color w:val="auto"/>
              </w:rPr>
              <w:t>Commission File Number 1-36756</w:t>
            </w:r>
          </w:p>
        </w:tc>
      </w:tr>
    </w:tbl>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Lamar Advertising Company</w:t>
      </w:r>
    </w:p>
    <w:p>
      <w:pPr>
        <w:spacing w:after="0" w:line="4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Commission File Number 1-12407</w:t>
      </w:r>
    </w:p>
    <w:p>
      <w:pPr>
        <w:spacing w:after="0" w:line="1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Lamar Media Corp.</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names of registrants as specified in their charters)</w:t>
      </w:r>
    </w:p>
    <w:p>
      <w:pPr>
        <w:spacing w:after="0" w:line="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26" w:lineRule="exact"/>
        <w:rPr>
          <w:sz w:val="24"/>
          <w:szCs w:val="24"/>
          <w:color w:val="auto"/>
        </w:rPr>
      </w:pPr>
    </w:p>
    <w:tbl>
      <w:tblPr>
        <w:tblLayout w:type="fixed"/>
        <w:tblInd w:w="10" w:type="dxa"/>
        <w:tblCellMar>
          <w:top w:w="0" w:type="dxa"/>
          <w:left w:w="0" w:type="dxa"/>
          <w:bottom w:w="0" w:type="dxa"/>
          <w:right w:w="0" w:type="dxa"/>
        </w:tblCellMar>
      </w:tblPr>
      <w:tr>
        <w:trPr>
          <w:trHeight w:val="166"/>
        </w:trPr>
        <w:tc>
          <w:tcPr>
            <w:tcW w:w="3860" w:type="dxa"/>
            <w:vAlign w:val="bottom"/>
          </w:tcPr>
          <w:p>
            <w:pPr>
              <w:jc w:val="center"/>
              <w:ind w:left="161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20" w:type="dxa"/>
            <w:vAlign w:val="bottom"/>
          </w:tcPr>
          <w:p>
            <w:pPr>
              <w:jc w:val="center"/>
              <w:ind w:right="1737"/>
              <w:spacing w:after="0"/>
              <w:rPr>
                <w:sz w:val="20"/>
                <w:szCs w:val="20"/>
                <w:color w:val="auto"/>
              </w:rPr>
            </w:pPr>
            <w:r>
              <w:rPr>
                <w:rFonts w:ascii="Times New Roman" w:cs="Times New Roman" w:eastAsia="Times New Roman" w:hAnsi="Times New Roman"/>
                <w:sz w:val="13"/>
                <w:szCs w:val="13"/>
                <w:b w:val="1"/>
                <w:bCs w:val="1"/>
                <w:color w:val="auto"/>
                <w:w w:val="98"/>
              </w:rPr>
              <w:t>47-0961620</w:t>
            </w:r>
          </w:p>
        </w:tc>
      </w:tr>
      <w:tr>
        <w:trPr>
          <w:trHeight w:val="175"/>
        </w:trPr>
        <w:tc>
          <w:tcPr>
            <w:tcW w:w="3860" w:type="dxa"/>
            <w:vAlign w:val="bottom"/>
          </w:tcPr>
          <w:p>
            <w:pPr>
              <w:jc w:val="center"/>
              <w:ind w:left="161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5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20" w:type="dxa"/>
            <w:vAlign w:val="bottom"/>
          </w:tcPr>
          <w:p>
            <w:pPr>
              <w:jc w:val="center"/>
              <w:ind w:right="1737"/>
              <w:spacing w:after="0"/>
              <w:rPr>
                <w:sz w:val="20"/>
                <w:szCs w:val="20"/>
                <w:color w:val="auto"/>
              </w:rPr>
            </w:pPr>
            <w:r>
              <w:rPr>
                <w:rFonts w:ascii="Times New Roman" w:cs="Times New Roman" w:eastAsia="Times New Roman" w:hAnsi="Times New Roman"/>
                <w:sz w:val="13"/>
                <w:szCs w:val="13"/>
                <w:b w:val="1"/>
                <w:bCs w:val="1"/>
                <w:color w:val="auto"/>
                <w:w w:val="98"/>
              </w:rPr>
              <w:t>72-1205791</w:t>
            </w:r>
          </w:p>
        </w:tc>
      </w:tr>
      <w:tr>
        <w:trPr>
          <w:trHeight w:val="175"/>
        </w:trPr>
        <w:tc>
          <w:tcPr>
            <w:tcW w:w="7420" w:type="dxa"/>
            <w:vAlign w:val="bottom"/>
            <w:gridSpan w:val="4"/>
          </w:tcPr>
          <w:p>
            <w:pPr>
              <w:jc w:val="center"/>
              <w:ind w:right="1860"/>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3820" w:type="dxa"/>
            <w:vAlign w:val="bottom"/>
          </w:tcPr>
          <w:p>
            <w:pPr>
              <w:jc w:val="center"/>
              <w:ind w:right="1737"/>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r>
      <w:tr>
        <w:trPr>
          <w:trHeight w:val="176"/>
        </w:trPr>
        <w:tc>
          <w:tcPr>
            <w:tcW w:w="3860" w:type="dxa"/>
            <w:vAlign w:val="bottom"/>
          </w:tcPr>
          <w:p>
            <w:pPr>
              <w:jc w:val="center"/>
              <w:ind w:left="1637"/>
              <w:spacing w:after="0"/>
              <w:rPr>
                <w:sz w:val="20"/>
                <w:szCs w:val="20"/>
                <w:color w:val="auto"/>
              </w:rPr>
            </w:pPr>
            <w:r>
              <w:rPr>
                <w:rFonts w:ascii="Times New Roman" w:cs="Times New Roman" w:eastAsia="Times New Roman" w:hAnsi="Times New Roman"/>
                <w:sz w:val="13"/>
                <w:szCs w:val="13"/>
                <w:b w:val="1"/>
                <w:bCs w:val="1"/>
                <w:color w:val="auto"/>
                <w:w w:val="97"/>
              </w:rPr>
              <w:t>5321 Corporate Blvd., Baton Rouge, LA</w:t>
            </w:r>
          </w:p>
        </w:tc>
        <w:tc>
          <w:tcPr>
            <w:tcW w:w="5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20" w:type="dxa"/>
            <w:vAlign w:val="bottom"/>
          </w:tcPr>
          <w:p>
            <w:pPr>
              <w:jc w:val="center"/>
              <w:ind w:right="1737"/>
              <w:spacing w:after="0"/>
              <w:rPr>
                <w:sz w:val="20"/>
                <w:szCs w:val="20"/>
                <w:color w:val="auto"/>
              </w:rPr>
            </w:pPr>
            <w:r>
              <w:rPr>
                <w:rFonts w:ascii="Times New Roman" w:cs="Times New Roman" w:eastAsia="Times New Roman" w:hAnsi="Times New Roman"/>
                <w:sz w:val="13"/>
                <w:szCs w:val="13"/>
                <w:b w:val="1"/>
                <w:bCs w:val="1"/>
                <w:color w:val="auto"/>
                <w:w w:val="92"/>
              </w:rPr>
              <w:t>70808</w:t>
            </w:r>
          </w:p>
        </w:tc>
      </w:tr>
      <w:tr>
        <w:trPr>
          <w:trHeight w:val="175"/>
        </w:trPr>
        <w:tc>
          <w:tcPr>
            <w:tcW w:w="3860" w:type="dxa"/>
            <w:vAlign w:val="bottom"/>
          </w:tcPr>
          <w:p>
            <w:pPr>
              <w:jc w:val="center"/>
              <w:ind w:left="163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5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20" w:type="dxa"/>
            <w:vAlign w:val="bottom"/>
          </w:tcPr>
          <w:p>
            <w:pPr>
              <w:jc w:val="center"/>
              <w:ind w:right="173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91"/>
        </w:trPr>
        <w:tc>
          <w:tcPr>
            <w:tcW w:w="3860" w:type="dxa"/>
            <w:vAlign w:val="bottom"/>
          </w:tcPr>
          <w:p>
            <w:pPr>
              <w:spacing w:after="0"/>
              <w:rPr>
                <w:sz w:val="24"/>
                <w:szCs w:val="24"/>
                <w:color w:val="auto"/>
              </w:rPr>
            </w:pPr>
          </w:p>
        </w:tc>
        <w:tc>
          <w:tcPr>
            <w:tcW w:w="356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Registrants’ telephone number, including area code: (225) 926-1000</w:t>
            </w:r>
          </w:p>
        </w:tc>
        <w:tc>
          <w:tcPr>
            <w:tcW w:w="3820" w:type="dxa"/>
            <w:vAlign w:val="bottom"/>
          </w:tcPr>
          <w:p>
            <w:pPr>
              <w:spacing w:after="0"/>
              <w:rPr>
                <w:sz w:val="24"/>
                <w:szCs w:val="24"/>
                <w:color w:val="auto"/>
              </w:rPr>
            </w:pPr>
          </w:p>
        </w:tc>
      </w:tr>
      <w:tr>
        <w:trPr>
          <w:trHeight w:val="168"/>
        </w:trPr>
        <w:tc>
          <w:tcPr>
            <w:tcW w:w="3860" w:type="dxa"/>
            <w:vAlign w:val="bottom"/>
          </w:tcPr>
          <w:p>
            <w:pPr>
              <w:spacing w:after="0"/>
              <w:rPr>
                <w:sz w:val="14"/>
                <w:szCs w:val="14"/>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SECURITIES OF LAMAR ADVERTISING COMPANY</w:t>
            </w:r>
          </w:p>
        </w:tc>
        <w:tc>
          <w:tcPr>
            <w:tcW w:w="3820" w:type="dxa"/>
            <w:vAlign w:val="bottom"/>
          </w:tcPr>
          <w:p>
            <w:pPr>
              <w:spacing w:after="0"/>
              <w:rPr>
                <w:sz w:val="14"/>
                <w:szCs w:val="14"/>
                <w:color w:val="auto"/>
              </w:rPr>
            </w:pPr>
          </w:p>
        </w:tc>
      </w:tr>
      <w:tr>
        <w:trPr>
          <w:trHeight w:val="142"/>
        </w:trPr>
        <w:tc>
          <w:tcPr>
            <w:tcW w:w="3860" w:type="dxa"/>
            <w:vAlign w:val="bottom"/>
          </w:tcPr>
          <w:p>
            <w:pPr>
              <w:spacing w:after="0"/>
              <w:rPr>
                <w:sz w:val="12"/>
                <w:szCs w:val="12"/>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REGISTERED PURSUANT TO SECTION 12(b) OF THE ACT:</w:t>
            </w:r>
          </w:p>
        </w:tc>
        <w:tc>
          <w:tcPr>
            <w:tcW w:w="3820" w:type="dxa"/>
            <w:vAlign w:val="bottom"/>
          </w:tcPr>
          <w:p>
            <w:pPr>
              <w:spacing w:after="0"/>
              <w:rPr>
                <w:sz w:val="12"/>
                <w:szCs w:val="12"/>
                <w:color w:val="auto"/>
              </w:rPr>
            </w:pPr>
          </w:p>
        </w:tc>
      </w:tr>
      <w:tr>
        <w:trPr>
          <w:trHeight w:val="116"/>
        </w:trPr>
        <w:tc>
          <w:tcPr>
            <w:tcW w:w="38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r>
      <w:tr>
        <w:trPr>
          <w:trHeight w:val="163"/>
        </w:trPr>
        <w:tc>
          <w:tcPr>
            <w:tcW w:w="3860" w:type="dxa"/>
            <w:vAlign w:val="bottom"/>
            <w:tcBorders>
              <w:left w:val="single" w:sz="8" w:color="auto"/>
              <w:bottom w:val="single" w:sz="8" w:color="auto"/>
            </w:tcBorders>
          </w:tcPr>
          <w:p>
            <w:pPr>
              <w:jc w:val="center"/>
              <w:ind w:left="497"/>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560" w:type="dxa"/>
            <w:vAlign w:val="bottom"/>
            <w:tcBorders>
              <w:bottom w:val="single" w:sz="8" w:color="auto"/>
              <w:right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Trading Symbol(s)</w:t>
            </w:r>
          </w:p>
        </w:tc>
        <w:tc>
          <w:tcPr>
            <w:tcW w:w="64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jc w:val="center"/>
              <w:ind w:right="617"/>
              <w:spacing w:after="0"/>
              <w:rPr>
                <w:sz w:val="20"/>
                <w:szCs w:val="20"/>
                <w:color w:val="auto"/>
              </w:rPr>
            </w:pPr>
            <w:r>
              <w:rPr>
                <w:rFonts w:ascii="Times New Roman" w:cs="Times New Roman" w:eastAsia="Times New Roman" w:hAnsi="Times New Roman"/>
                <w:sz w:val="13"/>
                <w:szCs w:val="13"/>
                <w:color w:val="auto"/>
                <w:w w:val="96"/>
              </w:rPr>
              <w:t>Name of each exchange on which registered</w:t>
            </w:r>
          </w:p>
        </w:tc>
      </w:tr>
      <w:tr>
        <w:trPr>
          <w:trHeight w:val="169"/>
        </w:trPr>
        <w:tc>
          <w:tcPr>
            <w:tcW w:w="3860" w:type="dxa"/>
            <w:vAlign w:val="bottom"/>
            <w:tcBorders>
              <w:left w:val="single" w:sz="8" w:color="auto"/>
              <w:bottom w:val="single" w:sz="8" w:color="auto"/>
            </w:tcBorders>
          </w:tcPr>
          <w:p>
            <w:pPr>
              <w:jc w:val="center"/>
              <w:ind w:left="517"/>
              <w:spacing w:after="0"/>
              <w:rPr>
                <w:sz w:val="20"/>
                <w:szCs w:val="20"/>
                <w:color w:val="auto"/>
              </w:rPr>
            </w:pPr>
            <w:r>
              <w:rPr>
                <w:rFonts w:ascii="Times New Roman" w:cs="Times New Roman" w:eastAsia="Times New Roman" w:hAnsi="Times New Roman"/>
                <w:sz w:val="13"/>
                <w:szCs w:val="13"/>
                <w:color w:val="auto"/>
                <w:w w:val="97"/>
              </w:rPr>
              <w:t>Class A common stock, $0.001 par value</w:t>
            </w:r>
          </w:p>
        </w:tc>
        <w:tc>
          <w:tcPr>
            <w:tcW w:w="560" w:type="dxa"/>
            <w:vAlign w:val="bottom"/>
            <w:tcBorders>
              <w:bottom w:val="single" w:sz="8" w:color="auto"/>
              <w:right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LAMR</w:t>
            </w:r>
          </w:p>
        </w:tc>
        <w:tc>
          <w:tcPr>
            <w:tcW w:w="64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jc w:val="center"/>
              <w:ind w:right="617"/>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240"/>
        </w:trPr>
        <w:tc>
          <w:tcPr>
            <w:tcW w:w="3860" w:type="dxa"/>
            <w:vAlign w:val="bottom"/>
          </w:tcPr>
          <w:p>
            <w:pPr>
              <w:spacing w:after="0"/>
              <w:rPr>
                <w:sz w:val="20"/>
                <w:szCs w:val="20"/>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SECURITIES OF LAMAR ADVERTISING COMPANY</w:t>
            </w:r>
          </w:p>
        </w:tc>
        <w:tc>
          <w:tcPr>
            <w:tcW w:w="3820" w:type="dxa"/>
            <w:vAlign w:val="bottom"/>
          </w:tcPr>
          <w:p>
            <w:pPr>
              <w:spacing w:after="0"/>
              <w:rPr>
                <w:sz w:val="20"/>
                <w:szCs w:val="20"/>
                <w:color w:val="auto"/>
              </w:rPr>
            </w:pPr>
          </w:p>
        </w:tc>
      </w:tr>
      <w:tr>
        <w:trPr>
          <w:trHeight w:val="142"/>
        </w:trPr>
        <w:tc>
          <w:tcPr>
            <w:tcW w:w="3860" w:type="dxa"/>
            <w:vAlign w:val="bottom"/>
          </w:tcPr>
          <w:p>
            <w:pPr>
              <w:spacing w:after="0"/>
              <w:rPr>
                <w:sz w:val="12"/>
                <w:szCs w:val="12"/>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REGISTERED PURSUANT TO SECTION 12(g) OF THE ACT:</w:t>
            </w:r>
          </w:p>
        </w:tc>
        <w:tc>
          <w:tcPr>
            <w:tcW w:w="3820" w:type="dxa"/>
            <w:vAlign w:val="bottom"/>
          </w:tcPr>
          <w:p>
            <w:pPr>
              <w:spacing w:after="0"/>
              <w:rPr>
                <w:sz w:val="12"/>
                <w:szCs w:val="12"/>
                <w:color w:val="auto"/>
              </w:rPr>
            </w:pPr>
          </w:p>
        </w:tc>
      </w:tr>
      <w:tr>
        <w:trPr>
          <w:trHeight w:val="162"/>
        </w:trPr>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0" w:type="dxa"/>
            <w:vAlign w:val="bottom"/>
            <w:gridSpan w:val="2"/>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w w:val="97"/>
              </w:rPr>
              <w:t>None</w:t>
            </w:r>
          </w:p>
        </w:tc>
        <w:tc>
          <w:tcPr>
            <w:tcW w:w="3820" w:type="dxa"/>
            <w:vAlign w:val="bottom"/>
          </w:tcPr>
          <w:p>
            <w:pPr>
              <w:spacing w:after="0"/>
              <w:rPr>
                <w:sz w:val="14"/>
                <w:szCs w:val="14"/>
                <w:color w:val="auto"/>
              </w:rPr>
            </w:pPr>
          </w:p>
        </w:tc>
      </w:tr>
      <w:tr>
        <w:trPr>
          <w:trHeight w:val="155"/>
        </w:trPr>
        <w:tc>
          <w:tcPr>
            <w:tcW w:w="3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0" w:type="dxa"/>
            <w:vAlign w:val="bottom"/>
            <w:gridSpan w:val="2"/>
          </w:tcPr>
          <w:p>
            <w:pPr>
              <w:jc w:val="center"/>
              <w:ind w:right="580"/>
              <w:spacing w:after="0"/>
              <w:rPr>
                <w:sz w:val="20"/>
                <w:szCs w:val="20"/>
                <w:color w:val="auto"/>
              </w:rPr>
            </w:pPr>
            <w:r>
              <w:rPr>
                <w:rFonts w:ascii="Times New Roman" w:cs="Times New Roman" w:eastAsia="Times New Roman" w:hAnsi="Times New Roman"/>
                <w:sz w:val="11"/>
                <w:szCs w:val="11"/>
                <w:b w:val="1"/>
                <w:bCs w:val="1"/>
                <w:color w:val="auto"/>
                <w:w w:val="97"/>
              </w:rPr>
              <w:t>SECURITIES OF LAMAR MEDIA CORP.</w:t>
            </w:r>
          </w:p>
        </w:tc>
        <w:tc>
          <w:tcPr>
            <w:tcW w:w="3820" w:type="dxa"/>
            <w:vAlign w:val="bottom"/>
          </w:tcPr>
          <w:p>
            <w:pPr>
              <w:spacing w:after="0"/>
              <w:rPr>
                <w:sz w:val="13"/>
                <w:szCs w:val="13"/>
                <w:color w:val="auto"/>
              </w:rPr>
            </w:pPr>
          </w:p>
        </w:tc>
      </w:tr>
      <w:tr>
        <w:trPr>
          <w:trHeight w:val="142"/>
        </w:trPr>
        <w:tc>
          <w:tcPr>
            <w:tcW w:w="3860" w:type="dxa"/>
            <w:vAlign w:val="bottom"/>
          </w:tcPr>
          <w:p>
            <w:pPr>
              <w:spacing w:after="0"/>
              <w:rPr>
                <w:sz w:val="12"/>
                <w:szCs w:val="12"/>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REGISTERED PURSUANT TO SECTION 12(b) OF THE ACT:</w:t>
            </w:r>
          </w:p>
        </w:tc>
        <w:tc>
          <w:tcPr>
            <w:tcW w:w="3820" w:type="dxa"/>
            <w:vAlign w:val="bottom"/>
          </w:tcPr>
          <w:p>
            <w:pPr>
              <w:spacing w:after="0"/>
              <w:rPr>
                <w:sz w:val="12"/>
                <w:szCs w:val="12"/>
                <w:color w:val="auto"/>
              </w:rPr>
            </w:pPr>
          </w:p>
        </w:tc>
      </w:tr>
      <w:tr>
        <w:trPr>
          <w:trHeight w:val="162"/>
        </w:trPr>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0" w:type="dxa"/>
            <w:vAlign w:val="bottom"/>
            <w:gridSpan w:val="2"/>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w w:val="97"/>
              </w:rPr>
              <w:t>None</w:t>
            </w:r>
          </w:p>
        </w:tc>
        <w:tc>
          <w:tcPr>
            <w:tcW w:w="3820" w:type="dxa"/>
            <w:vAlign w:val="bottom"/>
          </w:tcPr>
          <w:p>
            <w:pPr>
              <w:spacing w:after="0"/>
              <w:rPr>
                <w:sz w:val="14"/>
                <w:szCs w:val="14"/>
                <w:color w:val="auto"/>
              </w:rPr>
            </w:pPr>
          </w:p>
        </w:tc>
      </w:tr>
      <w:tr>
        <w:trPr>
          <w:trHeight w:val="155"/>
        </w:trPr>
        <w:tc>
          <w:tcPr>
            <w:tcW w:w="3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0" w:type="dxa"/>
            <w:vAlign w:val="bottom"/>
            <w:gridSpan w:val="2"/>
          </w:tcPr>
          <w:p>
            <w:pPr>
              <w:jc w:val="center"/>
              <w:ind w:right="580"/>
              <w:spacing w:after="0"/>
              <w:rPr>
                <w:sz w:val="20"/>
                <w:szCs w:val="20"/>
                <w:color w:val="auto"/>
              </w:rPr>
            </w:pPr>
            <w:r>
              <w:rPr>
                <w:rFonts w:ascii="Times New Roman" w:cs="Times New Roman" w:eastAsia="Times New Roman" w:hAnsi="Times New Roman"/>
                <w:sz w:val="11"/>
                <w:szCs w:val="11"/>
                <w:b w:val="1"/>
                <w:bCs w:val="1"/>
                <w:color w:val="auto"/>
                <w:w w:val="97"/>
              </w:rPr>
              <w:t>SECURITIES OF LAMAR MEDIA CORP.</w:t>
            </w:r>
          </w:p>
        </w:tc>
        <w:tc>
          <w:tcPr>
            <w:tcW w:w="3820" w:type="dxa"/>
            <w:vAlign w:val="bottom"/>
          </w:tcPr>
          <w:p>
            <w:pPr>
              <w:spacing w:after="0"/>
              <w:rPr>
                <w:sz w:val="13"/>
                <w:szCs w:val="13"/>
                <w:color w:val="auto"/>
              </w:rPr>
            </w:pPr>
          </w:p>
        </w:tc>
      </w:tr>
      <w:tr>
        <w:trPr>
          <w:trHeight w:val="142"/>
        </w:trPr>
        <w:tc>
          <w:tcPr>
            <w:tcW w:w="3860" w:type="dxa"/>
            <w:vAlign w:val="bottom"/>
          </w:tcPr>
          <w:p>
            <w:pPr>
              <w:spacing w:after="0"/>
              <w:rPr>
                <w:sz w:val="12"/>
                <w:szCs w:val="12"/>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REGISTERED PURSUANT TO SECTION 12(g) OF THE ACT:</w:t>
            </w:r>
          </w:p>
        </w:tc>
        <w:tc>
          <w:tcPr>
            <w:tcW w:w="3820" w:type="dxa"/>
            <w:vAlign w:val="bottom"/>
          </w:tcPr>
          <w:p>
            <w:pPr>
              <w:spacing w:after="0"/>
              <w:rPr>
                <w:sz w:val="12"/>
                <w:szCs w:val="12"/>
                <w:color w:val="auto"/>
              </w:rPr>
            </w:pPr>
          </w:p>
        </w:tc>
      </w:tr>
      <w:tr>
        <w:trPr>
          <w:trHeight w:val="182"/>
        </w:trPr>
        <w:tc>
          <w:tcPr>
            <w:tcW w:w="3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3820" w:type="dxa"/>
            <w:vAlign w:val="bottom"/>
          </w:tcPr>
          <w:p>
            <w:pPr>
              <w:spacing w:after="0"/>
              <w:rPr>
                <w:sz w:val="15"/>
                <w:szCs w:val="15"/>
                <w:color w:val="auto"/>
              </w:rPr>
            </w:pPr>
          </w:p>
        </w:tc>
      </w:tr>
      <w:tr>
        <w:trPr>
          <w:trHeight w:val="212"/>
        </w:trPr>
        <w:tc>
          <w:tcPr>
            <w:tcW w:w="3860" w:type="dxa"/>
            <w:vAlign w:val="bottom"/>
          </w:tcPr>
          <w:p>
            <w:pPr>
              <w:spacing w:after="0"/>
              <w:rPr>
                <w:sz w:val="18"/>
                <w:szCs w:val="18"/>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w:t>
            </w:r>
          </w:p>
        </w:tc>
        <w:tc>
          <w:tcPr>
            <w:tcW w:w="3820" w:type="dxa"/>
            <w:vAlign w:val="bottom"/>
          </w:tcPr>
          <w:p>
            <w:pPr>
              <w:spacing w:after="0"/>
              <w:rPr>
                <w:sz w:val="18"/>
                <w:szCs w:val="18"/>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w w:val="97"/>
              </w:rPr>
              <w:t>Indicate by check mark if Lamar Advertising Company is a well-known seasoned issuer, as defined in Rule 405 of the Securities Act.</w:t>
            </w:r>
          </w:p>
        </w:tc>
        <w:tc>
          <w:tcPr>
            <w:tcW w:w="920" w:type="dxa"/>
            <w:vAlign w:val="bottom"/>
            <w:gridSpan w:val="2"/>
          </w:tcPr>
          <w:p>
            <w:pPr>
              <w:ind w:left="6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200" w:type="dxa"/>
            <w:vAlign w:val="bottom"/>
            <w:vMerge w:val="restart"/>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2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7"/>
              </w:rPr>
              <w:t>Indicate by check mark if Lamar Advertising Company is not required to file reports pursuant to Section 13 or Section 15(d) of the Exchange Act.  Yes</w:t>
            </w:r>
          </w:p>
        </w:tc>
        <w:tc>
          <w:tcPr>
            <w:tcW w:w="200" w:type="dxa"/>
            <w:vAlign w:val="bottom"/>
            <w:vMerge w:val="continue"/>
          </w:tcPr>
          <w:p>
            <w:pPr>
              <w:spacing w:after="0"/>
              <w:rPr>
                <w:sz w:val="17"/>
                <w:szCs w:val="17"/>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7"/>
              </w:rPr>
              <w:t xml:space="preserve">No </w:t>
            </w:r>
            <w:r>
              <w:rPr>
                <w:rFonts w:ascii="Wingdings" w:cs="Wingdings" w:eastAsia="Wingdings" w:hAnsi="Wingdings"/>
                <w:sz w:val="13"/>
                <w:szCs w:val="13"/>
                <w:b w:val="1"/>
                <w:bCs w:val="1"/>
                <w:color w:val="auto"/>
                <w:w w:val="97"/>
              </w:rPr>
              <w:t>x</w:t>
            </w:r>
          </w:p>
        </w:tc>
        <w:tc>
          <w:tcPr>
            <w:tcW w:w="0" w:type="dxa"/>
            <w:vAlign w:val="bottom"/>
          </w:tcPr>
          <w:p>
            <w:pPr>
              <w:spacing w:after="0"/>
              <w:rPr>
                <w:sz w:val="1"/>
                <w:szCs w:val="1"/>
                <w:color w:val="auto"/>
              </w:rPr>
            </w:pPr>
          </w:p>
        </w:tc>
      </w:tr>
      <w:tr>
        <w:trPr>
          <w:trHeight w:val="216"/>
        </w:trPr>
        <w:tc>
          <w:tcPr>
            <w:tcW w:w="680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w w:val="98"/>
              </w:rPr>
              <w:t xml:space="preserve">Indicate by check mark if Lamar Media Corp. is a well-known seasoned issuer, as defined in Rule 405 of the Securities Act.  Yes </w:t>
            </w:r>
            <w:r>
              <w:rPr>
                <w:rFonts w:ascii="MS PGothic" w:cs="MS PGothic" w:eastAsia="MS PGothic" w:hAnsi="MS PGothic"/>
                <w:sz w:val="13"/>
                <w:szCs w:val="13"/>
                <w:color w:val="auto"/>
                <w:w w:val="98"/>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87"/>
              </w:rPr>
              <w:t>No</w:t>
            </w:r>
          </w:p>
        </w:tc>
        <w:tc>
          <w:tcPr>
            <w:tcW w:w="700" w:type="dxa"/>
            <w:vAlign w:val="bottom"/>
          </w:tcPr>
          <w:p>
            <w:pPr>
              <w:ind w:left="60"/>
              <w:spacing w:after="0"/>
              <w:rPr>
                <w:sz w:val="20"/>
                <w:szCs w:val="20"/>
                <w:color w:val="auto"/>
              </w:rPr>
            </w:pPr>
            <w:r>
              <w:rPr>
                <w:rFonts w:ascii="Wingdings" w:cs="Wingdings" w:eastAsia="Wingdings" w:hAnsi="Wingdings"/>
                <w:sz w:val="13"/>
                <w:szCs w:val="13"/>
                <w:b w:val="1"/>
                <w:bCs w:val="1"/>
                <w:color w:val="auto"/>
              </w:rPr>
              <w:t>x</w:t>
            </w:r>
          </w:p>
        </w:tc>
        <w:tc>
          <w:tcPr>
            <w:tcW w:w="200" w:type="dxa"/>
            <w:vAlign w:val="bottom"/>
            <w:vMerge w:val="restart"/>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8"/>
              </w:rPr>
              <w:t>Indicate by check mark if Lamar Media Corp. is not required to file reports pursuant to Section 13 or Section 15(d) of the Exchange Act.</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w:t>
            </w:r>
          </w:p>
        </w:tc>
        <w:tc>
          <w:tcPr>
            <w:tcW w:w="2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8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50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each registrant has submitted electronically every Interactive Date File required to be submitted pursuant to Rule 405 of Regulation S-T (Section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440"/>
        <w:spacing w:after="0" w:line="262" w:lineRule="auto"/>
        <w:rPr>
          <w:sz w:val="20"/>
          <w:szCs w:val="20"/>
          <w:color w:val="auto"/>
        </w:rPr>
      </w:pPr>
      <w:r>
        <w:rPr>
          <w:rFonts w:ascii="Times New Roman" w:cs="Times New Roman" w:eastAsia="Times New Roman" w:hAnsi="Times New Roman"/>
          <w:sz w:val="13"/>
          <w:szCs w:val="13"/>
          <w:color w:val="auto"/>
        </w:rPr>
        <w:t>Indicate by check mark whether Lamar Advertising Company is a large accelerated filer, an accelerated filer, a non-accelerated filer, a smaller reporting company or an emerging growth company. See definitions of “accelerated filer”, “large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176"/>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960" w:type="dxa"/>
            <w:vAlign w:val="bottom"/>
          </w:tcPr>
          <w:p>
            <w:pPr>
              <w:ind w:left="660"/>
              <w:spacing w:after="0"/>
              <w:rPr>
                <w:sz w:val="20"/>
                <w:szCs w:val="20"/>
                <w:color w:val="auto"/>
              </w:rPr>
            </w:pPr>
            <w:r>
              <w:rPr>
                <w:rFonts w:ascii="Wingdings" w:cs="Wingdings" w:eastAsia="Wingdings" w:hAnsi="Wingdings"/>
                <w:sz w:val="13"/>
                <w:szCs w:val="13"/>
                <w:b w:val="1"/>
                <w:bCs w:val="1"/>
                <w:color w:val="auto"/>
              </w:rPr>
              <w:t>x</w:t>
            </w:r>
          </w:p>
        </w:tc>
        <w:tc>
          <w:tcPr>
            <w:tcW w:w="4660" w:type="dxa"/>
            <w:vAlign w:val="bottom"/>
          </w:tcPr>
          <w:p>
            <w:pPr>
              <w:ind w:left="2180"/>
              <w:spacing w:after="0"/>
              <w:rPr>
                <w:sz w:val="20"/>
                <w:szCs w:val="20"/>
                <w:color w:val="auto"/>
              </w:rPr>
            </w:pPr>
            <w:r>
              <w:rPr>
                <w:rFonts w:ascii="Times New Roman" w:cs="Times New Roman" w:eastAsia="Times New Roman" w:hAnsi="Times New Roman"/>
                <w:sz w:val="13"/>
                <w:szCs w:val="13"/>
                <w:color w:val="auto"/>
              </w:rPr>
              <w:t>Accelerated filer</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96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1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96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113" w:lineRule="exact"/>
        <w:rPr>
          <w:sz w:val="24"/>
          <w:szCs w:val="24"/>
          <w:color w:val="auto"/>
        </w:rPr>
      </w:pPr>
    </w:p>
    <w:p>
      <w:pPr>
        <w:ind w:right="80"/>
        <w:spacing w:after="0" w:line="17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9" w:lineRule="exact"/>
        <w:rPr>
          <w:sz w:val="24"/>
          <w:szCs w:val="24"/>
          <w:color w:val="auto"/>
        </w:rPr>
      </w:pPr>
    </w:p>
    <w:p>
      <w:pPr>
        <w:ind w:right="10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Lamar Advertising Company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x</w:t>
      </w:r>
    </w:p>
    <w:p>
      <w:pPr>
        <w:spacing w:after="0" w:line="25" w:lineRule="exact"/>
        <w:rPr>
          <w:sz w:val="24"/>
          <w:szCs w:val="24"/>
          <w:color w:val="auto"/>
        </w:rPr>
      </w:pPr>
    </w:p>
    <w:p>
      <w:pPr>
        <w:ind w:right="10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8" w:lineRule="exact"/>
        <w:rPr>
          <w:sz w:val="24"/>
          <w:szCs w:val="24"/>
          <w:color w:val="auto"/>
        </w:rPr>
      </w:pPr>
    </w:p>
    <w:p>
      <w:pPr>
        <w:ind w:right="240"/>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3"/>
          <w:szCs w:val="13"/>
          <w:color w:val="auto"/>
        </w:rPr>
        <w:t>☐</w:t>
      </w:r>
    </w:p>
    <w:p>
      <w:pPr>
        <w:spacing w:after="0" w:line="19" w:lineRule="exact"/>
        <w:rPr>
          <w:sz w:val="24"/>
          <w:szCs w:val="24"/>
          <w:color w:val="auto"/>
        </w:rPr>
      </w:pPr>
    </w:p>
    <w:p>
      <w:pPr>
        <w:ind w:right="280"/>
        <w:spacing w:after="0" w:line="262" w:lineRule="auto"/>
        <w:rPr>
          <w:sz w:val="20"/>
          <w:szCs w:val="20"/>
          <w:color w:val="auto"/>
        </w:rPr>
      </w:pPr>
      <w:r>
        <w:rPr>
          <w:rFonts w:ascii="Times New Roman" w:cs="Times New Roman" w:eastAsia="Times New Roman" w:hAnsi="Times New Roman"/>
          <w:sz w:val="13"/>
          <w:szCs w:val="13"/>
          <w:color w:val="auto"/>
        </w:rPr>
        <w:t>Indicate by check mark whether Lamar Media Corp. is a large accelerated filer, an accelerated filer, a non-accelerated filer, a smaller reporting company or an emerging growth company. See definitions of “accelerated filer”, “large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176"/>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98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ind w:left="2180"/>
              <w:spacing w:after="0"/>
              <w:rPr>
                <w:sz w:val="20"/>
                <w:szCs w:val="20"/>
                <w:color w:val="auto"/>
              </w:rPr>
            </w:pPr>
            <w:r>
              <w:rPr>
                <w:rFonts w:ascii="Times New Roman" w:cs="Times New Roman" w:eastAsia="Times New Roman" w:hAnsi="Times New Roman"/>
                <w:sz w:val="13"/>
                <w:szCs w:val="13"/>
                <w:color w:val="auto"/>
              </w:rPr>
              <w:t>Accelerated filer</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6"/>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980" w:type="dxa"/>
            <w:vAlign w:val="bottom"/>
          </w:tcPr>
          <w:p>
            <w:pPr>
              <w:ind w:left="660"/>
              <w:spacing w:after="0"/>
              <w:rPr>
                <w:sz w:val="20"/>
                <w:szCs w:val="20"/>
                <w:color w:val="auto"/>
              </w:rPr>
            </w:pPr>
            <w:r>
              <w:rPr>
                <w:rFonts w:ascii="Wingdings" w:cs="Wingdings" w:eastAsia="Wingdings" w:hAnsi="Wingdings"/>
                <w:sz w:val="13"/>
                <w:szCs w:val="13"/>
                <w:b w:val="1"/>
                <w:bCs w:val="1"/>
                <w:color w:val="auto"/>
              </w:rPr>
              <w:t>x</w:t>
            </w:r>
          </w:p>
        </w:tc>
        <w:tc>
          <w:tcPr>
            <w:tcW w:w="4640" w:type="dxa"/>
            <w:vAlign w:val="bottom"/>
          </w:tcPr>
          <w:p>
            <w:pPr>
              <w:ind w:left="21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98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86" w:lineRule="exact"/>
        <w:rPr>
          <w:sz w:val="24"/>
          <w:szCs w:val="24"/>
          <w:color w:val="auto"/>
        </w:rPr>
      </w:pPr>
    </w:p>
    <w:p>
      <w:pPr>
        <w:ind w:right="1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400"/>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Lamar Media Corp.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24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3"/>
          <w:szCs w:val="13"/>
          <w:color w:val="auto"/>
        </w:rPr>
        <w:t>☐</w:t>
      </w:r>
    </w:p>
    <w:p>
      <w:pPr>
        <w:spacing w:after="0" w:line="150" w:lineRule="exact"/>
        <w:tabs>
          <w:tab w:leader="none" w:pos="5640" w:val="left"/>
          <w:tab w:leader="none" w:pos="6120" w:val="left"/>
        </w:tabs>
        <w:rPr>
          <w:sz w:val="20"/>
          <w:szCs w:val="20"/>
          <w:color w:val="auto"/>
        </w:rPr>
      </w:pPr>
      <w:r>
        <w:rPr>
          <w:rFonts w:ascii="Times New Roman" w:cs="Times New Roman" w:eastAsia="Times New Roman" w:hAnsi="Times New Roman"/>
          <w:sz w:val="13"/>
          <w:szCs w:val="13"/>
          <w:color w:val="auto"/>
        </w:rPr>
        <w:t>Indicate by check mark if either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Wingdings" w:cs="Wingdings" w:eastAsia="Wingdings" w:hAnsi="Wingdings"/>
          <w:sz w:val="13"/>
          <w:szCs w:val="13"/>
          <w:b w:val="1"/>
          <w:bCs w:val="1"/>
          <w:color w:val="auto"/>
        </w:rPr>
        <w:t>x</w:t>
      </w:r>
    </w:p>
    <w:p>
      <w:pPr>
        <w:sectPr>
          <w:pgSz w:w="11900" w:h="16838" w:orient="portrait"/>
          <w:cols w:equalWidth="0" w:num="1">
            <w:col w:w="11220"/>
          </w:cols>
          <w:pgMar w:left="320" w:top="229" w:right="359" w:bottom="0" w:gutter="0" w:footer="0" w:header="0"/>
        </w:sectPr>
      </w:pPr>
    </w:p>
    <w:bookmarkStart w:id="1" w:name="page2"/>
    <w:bookmarkEnd w:id="1"/>
    <w:p>
      <w:pPr>
        <w:ind w:right="20"/>
        <w:spacing w:after="0" w:line="259" w:lineRule="auto"/>
        <w:rPr>
          <w:sz w:val="20"/>
          <w:szCs w:val="20"/>
          <w:color w:val="auto"/>
        </w:rPr>
      </w:pPr>
      <w:r>
        <w:rPr>
          <w:rFonts w:ascii="Times New Roman" w:cs="Times New Roman" w:eastAsia="Times New Roman" w:hAnsi="Times New Roman"/>
          <w:sz w:val="13"/>
          <w:szCs w:val="13"/>
          <w:color w:val="auto"/>
        </w:rPr>
        <w:t>The aggregate market value of the voting stock held by nonaffiliates of Lamar Advertising Company was $8,541,454,206 based on $99.25 per share as reported at the close of trading on the NASDAQ Global Select Market on June 30, 2023, the last business day of the registrant’s most recently completed second fiscal quarter.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June 30, 2023, the aggregate market value of the voting stock held by nonaffiliates of Lamar Media Corp. was $0.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Indicate the number of shares outstanding of each of the issuers’ classes of common stock, as of the latest practicable date.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Class</w:t>
            </w:r>
          </w:p>
        </w:tc>
        <w:tc>
          <w:tcPr>
            <w:tcW w:w="4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Outstanding at February 1, 2024</w:t>
            </w:r>
          </w:p>
        </w:tc>
      </w:tr>
      <w:tr>
        <w:trPr>
          <w:trHeight w:val="164"/>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7"/>
              </w:rPr>
              <w:t>Lamar Advertising Company Class A common stock, $0.001 par value per share</w:t>
            </w: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87,645,560 shares</w:t>
            </w:r>
          </w:p>
        </w:tc>
      </w:tr>
      <w:tr>
        <w:trPr>
          <w:trHeight w:val="171"/>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7"/>
              </w:rPr>
              <w:t>Lamar Advertising Company Class B common stock, $0.001 par value per share</w:t>
            </w: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14,420,085 shares</w:t>
            </w:r>
          </w:p>
        </w:tc>
      </w:tr>
      <w:tr>
        <w:trPr>
          <w:trHeight w:val="175"/>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Lamar Media Corp. common stock, $0.001 par value per share</w:t>
            </w: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100 shares</w:t>
            </w:r>
          </w:p>
        </w:tc>
      </w:tr>
      <w:tr>
        <w:trPr>
          <w:trHeight w:val="270"/>
        </w:trPr>
        <w:tc>
          <w:tcPr>
            <w:tcW w:w="4140" w:type="dxa"/>
            <w:vAlign w:val="bottom"/>
          </w:tcPr>
          <w:p>
            <w:pPr>
              <w:spacing w:after="0"/>
              <w:rPr>
                <w:sz w:val="23"/>
                <w:szCs w:val="23"/>
                <w:color w:val="auto"/>
              </w:rPr>
            </w:pPr>
          </w:p>
        </w:tc>
        <w:tc>
          <w:tcPr>
            <w:tcW w:w="70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Parts into Which Incorporated</w:t>
            </w:r>
          </w:p>
        </w:tc>
      </w:tr>
      <w:tr>
        <w:trPr>
          <w:trHeight w:val="164"/>
        </w:trPr>
        <w:tc>
          <w:tcPr>
            <w:tcW w:w="8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Proxy Statement for the Annual Meeting of Stockholders scheduled to be held on May 16, 2024 (Proxy Statement)</w:t>
            </w:r>
          </w:p>
        </w:tc>
        <w:tc>
          <w:tcPr>
            <w:tcW w:w="120" w:type="dxa"/>
            <w:vAlign w:val="bottom"/>
          </w:tcPr>
          <w:p>
            <w:pPr>
              <w:spacing w:after="0"/>
              <w:rPr>
                <w:sz w:val="14"/>
                <w:szCs w:val="14"/>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Part III</w:t>
            </w:r>
          </w:p>
        </w:tc>
      </w:tr>
    </w:tbl>
    <w:p>
      <w:pPr>
        <w:spacing w:after="0" w:line="104" w:lineRule="exact"/>
        <w:rPr>
          <w:sz w:val="20"/>
          <w:szCs w:val="20"/>
          <w:color w:val="auto"/>
        </w:rPr>
      </w:pPr>
    </w:p>
    <w:p>
      <w:pPr>
        <w:jc w:val="both"/>
        <w:ind w:right="20" w:firstLine="567"/>
        <w:spacing w:after="0" w:line="260" w:lineRule="auto"/>
        <w:rPr>
          <w:sz w:val="20"/>
          <w:szCs w:val="20"/>
          <w:color w:val="auto"/>
        </w:rPr>
      </w:pPr>
      <w:r>
        <w:rPr>
          <w:rFonts w:ascii="Times New Roman" w:cs="Times New Roman" w:eastAsia="Times New Roman" w:hAnsi="Times New Roman"/>
          <w:sz w:val="11"/>
          <w:szCs w:val="11"/>
          <w:b w:val="1"/>
          <w:bCs w:val="1"/>
          <w:color w:val="auto"/>
        </w:rPr>
        <w:t>This combined Form 10-K is separately filed by (i) Lamar Advertising Company and (ii) Lamar Media Corp. (which is a wholly owned subsidiary of Lamar Advertising Company). Lamar Media Corp. meets the conditions set forth in general instruction I(1) (a) and (b) of Form 10-K and is, therefore, filing this form with the reduced disclosure format permitted by such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left="10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4"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p>
      <w:pPr>
        <w:spacing w:after="0" w:line="23"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u w:val="single" w:color="auto"/>
          <w:color w:val="0000EE"/>
        </w:rPr>
        <w:t>Business</w:t>
      </w:r>
    </w:p>
    <w:p>
      <w:pPr>
        <w:spacing w:after="0" w:line="5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General</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Corporate History</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Operating Strategies</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Capital Allocation Strategy</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Company Operations</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Competition</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Geographic Diversification</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Taxable REIT Subsidiaries</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Advertising Tenants</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Regulation</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300" w:type="dxa"/>
            <w:vAlign w:val="bottom"/>
            <w:gridSpan w:val="17"/>
          </w:tcPr>
          <w:p>
            <w:pPr>
              <w:spacing w:after="0"/>
              <w:rPr>
                <w:sz w:val="17"/>
                <w:szCs w:val="17"/>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Real Estate Portfolio</w:t>
            </w:r>
          </w:p>
        </w:tc>
        <w:tc>
          <w:tcPr>
            <w:tcW w:w="6120" w:type="dxa"/>
            <w:vAlign w:val="bottom"/>
            <w:gridSpan w:val="15"/>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Contract Expirations</w:t>
            </w:r>
          </w:p>
        </w:tc>
        <w:tc>
          <w:tcPr>
            <w:tcW w:w="6140" w:type="dxa"/>
            <w:vAlign w:val="bottom"/>
            <w:gridSpan w:val="16"/>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Human Capital Resources</w:t>
            </w: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8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Inflation</w:t>
            </w:r>
          </w:p>
        </w:tc>
        <w:tc>
          <w:tcPr>
            <w:tcW w:w="5760" w:type="dxa"/>
            <w:vAlign w:val="bottom"/>
            <w:gridSpan w:val="13"/>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Seasonality</w:t>
            </w:r>
          </w:p>
        </w:tc>
        <w:tc>
          <w:tcPr>
            <w:tcW w:w="6800" w:type="dxa"/>
            <w:vAlign w:val="bottom"/>
            <w:gridSpan w:val="24"/>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Available Information</w:t>
            </w:r>
          </w:p>
        </w:tc>
        <w:tc>
          <w:tcPr>
            <w:tcW w:w="6040" w:type="dxa"/>
            <w:vAlign w:val="bottom"/>
            <w:gridSpan w:val="14"/>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Risk Factors</w:t>
            </w:r>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040" w:type="dxa"/>
            <w:vAlign w:val="bottom"/>
            <w:gridSpan w:val="14"/>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EE"/>
              </w:rPr>
              <w:t>Properties</w:t>
            </w:r>
          </w:p>
        </w:tc>
        <w:tc>
          <w:tcPr>
            <w:tcW w:w="7020" w:type="dxa"/>
            <w:vAlign w:val="bottom"/>
            <w:gridSpan w:val="25"/>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740" w:type="dxa"/>
            <w:vAlign w:val="bottom"/>
            <w:gridSpan w:val="22"/>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Mine Safety Disclosures</w:t>
            </w:r>
          </w:p>
        </w:tc>
      </w:tr>
      <w:tr>
        <w:trPr>
          <w:trHeight w:val="286"/>
        </w:trPr>
        <w:tc>
          <w:tcPr>
            <w:tcW w:w="140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9"/>
          </w:tcPr>
          <w:p>
            <w:pPr>
              <w:ind w:left="680"/>
              <w:spacing w:after="0"/>
              <w:rPr>
                <w:sz w:val="20"/>
                <w:szCs w:val="20"/>
                <w:color w:val="auto"/>
              </w:rPr>
            </w:pPr>
            <w:r>
              <w:rPr>
                <w:rFonts w:ascii="Times New Roman" w:cs="Times New Roman" w:eastAsia="Times New Roman" w:hAnsi="Times New Roman"/>
                <w:sz w:val="18"/>
                <w:szCs w:val="18"/>
                <w:b w:val="1"/>
                <w:bCs w:val="1"/>
                <w:color w:val="auto"/>
              </w:rPr>
              <w:t>PART II</w:t>
            </w:r>
          </w:p>
        </w:tc>
      </w:tr>
      <w:tr>
        <w:trPr>
          <w:trHeight w:val="194"/>
        </w:trPr>
        <w:tc>
          <w:tcPr>
            <w:tcW w:w="1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gridSpan w:val="30"/>
          </w:tcPr>
          <w:p>
            <w:pPr>
              <w:spacing w:after="0" w:line="194"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FF"/>
              </w:rPr>
              <w:t>Reserved</w:t>
            </w:r>
          </w:p>
        </w:tc>
        <w:tc>
          <w:tcPr>
            <w:tcW w:w="20" w:type="dxa"/>
            <w:vAlign w:val="bottom"/>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620" w:type="dxa"/>
            <w:vAlign w:val="bottom"/>
            <w:gridSpan w:val="3"/>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Lamar Advertising Company</w:t>
            </w:r>
          </w:p>
        </w:tc>
        <w:tc>
          <w:tcPr>
            <w:tcW w:w="5520" w:type="dxa"/>
            <w:vAlign w:val="bottom"/>
            <w:gridSpan w:val="12"/>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0"/>
              </w:rPr>
              <w:t>Overview</w:t>
            </w:r>
          </w:p>
        </w:tc>
        <w:tc>
          <w:tcPr>
            <w:tcW w:w="6520" w:type="dxa"/>
            <w:vAlign w:val="bottom"/>
            <w:gridSpan w:val="19"/>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6"/>
              </w:rPr>
              <w:t>Non-GAAP Financial Measures</w:t>
            </w:r>
          </w:p>
        </w:tc>
        <w:tc>
          <w:tcPr>
            <w:tcW w:w="4920" w:type="dxa"/>
            <w:vAlign w:val="bottom"/>
            <w:gridSpan w:val="10"/>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8"/>
              </w:rPr>
              <w:t>Results of Operations: Years Ended December 31, 2023 and 2022</w:t>
            </w:r>
          </w:p>
        </w:tc>
        <w:tc>
          <w:tcPr>
            <w:tcW w:w="2500" w:type="dxa"/>
            <w:vAlign w:val="bottom"/>
            <w:gridSpan w:val="4"/>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7"/>
              </w:rPr>
              <w:t>Liquidity and Capital Resources</w:t>
            </w:r>
          </w:p>
        </w:tc>
        <w:tc>
          <w:tcPr>
            <w:tcW w:w="4900" w:type="dxa"/>
            <w:vAlign w:val="bottom"/>
            <w:gridSpan w:val="9"/>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6"/>
              </w:rPr>
              <w:t>Critical Accounting Estimates</w:t>
            </w:r>
          </w:p>
        </w:tc>
        <w:tc>
          <w:tcPr>
            <w:tcW w:w="5060" w:type="dxa"/>
            <w:vAlign w:val="bottom"/>
            <w:gridSpan w:val="11"/>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7"/>
              </w:rPr>
              <w:t>Accounting Standards and Regulatory Update</w:t>
            </w:r>
          </w:p>
        </w:tc>
        <w:tc>
          <w:tcPr>
            <w:tcW w:w="3920" w:type="dxa"/>
            <w:vAlign w:val="bottom"/>
            <w:gridSpan w:val="8"/>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Lamar Media</w:t>
            </w:r>
          </w:p>
        </w:tc>
        <w:tc>
          <w:tcPr>
            <w:tcW w:w="6660" w:type="dxa"/>
            <w:vAlign w:val="bottom"/>
            <w:gridSpan w:val="21"/>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Results of Operations: Years Ended December 31, 2023 and 2022</w:t>
            </w:r>
          </w:p>
        </w:tc>
        <w:tc>
          <w:tcPr>
            <w:tcW w:w="2540" w:type="dxa"/>
            <w:vAlign w:val="bottom"/>
            <w:gridSpan w:val="5"/>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720" w:type="dxa"/>
            <w:vAlign w:val="bottom"/>
            <w:gridSpan w:val="7"/>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Financial Statements</w:t>
            </w:r>
          </w:p>
        </w:tc>
      </w:tr>
      <w:tr>
        <w:trPr>
          <w:trHeight w:val="20"/>
        </w:trPr>
        <w:tc>
          <w:tcPr>
            <w:tcW w:w="140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460" w:type="dxa"/>
            <w:vAlign w:val="bottom"/>
            <w:gridSpan w:val="1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1600" w:type="dxa"/>
            <w:vAlign w:val="bottom"/>
            <w:gridSpan w:val="2"/>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8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Controls and Procedures</w:t>
            </w: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5"/>
          </w:tcPr>
          <w:p>
            <w:pPr>
              <w:spacing w:after="0"/>
              <w:rPr>
                <w:sz w:val="21"/>
                <w:szCs w:val="21"/>
                <w:color w:val="auto"/>
              </w:rPr>
            </w:pPr>
          </w:p>
        </w:tc>
        <w:tc>
          <w:tcPr>
            <w:tcW w:w="6320" w:type="dxa"/>
            <w:vAlign w:val="bottom"/>
            <w:gridSpan w:val="18"/>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120" w:type="dxa"/>
            <w:vAlign w:val="bottom"/>
            <w:gridSpan w:val="6"/>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103</w:t>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103</w:t>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104</w:t>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104</w:t>
      </w:r>
    </w:p>
    <w:p>
      <w:pPr>
        <w:spacing w:after="0" w:line="200" w:lineRule="exact"/>
        <w:rPr>
          <w:sz w:val="20"/>
          <w:szCs w:val="20"/>
          <w:color w:val="auto"/>
        </w:rPr>
      </w:pPr>
    </w:p>
    <w:p>
      <w:pPr>
        <w:sectPr>
          <w:pgSz w:w="11900" w:h="16838" w:orient="portrait"/>
          <w:cols w:equalWidth="0" w:num="2">
            <w:col w:w="10200" w:space="720"/>
            <w:col w:w="260"/>
          </w:cols>
          <w:pgMar w:left="320" w:top="121" w:right="39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u w:val="single" w:color="auto"/>
          <w:color w:val="0000EE"/>
        </w:rPr>
        <w:t>Directors, Executive Officers and Corporate Governance</w:t>
      </w:r>
    </w:p>
    <w:p>
      <w:pPr>
        <w:spacing w:after="0" w:line="58"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11.</w:t>
      </w:r>
      <w:r>
        <w:rPr>
          <w:sz w:val="20"/>
          <w:szCs w:val="20"/>
          <w:color w:val="auto"/>
        </w:rPr>
        <w:tab/>
      </w:r>
      <w:r>
        <w:rPr>
          <w:rFonts w:ascii="Times New Roman" w:cs="Times New Roman" w:eastAsia="Times New Roman" w:hAnsi="Times New Roman"/>
          <w:sz w:val="17"/>
          <w:szCs w:val="17"/>
          <w:u w:val="single" w:color="auto"/>
          <w:color w:val="0000EE"/>
        </w:rPr>
        <w:t>Executive Compensation</w:t>
      </w:r>
    </w:p>
    <w:p>
      <w:pPr>
        <w:spacing w:after="0" w:line="63"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12.</w:t>
      </w:r>
      <w:r>
        <w:rPr>
          <w:sz w:val="20"/>
          <w:szCs w:val="20"/>
          <w:color w:val="auto"/>
        </w:rPr>
        <w:tab/>
      </w:r>
      <w:r>
        <w:rPr>
          <w:rFonts w:ascii="Times New Roman" w:cs="Times New Roman" w:eastAsia="Times New Roman" w:hAnsi="Times New Roman"/>
          <w:sz w:val="17"/>
          <w:szCs w:val="17"/>
          <w:u w:val="single" w:color="auto"/>
          <w:color w:val="0000EE"/>
        </w:rPr>
        <w:t>Security Ownership of Certain Beneficial Owners and Management and Related Stockholder Matters</w:t>
      </w:r>
    </w:p>
    <w:p>
      <w:pPr>
        <w:spacing w:after="0" w:line="63"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13.</w:t>
      </w:r>
      <w:r>
        <w:rPr>
          <w:sz w:val="20"/>
          <w:szCs w:val="20"/>
          <w:color w:val="auto"/>
        </w:rPr>
        <w:tab/>
      </w:r>
      <w:r>
        <w:rPr>
          <w:rFonts w:ascii="Times New Roman" w:cs="Times New Roman" w:eastAsia="Times New Roman" w:hAnsi="Times New Roman"/>
          <w:sz w:val="17"/>
          <w:szCs w:val="17"/>
          <w:u w:val="single" w:color="auto"/>
          <w:color w:val="0000EE"/>
        </w:rPr>
        <w:t>Certain Relationships and Related Transactions, and Director Independence</w:t>
      </w:r>
    </w:p>
    <w:p>
      <w:pPr>
        <w:spacing w:after="0" w:line="63"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14.</w:t>
      </w:r>
      <w:r>
        <w:rPr>
          <w:sz w:val="20"/>
          <w:szCs w:val="20"/>
          <w:color w:val="auto"/>
        </w:rPr>
        <w:tab/>
      </w:r>
      <w:r>
        <w:rPr>
          <w:rFonts w:ascii="Times New Roman" w:cs="Times New Roman" w:eastAsia="Times New Roman" w:hAnsi="Times New Roman"/>
          <w:sz w:val="17"/>
          <w:szCs w:val="17"/>
          <w:u w:val="single" w:color="auto"/>
          <w:color w:val="0000EE"/>
        </w:rPr>
        <w:t>Principal Accounting Fees and Services</w:t>
      </w:r>
    </w:p>
    <w:p>
      <w:pPr>
        <w:spacing w:after="0" w:line="59"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u w:val="single" w:color="auto"/>
          <w:color w:val="0000EE"/>
        </w:rPr>
        <w:t>Exhibits, Financial Statement Schedules</w:t>
      </w:r>
    </w:p>
    <w:p>
      <w:pPr>
        <w:spacing w:after="0" w:line="58"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16.</w:t>
      </w:r>
      <w:r>
        <w:rPr>
          <w:sz w:val="20"/>
          <w:szCs w:val="20"/>
          <w:color w:val="auto"/>
        </w:rPr>
        <w:tab/>
      </w:r>
      <w:r>
        <w:rPr>
          <w:rFonts w:ascii="Times New Roman" w:cs="Times New Roman" w:eastAsia="Times New Roman" w:hAnsi="Times New Roman"/>
          <w:sz w:val="17"/>
          <w:szCs w:val="17"/>
          <w:u w:val="single" w:color="auto"/>
          <w:color w:val="0000EE"/>
        </w:rPr>
        <w:t>Form 10-K Summary</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Index to Exhibits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10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w:t>
      </w:r>
    </w:p>
    <w:p>
      <w:pPr>
        <w:sectPr>
          <w:pgSz w:w="11900" w:h="16838" w:orient="portrait"/>
          <w:cols w:equalWidth="0" w:num="2">
            <w:col w:w="10200" w:space="720"/>
            <w:col w:w="260"/>
          </w:cols>
          <w:pgMar w:left="320" w:top="121"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2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 (i) our future financial performance and condition; (ii) our business plans, objectives, prospects, growth and operating strategies; (iii) our future capital expenditures and level of acquisition activity; (iv) our ability to integrate acquired assets and realize operating efficiency from acquisitions; (v) market opportunities and competitive positions; (vi) our future cash flows and expected cash requirements; (vii) expected timing and amount of distributions to our stockholders; (viii) estimated risks; (ix) our ability to maintain compliance with applicable covenants and restrictions included in Lamar Media Corp’s (“Lamar Media”) senior credit facility, Accounts Receivable Securitization Program (as defined herein) and the indentures relating to its outstanding notes; (x) stock price; and (xi) our ability to remain qualified as a real estate investment trust (“REIT”).</w:t>
      </w:r>
    </w:p>
    <w:p>
      <w:pPr>
        <w:spacing w:after="0" w:line="194"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uncertainties and other important factors, including but not limited to the following, any of which may cause our actual results, performance or achievements to differ materially from those expressed or implied by the forward-looking statements: (i) the state of the economy and financial markets generally and their effects on the markets in which we operate and the broader demand for advertising; (ii) the levels of expenditures on advertising in general and outdoor advertising in particular; (iii) risks and uncertainties relating to our significant indebtedness; (iv) the demand for outdoor advertising and its continued popularity as an advertising medium; (v) our need for, and ability to obtain, additional funding for acquisitions, operations and debt refinancing; (vi) increased competition within the outdoor advertising industry; (vii) the regulation of the outdoor advertising industry by federal, state and local governments; (viii) our ability to renew expiring contracts at favorable rates;</w:t>
      </w:r>
    </w:p>
    <w:p>
      <w:pPr>
        <w:spacing w:after="0" w:line="3" w:lineRule="exact"/>
        <w:rPr>
          <w:sz w:val="20"/>
          <w:szCs w:val="20"/>
          <w:color w:val="auto"/>
        </w:rPr>
      </w:pPr>
    </w:p>
    <w:p>
      <w:pPr>
        <w:jc w:val="both"/>
        <w:ind w:firstLine="8"/>
        <w:spacing w:after="0" w:line="253" w:lineRule="auto"/>
        <w:tabs>
          <w:tab w:leader="none" w:pos="3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businesses and assets that we acquire and our ability to recognize cost savings and operating efficiencies as a result of these acquisitions; (x) our ability to successfully implement our digital deployment strategy; (xi) the market for our Class A common stock; (xii) changes in accounting principles, policies or guidelines; (xiii) our ability to effectively mitigate the threat of and damages caused by hurricanes and other kinds of severe weather; (xiv) our ability to maintain our status as a REIT; and (xv) changes in tax laws applicable to REITs or in the interpretation of those laws.</w:t>
      </w:r>
    </w:p>
    <w:p>
      <w:pPr>
        <w:spacing w:after="0" w:line="18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Company and Lamar Media Corp. expressly disclaim any obligation or undertaking to update or revise any forward-looking statement contained in this report,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industry and market data presented throughout this report are based on the experience and estimates of our management and the data in reports issued by third-parties, including the Out of Home Advertising Association of America (OAAA). In each case, we believe this industry and market data is reasonable. We have not, however, independently verified the industry and market data derived from third-party sources, and no independent source has verified the industry and market data derived from management’s experience and estimates.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right="20" w:firstLine="567"/>
        <w:spacing w:after="0" w:line="261" w:lineRule="auto"/>
        <w:rPr>
          <w:sz w:val="20"/>
          <w:szCs w:val="20"/>
          <w:color w:val="auto"/>
        </w:rPr>
      </w:pPr>
      <w:r>
        <w:rPr>
          <w:rFonts w:ascii="Times New Roman" w:cs="Times New Roman" w:eastAsia="Times New Roman" w:hAnsi="Times New Roman"/>
          <w:sz w:val="18"/>
          <w:szCs w:val="18"/>
          <w:color w:val="auto"/>
        </w:rPr>
        <w:t>Lamar Advertising Company is one of the largest outdoor advertising companies in the United States based on number of displays and has operated under the Lamar name since 1902. We operate in a single operating and reporting segment, advertising. We rent space for advertising on billboards, buses, shelters, benches, logo plates and in airport terminals. We offer our customers a fully integrated service, satisfying all aspects of their display requirements from ad copy production to placement and maintenance.</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operate three types of outdoor advertising displays: billboards, logo signs and transit advertising displays.</w:t>
      </w:r>
    </w:p>
    <w:p>
      <w:pPr>
        <w:spacing w:after="0" w:line="223"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Billboards. </w:t>
      </w:r>
      <w:r>
        <w:rPr>
          <w:rFonts w:ascii="Times New Roman" w:cs="Times New Roman" w:eastAsia="Times New Roman" w:hAnsi="Times New Roman"/>
          <w:sz w:val="18"/>
          <w:szCs w:val="18"/>
          <w:color w:val="auto"/>
        </w:rPr>
        <w:t>As of December 31, 2023, we owned and operated approximately 160,400 billboard advertising displays in 45 states and Canada.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 most of our advertising space on two types of billboards: bulletins and posters.</w:t>
      </w:r>
    </w:p>
    <w:p>
      <w:pPr>
        <w:spacing w:after="0" w:line="50" w:lineRule="exact"/>
        <w:rPr>
          <w:sz w:val="20"/>
          <w:szCs w:val="20"/>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Bulletins </w:t>
      </w:r>
      <w:r>
        <w:rPr>
          <w:rFonts w:ascii="Times New Roman" w:cs="Times New Roman" w:eastAsia="Times New Roman" w:hAnsi="Times New Roman"/>
          <w:sz w:val="18"/>
          <w:szCs w:val="18"/>
          <w:color w:val="auto"/>
        </w:rPr>
        <w:t>are generally large, illuminated advertising structures that are located on major highways and target vehicular traffic.</w:t>
      </w:r>
    </w:p>
    <w:p>
      <w:pPr>
        <w:spacing w:after="0" w:line="117" w:lineRule="exact"/>
        <w:rPr>
          <w:rFonts w:ascii="Times New Roman" w:cs="Times New Roman" w:eastAsia="Times New Roman" w:hAnsi="Times New Roman"/>
          <w:sz w:val="18"/>
          <w:szCs w:val="18"/>
          <w:i w:val="1"/>
          <w:iCs w:val="1"/>
          <w:color w:val="auto"/>
        </w:rPr>
      </w:pPr>
    </w:p>
    <w:p>
      <w:pPr>
        <w:ind w:left="1140" w:right="20" w:hanging="565"/>
        <w:spacing w:after="0" w:line="284" w:lineRule="auto"/>
        <w:tabs>
          <w:tab w:leader="none" w:pos="11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Posters </w:t>
      </w:r>
      <w:r>
        <w:rPr>
          <w:rFonts w:ascii="Times New Roman" w:cs="Times New Roman" w:eastAsia="Times New Roman" w:hAnsi="Times New Roman"/>
          <w:sz w:val="18"/>
          <w:szCs w:val="18"/>
          <w:color w:val="auto"/>
        </w:rPr>
        <w:t>are generally smaller advertising structures that are located on major traffic arteries and city streets and target vehicular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pedestrian traffic.</w:t>
      </w:r>
    </w:p>
    <w:p>
      <w:pPr>
        <w:spacing w:after="0" w:line="160"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In addition to traditional billboards, we also rent space on digital billboards, which are generally located on major traffic arteries and city streets. As of December 31, 2023, we owned and operated approximately 4,750 digital billboard advertising displays in 43 states and Canada.</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 xml:space="preserve">Logo signs. </w:t>
      </w:r>
      <w:r>
        <w:rPr>
          <w:rFonts w:ascii="Times New Roman" w:cs="Times New Roman" w:eastAsia="Times New Roman" w:hAnsi="Times New Roman"/>
          <w:sz w:val="18"/>
          <w:szCs w:val="18"/>
          <w:color w:val="auto"/>
        </w:rPr>
        <w:t>We rent advertising space on logo signs located near highway exits.</w:t>
      </w:r>
    </w:p>
    <w:p>
      <w:pPr>
        <w:spacing w:after="0" w:line="117" w:lineRule="exact"/>
        <w:rPr>
          <w:sz w:val="20"/>
          <w:szCs w:val="20"/>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Logo signs </w:t>
      </w:r>
      <w:r>
        <w:rPr>
          <w:rFonts w:ascii="Times New Roman" w:cs="Times New Roman" w:eastAsia="Times New Roman" w:hAnsi="Times New Roman"/>
          <w:sz w:val="18"/>
          <w:szCs w:val="18"/>
          <w:color w:val="auto"/>
        </w:rPr>
        <w:t>generally advertise nearby gas, food, camping, lodging and other attractions.</w:t>
      </w:r>
    </w:p>
    <w:p>
      <w:pPr>
        <w:spacing w:after="0" w:line="227"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We are the largest provider of logo signs in the United States, operating 23 of the 26 privatized state logo sign contracts. As of December 31, 2023, we operated approximately 139,250 logo sign advertising displays in 23 states and the province of Ontario, Canada.</w:t>
      </w:r>
    </w:p>
    <w:p>
      <w:pPr>
        <w:spacing w:after="0" w:line="160"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Transit advertising displays. </w:t>
      </w:r>
      <w:r>
        <w:rPr>
          <w:rFonts w:ascii="Times New Roman" w:cs="Times New Roman" w:eastAsia="Times New Roman" w:hAnsi="Times New Roman"/>
          <w:sz w:val="18"/>
          <w:szCs w:val="18"/>
          <w:color w:val="auto"/>
        </w:rPr>
        <w:t>We also rent advertising space on the exterior and interior of public transportation vehicles, in airport terminals, and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 shelters and benches in over 80 markets. As of December 31, 2023, we operated approximately 47,850 transit advertising displays in 24 states and Canada.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have operated under the Lamar name since our founding in 1902 and have been publicly traded on NASDAQ under the symbol “LAMR” since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1996.</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During 2014, we completed a reorganization in order to qualify as a real estate investment trust (a “REIT”) for federal income tax purposes. During 2022, the Company completed a tax reorganization to a specific type of REIT known as an Umbrella Partnership Real Estate Investment Trust ("UPREIT"). The UPREIT structure allows property owners of appreciated properties to contribute property to the operating partnership of the REIT, on a tax-deferred basis, in exchange for a partnership interest in the form of operating partnership units.</w:t>
      </w:r>
    </w:p>
    <w:p>
      <w:pPr>
        <w:spacing w:after="0" w:line="18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this Annual Report, unless the context otherwise requires, we refer to Lamar Advertising Company and its consolidated subsidiaries (and its predecessor and its consolidated subsidiaries), as applicable, as the “Company”, “Lamar Advertising” or “we”, and we refer to Lamar Advertising’s wholly owned subsidiary Lamar Media Corp. as “Lamar Media.”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STRATEGIES</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We strive to be a leading provider of outdoor advertising services in each of the markets that we serve, and our operating strategies for achieving that goal include:</w:t>
      </w:r>
    </w:p>
    <w:p>
      <w:pPr>
        <w:spacing w:after="0" w:line="158"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to provide high quality local sales and service. </w:t>
      </w:r>
      <w:r>
        <w:rPr>
          <w:rFonts w:ascii="Times New Roman" w:cs="Times New Roman" w:eastAsia="Times New Roman" w:hAnsi="Times New Roman"/>
          <w:sz w:val="18"/>
          <w:szCs w:val="18"/>
          <w:color w:val="auto"/>
        </w:rPr>
        <w:t>We seek to identify and closely monitor the needs of our tenants and to provide them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full complement of high quality advertising services. Local advertising constituted approximately 78% of our outdoor net revenues for the year ended December 31, 2023, which management believes is higher than the industry average. We believe that the experience of our regional, territory and local managers has contributed greatly to our success. For example, our regional managers have been with us for an average of 32 years. In an effort to provide high quality sales and service at the local level, we employed approximately 985 local account executives as of December 31, 2023. Local account executives are typically supported by additional local staff and have the ability to draw upon the resources of our central office, as well as our offices in other markets, in the event business opportunities or customers’ needs support such an allocation of resources.</w:t>
      </w:r>
    </w:p>
    <w:p>
      <w:pPr>
        <w:spacing w:after="0" w:line="183" w:lineRule="exact"/>
        <w:rPr>
          <w:sz w:val="20"/>
          <w:szCs w:val="20"/>
          <w:color w:val="auto"/>
        </w:rPr>
      </w:pPr>
    </w:p>
    <w:p>
      <w:pPr>
        <w:jc w:val="both"/>
        <w:ind w:firstLine="56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a centralized control and decentralized management structure. </w:t>
      </w:r>
      <w:r>
        <w:rPr>
          <w:rFonts w:ascii="Times New Roman" w:cs="Times New Roman" w:eastAsia="Times New Roman" w:hAnsi="Times New Roman"/>
          <w:sz w:val="18"/>
          <w:szCs w:val="18"/>
          <w:color w:val="auto"/>
        </w:rPr>
        <w:t>Our management believes that, for our particular business, centralized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and a decentralized organization provide for greater economies of scale and are more responsive to local market demands. Therefore, we maintain centralized accounting and financial control over our local operations, but our local managers are responsible for the day-to-day operations in each local market and are compensated according to that market’s financial performance.</w:t>
      </w:r>
    </w:p>
    <w:p>
      <w:pPr>
        <w:spacing w:after="0" w:line="176" w:lineRule="exact"/>
        <w:rPr>
          <w:sz w:val="20"/>
          <w:szCs w:val="20"/>
          <w:color w:val="auto"/>
        </w:rPr>
      </w:pPr>
    </w:p>
    <w:p>
      <w:pPr>
        <w:jc w:val="both"/>
        <w:ind w:firstLine="56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to focus on internal growth. </w:t>
      </w:r>
      <w:r>
        <w:rPr>
          <w:rFonts w:ascii="Times New Roman" w:cs="Times New Roman" w:eastAsia="Times New Roman" w:hAnsi="Times New Roman"/>
          <w:sz w:val="18"/>
          <w:szCs w:val="18"/>
          <w:color w:val="auto"/>
        </w:rPr>
        <w:t>Within our existing markets we seek to increase our revenue and improve cash flow by employing highly-targeted local marketing efforts to improve our display occupancy rates and by increasing advertising rates where and when demand can absorb rate increases. Our local offices spearhead this effort and respond to local customer demands quickly.</w:t>
      </w:r>
    </w:p>
    <w:p>
      <w:pPr>
        <w:spacing w:after="0" w:line="17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In addition, we routinely invest in upgrading our existing displays and constructing new displays. Since January 1, 2014, we have invested approximately $1.23 billion in capitalized expenditures, which include improvements to our existing real estate portfolio, improvements to recently acquired locations and the construction of new locations. Our regular improvement and expansion of our advertising display inventory allows us to provide high quality service to our current tenants and to attract new tenants.</w:t>
      </w:r>
    </w:p>
    <w:p>
      <w:pPr>
        <w:spacing w:after="0" w:line="176" w:lineRule="exact"/>
        <w:rPr>
          <w:sz w:val="20"/>
          <w:szCs w:val="20"/>
          <w:color w:val="auto"/>
        </w:rPr>
      </w:pPr>
    </w:p>
    <w:p>
      <w:pPr>
        <w:jc w:val="both"/>
        <w:ind w:firstLine="567"/>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to pursue other outdoor advertising opportunities. </w:t>
      </w:r>
      <w:r>
        <w:rPr>
          <w:rFonts w:ascii="Times New Roman" w:cs="Times New Roman" w:eastAsia="Times New Roman" w:hAnsi="Times New Roman"/>
          <w:sz w:val="18"/>
          <w:szCs w:val="18"/>
          <w:color w:val="auto"/>
        </w:rPr>
        <w:t>We plan to renew existing logo sign contracts and pursue additional logo 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contracts. Logo sign opportunities arise periodically, both from states initiating new logo sign programs and states converting from government-owned and operated programs to privately-owned and operated programs. Furthermore, we plan to pursue additional tourist oriented directional sign programs in both the United States and Canada and also other motorist information signing programs as opportunities present themselves. In addition, in an effort to maintain market share, we continue to pursue attractive transit and airport advertising opportunities as they become available.</w:t>
      </w:r>
    </w:p>
    <w:p>
      <w:pPr>
        <w:spacing w:after="0" w:line="179" w:lineRule="exact"/>
        <w:rPr>
          <w:sz w:val="20"/>
          <w:szCs w:val="20"/>
          <w:color w:val="auto"/>
        </w:rPr>
      </w:pPr>
    </w:p>
    <w:p>
      <w:pPr>
        <w:jc w:val="both"/>
        <w:ind w:firstLine="56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Reinvesting in capital expenditures including digital technology. </w:t>
      </w:r>
      <w:r>
        <w:rPr>
          <w:rFonts w:ascii="Times New Roman" w:cs="Times New Roman" w:eastAsia="Times New Roman" w:hAnsi="Times New Roman"/>
          <w:sz w:val="18"/>
          <w:szCs w:val="18"/>
          <w:color w:val="auto"/>
        </w:rPr>
        <w:t>We have a history of investing in capital expenditures, particularly in our digital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We spent approximately $178.3 million in total capital expenditures in fiscal year 2023, of which approximately $75.5 million was spent on digital technology. We expect our 2024 capitalized expenditures to be approximately $125 million.</w:t>
      </w:r>
    </w:p>
    <w:p>
      <w:pPr>
        <w:spacing w:after="0" w:line="171" w:lineRule="exact"/>
        <w:rPr>
          <w:sz w:val="20"/>
          <w:szCs w:val="20"/>
          <w:color w:val="auto"/>
        </w:rPr>
      </w:pPr>
    </w:p>
    <w:p>
      <w:pPr>
        <w:jc w:val="both"/>
        <w:ind w:firstLine="56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Growing our out-of-home programmatic channel. </w:t>
      </w:r>
      <w:r>
        <w:rPr>
          <w:rFonts w:ascii="Times New Roman" w:cs="Times New Roman" w:eastAsia="Times New Roman" w:hAnsi="Times New Roman"/>
          <w:sz w:val="18"/>
          <w:szCs w:val="18"/>
          <w:color w:val="auto"/>
        </w:rPr>
        <w:t>We offer a portion of our unsold digital display inventory to advertisers via our programmatic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Through these programmatic partners, advertisers can buy advertising space across multiple channels, allowing them to complement their existing campaigns by leasing our digital out-of-home offerings. While the programmatic out-of-home channel is relatively new and a small portion of our existing business, we believe it represents a growth area for our industry and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ALLOCATION STRATEGY</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objective of our capital allocation strategy is to simultaneously increase adjusted funds from operations and our return on invested capital. To maintain our REIT status, we are required to distribute to our stockholders annually an amount equal to at least 90% of our REIT taxable income, excluding net capital gains. After complying with our REIT distribution requirements, we plan to continue to allocate our available capital among investment alternatives that meet our return on investment criteria. During 2023, we generated $783.6 million of cash from operating activities, which was used to fund capital expenditures, acquisitions, and dividends to our stockholders.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140" w:hanging="565"/>
        <w:spacing w:after="0" w:line="262" w:lineRule="auto"/>
        <w:tabs>
          <w:tab w:leader="none" w:pos="1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 expenditures program. </w:t>
      </w:r>
      <w:r>
        <w:rPr>
          <w:rFonts w:ascii="Times New Roman" w:cs="Times New Roman" w:eastAsia="Times New Roman" w:hAnsi="Times New Roman"/>
          <w:sz w:val="18"/>
          <w:szCs w:val="18"/>
          <w:color w:val="auto"/>
        </w:rPr>
        <w:t>We will continue to reinvest in our existing assets and expand our outdoor advertising display portfolio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new construction. This includes growth and maintenance capital expenditures associated with the construction of new and existing billboard displays, the entrance into and renewal of logo sign and transit contracts, technology-related investments and the purchase of real estate and operating equipment.</w:t>
      </w:r>
    </w:p>
    <w:p>
      <w:pPr>
        <w:spacing w:after="0" w:line="68" w:lineRule="exact"/>
        <w:rPr>
          <w:rFonts w:ascii="Times New Roman" w:cs="Times New Roman" w:eastAsia="Times New Roman" w:hAnsi="Times New Roman"/>
          <w:sz w:val="18"/>
          <w:szCs w:val="18"/>
          <w:color w:val="auto"/>
        </w:rPr>
      </w:pPr>
    </w:p>
    <w:p>
      <w:pPr>
        <w:jc w:val="both"/>
        <w:ind w:left="1140" w:hanging="565"/>
        <w:spacing w:after="0" w:line="268" w:lineRule="auto"/>
        <w:tabs>
          <w:tab w:leader="none" w:pos="1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We will seek to pursue strategic acquisitions of outdoor advertising businesses and assets. This includes acquisitions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markets and in new markets where we can meet our return on investment criteria. When evaluating investments in new markets, our return on investment criteria reflects the additional risks inherent to the particular geographic area.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Billboard Advertising</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rent most of our advertising space on two types of billboard advertising displays: bulletins and posters. As of December 31, 2023, we owned and operated approximately 160,400 billboard advertising displays in 45 states and Canada. In 2023, we derived approximately 77% of our billboard advertising net revenues from bulletin rentals and 23% from poster rentals.</w:t>
      </w:r>
    </w:p>
    <w:p>
      <w:pPr>
        <w:spacing w:after="0" w:line="17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Bulletins </w:t>
      </w:r>
      <w:r>
        <w:rPr>
          <w:rFonts w:ascii="Times New Roman" w:cs="Times New Roman" w:eastAsia="Times New Roman" w:hAnsi="Times New Roman"/>
          <w:sz w:val="18"/>
          <w:szCs w:val="18"/>
          <w:color w:val="auto"/>
        </w:rPr>
        <w:t>are large advertising structures (the most common size is 14 feet high by 48 feet wide, or 672 square feet) consisting of panels 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copy is displayed. We wrap advertising copy printed with computer-generated graphics on a single sheet of vinyl around the structure. To attract more attention, some of the panels may extend beyond the linear edges of the display face and may include three-dimensional embellishments. Because of their greater impact and higher cost, bulletins are usually located on major highways and target vehicular traffic. At December 31, 2023, we operated approximately 79,400 bulletin displays.</w:t>
      </w:r>
    </w:p>
    <w:p>
      <w:pPr>
        <w:spacing w:after="0" w:line="18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generally rent individually-selected bulletin space to advertisers for the duration of the contract (ranging from 4 to 52 weeks). We also rent bulletins as part of a rotary plan under which we rotate the advertising copy from one bulletin location to another within a particular market at stated intervals (usually every sixty to ninety days) to achieve greater reach within that market.</w:t>
      </w:r>
    </w:p>
    <w:p>
      <w:pPr>
        <w:spacing w:after="0" w:line="17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Posters </w:t>
      </w:r>
      <w:r>
        <w:rPr>
          <w:rFonts w:ascii="Times New Roman" w:cs="Times New Roman" w:eastAsia="Times New Roman" w:hAnsi="Times New Roman"/>
          <w:sz w:val="18"/>
          <w:szCs w:val="18"/>
          <w:color w:val="auto"/>
        </w:rPr>
        <w:t>are smaller advertising structures (the most common size is 11 feet high by 23 feet wide, or 253 square feet; we also operate junior posters,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5 feet high by 11 feet wide, or 55 square feet). Poster panels utilize a single flexible sheet of polyethylene material that inserts onto the face of the panel. Posters are concentrated on major traffic arteries and target vehicular traffic, and junior posters are concentrated on city streets and target hard-to-reach pedestrian traffic and nearby residents. At December 31, 2023, we operated approximately 81,000 poster displays.</w:t>
      </w:r>
    </w:p>
    <w:p>
      <w:pPr>
        <w:spacing w:after="0" w:line="18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generally rent poster space for 4 to 26 weeks, determined by the advertiser’s campaign needs. Posters are sold in packages of Target Rating Point (“TRP”) levels, which determine the percentage of a target audience an advertiser needs to reach. A package may include a combination of poster locations in order to meet reach and frequency campaign goals.</w:t>
      </w:r>
    </w:p>
    <w:p>
      <w:pPr>
        <w:spacing w:after="0" w:line="17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addition to the traditional static displays, we also rent digital billboards. Digital billboards are large electronic light emitting diode (“LED”) displays (the most common sizes are 14 feet high by 48 feet wide, or 672 square feet; 10.5 feet high by 36 feet wide, or 378 square feet; and 10 feet high by 21 feet wide, or 210 square feet) that are generally located on major traffic arteries and city streets. Digital billboards are capable of generating over one billion colors and vary in brightness based on ambient conditions. They display completely digital advertising copy from various advertisers in a slide show fashion, rotating each advertisement approximately every 6 to 8 seconds. At December 31, 2023, our inventory included approximately 4,750 digital display billboards in various markets. These 4,750 digital billboards generated approximately 31% of billboard advertising net revenue.</w:t>
      </w:r>
    </w:p>
    <w:p>
      <w:pPr>
        <w:spacing w:after="0" w:line="18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We own the physical structures on which the advertising copy is displayed. We build the structures on locations we either own or lease. In each local office, one employee typically performs site leasing activities for the markets served by that office. See Item 2. — “Properties.”</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In the majority of our markets, our local production staffs perform the full range of activities required to create and install billboard advertising displays. Production work includes creating the advertising copy design and layout, coordinating its printing and installing the designs on the displays. Our talented design staff uses state-of-the-art technology to prepare creative, eye-catching displays for our tenants. We can also help with the strategic placement of advertisements throughout an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advertiser’s market by using software that allows us to analyze the target audience and its demographics. Our artists also assist in developing marketing presentations, demonstrations and strategies to attract new tenant advertisers.</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marketing billboard displays to advertisers, we compete with other forms of out-of-home advertising and other media. When selecting the media and provider through which to advertise, advertisers consider a number of factors and advertising providers, which are described in the section titled — “Competition”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Logo Sign Advertising</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entered the logo sign advertising business in 1988 and have become the largest provider of logo sign services in the United States, operating 23 of the 26 privatized state logo contracts. We erect logo signs, which generally advertise nearby gas, food, camping, lodging and other attractions, and directional signs, which direct vehicle traffic to nearby services and tourist attractions, near highway exits. As of December 31, 2023, we operated approximately 42,200 logo sign structures containing approximately 139,250 logo advertising displays in the United States and Canada.</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operate the logo sign contracts in the province of Ontario, Canada and in the following states: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Colorado</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Kansas</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Minnesota</w:t>
            </w:r>
          </w:p>
        </w:tc>
        <w:tc>
          <w:tcPr>
            <w:tcW w:w="1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Montana</w:t>
            </w:r>
          </w:p>
        </w:tc>
        <w:tc>
          <w:tcPr>
            <w:tcW w:w="1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Hampshire</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Ohio</w:t>
            </w: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188"/>
        </w:trPr>
        <w:tc>
          <w:tcPr>
            <w:tcW w:w="11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Delaware</w:t>
            </w:r>
          </w:p>
        </w:tc>
        <w:tc>
          <w:tcPr>
            <w:tcW w:w="1600" w:type="dxa"/>
            <w:vAlign w:val="bottom"/>
          </w:tcPr>
          <w:p>
            <w:pPr>
              <w:ind w:left="440"/>
              <w:spacing w:after="0" w:line="188" w:lineRule="exact"/>
              <w:rPr>
                <w:sz w:val="20"/>
                <w:szCs w:val="20"/>
                <w:color w:val="auto"/>
              </w:rPr>
            </w:pPr>
            <w:r>
              <w:rPr>
                <w:rFonts w:ascii="Times New Roman" w:cs="Times New Roman" w:eastAsia="Times New Roman" w:hAnsi="Times New Roman"/>
                <w:sz w:val="18"/>
                <w:szCs w:val="18"/>
                <w:color w:val="auto"/>
              </w:rPr>
              <w:t>Kentucky</w:t>
            </w:r>
          </w:p>
        </w:tc>
        <w:tc>
          <w:tcPr>
            <w:tcW w:w="1640" w:type="dxa"/>
            <w:vAlign w:val="bottom"/>
          </w:tcPr>
          <w:p>
            <w:pPr>
              <w:ind w:left="440"/>
              <w:spacing w:after="0" w:line="188" w:lineRule="exact"/>
              <w:rPr>
                <w:sz w:val="20"/>
                <w:szCs w:val="20"/>
                <w:color w:val="auto"/>
              </w:rPr>
            </w:pPr>
            <w:r>
              <w:rPr>
                <w:rFonts w:ascii="Times New Roman" w:cs="Times New Roman" w:eastAsia="Times New Roman" w:hAnsi="Times New Roman"/>
                <w:sz w:val="18"/>
                <w:szCs w:val="18"/>
                <w:color w:val="auto"/>
              </w:rPr>
              <w:t>Mississippi</w:t>
            </w:r>
          </w:p>
        </w:tc>
        <w:tc>
          <w:tcPr>
            <w:tcW w:w="1520" w:type="dxa"/>
            <w:vAlign w:val="bottom"/>
          </w:tcPr>
          <w:p>
            <w:pPr>
              <w:ind w:left="400"/>
              <w:spacing w:after="0" w:line="188" w:lineRule="exact"/>
              <w:rPr>
                <w:sz w:val="20"/>
                <w:szCs w:val="20"/>
                <w:color w:val="auto"/>
              </w:rPr>
            </w:pPr>
            <w:r>
              <w:rPr>
                <w:rFonts w:ascii="Times New Roman" w:cs="Times New Roman" w:eastAsia="Times New Roman" w:hAnsi="Times New Roman"/>
                <w:sz w:val="18"/>
                <w:szCs w:val="18"/>
                <w:color w:val="auto"/>
              </w:rPr>
              <w:t>Nebraska</w:t>
            </w:r>
          </w:p>
        </w:tc>
        <w:tc>
          <w:tcPr>
            <w:tcW w:w="1840" w:type="dxa"/>
            <w:vAlign w:val="bottom"/>
          </w:tcPr>
          <w:p>
            <w:pPr>
              <w:ind w:left="460"/>
              <w:spacing w:after="0" w:line="188" w:lineRule="exact"/>
              <w:rPr>
                <w:sz w:val="20"/>
                <w:szCs w:val="20"/>
                <w:color w:val="auto"/>
              </w:rPr>
            </w:pPr>
            <w:r>
              <w:rPr>
                <w:rFonts w:ascii="Times New Roman" w:cs="Times New Roman" w:eastAsia="Times New Roman" w:hAnsi="Times New Roman"/>
                <w:sz w:val="18"/>
                <w:szCs w:val="18"/>
                <w:color w:val="auto"/>
              </w:rPr>
              <w:t>New Jersey</w:t>
            </w:r>
          </w:p>
        </w:tc>
        <w:tc>
          <w:tcPr>
            <w:tcW w:w="156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color w:val="auto"/>
              </w:rPr>
              <w:t>Oklahoma</w:t>
            </w:r>
          </w:p>
        </w:tc>
        <w:tc>
          <w:tcPr>
            <w:tcW w:w="100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color w:val="auto"/>
              </w:rPr>
              <w:t>Utah</w:t>
            </w: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Louisiana</w:t>
            </w:r>
          </w:p>
        </w:tc>
        <w:tc>
          <w:tcPr>
            <w:tcW w:w="1640" w:type="dxa"/>
            <w:vAlign w:val="bottom"/>
          </w:tcPr>
          <w:p>
            <w:pPr>
              <w:ind w:left="440"/>
              <w:spacing w:after="0" w:line="271" w:lineRule="exact"/>
              <w:rPr>
                <w:sz w:val="20"/>
                <w:szCs w:val="20"/>
                <w:color w:val="auto"/>
              </w:rPr>
            </w:pPr>
            <w:r>
              <w:rPr>
                <w:rFonts w:ascii="Times New Roman" w:cs="Times New Roman" w:eastAsia="Times New Roman" w:hAnsi="Times New Roman"/>
                <w:sz w:val="18"/>
                <w:szCs w:val="18"/>
                <w:color w:val="auto"/>
              </w:rPr>
              <w:t>Missouri</w:t>
            </w:r>
            <w:r>
              <w:rPr>
                <w:rFonts w:ascii="Times New Roman" w:cs="Times New Roman" w:eastAsia="Times New Roman" w:hAnsi="Times New Roman"/>
                <w:sz w:val="28"/>
                <w:szCs w:val="28"/>
                <w:color w:val="auto"/>
                <w:vertAlign w:val="superscript"/>
              </w:rPr>
              <w:t>(1)</w:t>
            </w:r>
          </w:p>
        </w:tc>
        <w:tc>
          <w:tcPr>
            <w:tcW w:w="1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Nevada</w:t>
            </w:r>
          </w:p>
        </w:tc>
        <w:tc>
          <w:tcPr>
            <w:tcW w:w="1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Mexico</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South Carolina</w:t>
            </w: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4"/>
              </w:rPr>
              <w:t>Wisconsin</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Michigan</w:t>
            </w:r>
          </w:p>
        </w:tc>
        <w:tc>
          <w:tcPr>
            <w:tcW w:w="1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5430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44" w:lineRule="exact"/>
        <w:rPr>
          <w:sz w:val="20"/>
          <w:szCs w:val="20"/>
          <w:color w:val="auto"/>
        </w:rPr>
      </w:pPr>
    </w:p>
    <w:p>
      <w:pPr>
        <w:ind w:left="560" w:hanging="552"/>
        <w:spacing w:after="0"/>
        <w:tabs>
          <w:tab w:leader="none" w:pos="56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The logo sign contract in Missouri is operated by a 66 2/3% owned partnership.</w:t>
      </w:r>
    </w:p>
    <w:p>
      <w:pPr>
        <w:spacing w:after="0" w:line="198"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also operate the tourist oriented directional signing (“TODS”) programs for the states of Colorado, Kansas, Kentucky, Louisiana, Michigan, Mississippi, Missouri, Montana, Nebraska, Nevada, New Jersey, Ohio, South Carolina, Utah, and the province of Ontario, Canada, providing approximately 16,000 advertising displays.</w:t>
      </w:r>
    </w:p>
    <w:p>
      <w:pPr>
        <w:spacing w:after="0" w:line="17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Our logo and TODS operations are decentralized. Generally, each office is staffed with an experienced local general manager, local sales and office staff and a local signing sub-contractor. This decentralization allows the management staff of Interstate Logos, L.L.C. (the subsidiary that operates all of the logo and directional sign-related businesses) to travel extensively to the various operations and serve in a technical and management advisory capacity and monitor regulatory and contract compliance. We also run a silk screening operation in Baton Rouge, Louisiana and a display construction company in Atlanta, Georgia.</w:t>
      </w:r>
    </w:p>
    <w:p>
      <w:pPr>
        <w:spacing w:after="0" w:line="18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State logo sign contracts represent the exclusive right to erect and operate logo signs within a state for a period of time. The terms of the contracts vary, but generally range from five to ten years, with additional renewal terms. Each logo sign contract generally allows the state to terminate the contract prior to its expiration and, in most cases, with compensation for the termination to be paid to the Company. When a logo sign contract expires, we transfer ownership of the advertising structures to the state. Depending on the contract, we may or may not be entitled to compensation at that time. Of our 24 logo sign contracts in place, in the United States and Canada, at December 31, 2023, 4 are subject to renewal or expiration in 2024.</w:t>
      </w:r>
    </w:p>
    <w:p>
      <w:pPr>
        <w:spacing w:after="0" w:line="18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States usually award new logo sign contracts and renew expiring logo sign contracts through an open proposal process. In bidding for new and renewal contracts, we compete against other logo sign providers, as well as local companies based in the state soliciting proposals.</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marketing logo signs to advertisers, we compete with other forms of out-of-home advertising and other media. When selecting the media and provider through which to advertise, advertisers consider a number of factors and advertising providers which are described in the section titled — “Competition”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 Advertising</w:t>
      </w:r>
    </w:p>
    <w:p>
      <w:pPr>
        <w:spacing w:after="0" w:line="121"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We entered into the transit advertising business in 1993 as a way to complement our existing business and maintain market share in certain markets. Transit contracts are generally with the local municipalities and airport authorities and allow us the exclusive right to rent advertising space to customers in airports and on buses, benches or shelters. The terms of the contracts vary but generally range between 3-10 years, many with renewable options for contract extension. We rent transit advertising displays in airport terminals and on bus shelters, benches and buses in over 80 transit markets, and our production staff provides a full range of creative and installation services to our transit advertising tenants. As of December 31, 2023, we operated approximately 47,850 transit advertising displays in 24 states and Canada.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Municipalities usually award new transit advertising contracts and renew expiring transit advertising contracts through an open bidding process. In bidding for new and renewal contracts, we compete against national outdoor advertising providers and local, on-premise sign providers and sign construction companies. Transit advertising operators incur significant start-up costs to build and install the advertising structures (such as transit shelters) upon being awarded contracts.</w:t>
      </w:r>
    </w:p>
    <w:p>
      <w:pPr>
        <w:spacing w:after="0" w:line="18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marketing transit advertising displays to advertisers, we compete with other forms of out-of-home advertising and other media. When selecting the media and provider through which to advertise, advertisers consider a number of factors and advertising providers which are described in the section titled — “Competition”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Although the outdoor advertising industry has encountered a wave of consolidation, the industry remains fragmented. The industry is comprised of several large outdoor advertising and media companies with operations in multiple markets, as well as smaller, local companies operating a limited number of structures in one or a few local markets.</w:t>
      </w:r>
    </w:p>
    <w:p>
      <w:pPr>
        <w:spacing w:after="0" w:line="176"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Although we primarily focus on small to mid-size markets where we can attain a strong market share, in each of our markets we compete against other providers of outdoor advertising and other types of media, including:</w:t>
      </w:r>
    </w:p>
    <w:p>
      <w:pPr>
        <w:spacing w:after="0" w:line="54" w:lineRule="exact"/>
        <w:rPr>
          <w:sz w:val="20"/>
          <w:szCs w:val="20"/>
          <w:color w:val="auto"/>
        </w:rPr>
      </w:pPr>
    </w:p>
    <w:p>
      <w:pPr>
        <w:jc w:val="both"/>
        <w:ind w:left="1140" w:hanging="565"/>
        <w:spacing w:after="0" w:line="266"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outdoor advertising providers, such as (i) Clear Channel Outdoor Holdings, Inc., which operates billboards, street furniture displays, transit displays and other out-of-home advertising displays and (ii) Outfront Media, Inc., which operates traditional outdoor, street furniture and transit advertising properties.</w:t>
      </w:r>
    </w:p>
    <w:p>
      <w:pPr>
        <w:spacing w:after="0" w:line="6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Broadcast and cable television, radio, print media, direct mail marketing, the internet, social media and applications used in conjunction with wireless devices.</w:t>
      </w:r>
    </w:p>
    <w:p>
      <w:pPr>
        <w:spacing w:after="0" w:line="53" w:lineRule="exact"/>
        <w:rPr>
          <w:rFonts w:ascii="Times New Roman" w:cs="Times New Roman" w:eastAsia="Times New Roman" w:hAnsi="Times New Roman"/>
          <w:sz w:val="18"/>
          <w:szCs w:val="18"/>
          <w:color w:val="auto"/>
        </w:rPr>
      </w:pPr>
    </w:p>
    <w:p>
      <w:pPr>
        <w:ind w:left="1140" w:right="160" w:hanging="565"/>
        <w:spacing w:after="0" w:line="282"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increasing variety of out-of-home advertising media, such as advertising displays in shopping centers, malls, airports, stadiums, movie theaters, supermarkets and advertising displays on taxis, trains and buses.</w:t>
      </w:r>
    </w:p>
    <w:p>
      <w:pPr>
        <w:spacing w:after="0" w:line="16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selecting the form of media through which to advertise, advertisers evaluate their ability to target audiences having a specific demographic profile, lifestyle, brand or media consumption or purchasing behavior or audiences located in, or traveling through, a particular geography. Advertisers also compare the relative costs of available media, evaluating the number of impressions (potential viewings), exposure (the opportunity for advertising to be seen) and circulation (traffic volume in a market), as well as potential effectiveness, quality of related services (such as advertising copy design and layout) and customer service. In competing with other media, we believe that outdoor advertising is relatively more cost-efficient than other media, allowing advertisers to reach broader audiences and target specific geographic areas or demographic groups within markets.</w:t>
      </w:r>
    </w:p>
    <w:p>
      <w:pPr>
        <w:spacing w:after="0" w:line="18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We believe that our strong emphasis on sales and customer service and our position as a major provider of advertising services in each of our primary markets enables us to compete effectively with the other outdoor advertising companies, as well as with other media, within those markets.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DIVERSIFICATION</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advertising displays are geographically diversified across the United States and Canada. The following table sets forth information regarding the geographic diversification of our advertising displays, which are listed in order of contribution to total revenue. Markets with less than 1% of total displays are grouped in the category “all other United States.”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0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Percentage of Revenues for the year ended,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40" w:type="dxa"/>
            <w:vAlign w:val="bottom"/>
            <w:gridSpan w:val="8"/>
          </w:tcPr>
          <w:p>
            <w:pPr>
              <w:ind w:left="700"/>
              <w:spacing w:after="0"/>
              <w:rPr>
                <w:sz w:val="20"/>
                <w:szCs w:val="20"/>
                <w:color w:val="auto"/>
              </w:rPr>
            </w:pPr>
            <w:r>
              <w:rPr>
                <w:rFonts w:ascii="Times New Roman" w:cs="Times New Roman" w:eastAsia="Times New Roman" w:hAnsi="Times New Roman"/>
                <w:sz w:val="13"/>
                <w:szCs w:val="13"/>
                <w:b w:val="1"/>
                <w:bCs w:val="1"/>
                <w:color w:val="auto"/>
              </w:rPr>
              <w:t>Number of Displays for the year ended,</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tcPr>
          <w:p>
            <w:pPr>
              <w:ind w:left="72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rPr>
              <w:t>Static</w:t>
            </w:r>
          </w:p>
        </w:tc>
        <w:tc>
          <w:tcPr>
            <w:tcW w:w="140" w:type="dxa"/>
            <w:vAlign w:val="bottom"/>
          </w:tcPr>
          <w:p>
            <w:pPr>
              <w:spacing w:after="0"/>
              <w:rPr>
                <w:sz w:val="10"/>
                <w:szCs w:val="10"/>
                <w:color w:val="auto"/>
              </w:rPr>
            </w:pPr>
          </w:p>
        </w:tc>
        <w:tc>
          <w:tcPr>
            <w:tcW w:w="860" w:type="dxa"/>
            <w:vAlign w:val="bottom"/>
            <w:gridSpan w:val="2"/>
          </w:tcPr>
          <w:p>
            <w:pPr>
              <w:ind w:left="120"/>
              <w:spacing w:after="0" w:line="115" w:lineRule="exact"/>
              <w:rPr>
                <w:sz w:val="20"/>
                <w:szCs w:val="20"/>
                <w:color w:val="auto"/>
              </w:rPr>
            </w:pPr>
            <w:r>
              <w:rPr>
                <w:rFonts w:ascii="Times New Roman" w:cs="Times New Roman" w:eastAsia="Times New Roman" w:hAnsi="Times New Roman"/>
                <w:sz w:val="13"/>
                <w:szCs w:val="13"/>
                <w:b w:val="1"/>
                <w:bCs w:val="1"/>
                <w:color w:val="auto"/>
              </w:rPr>
              <w:t>Digital</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Transit</w:t>
            </w:r>
          </w:p>
        </w:tc>
        <w:tc>
          <w:tcPr>
            <w:tcW w:w="140" w:type="dxa"/>
            <w:vAlign w:val="bottom"/>
          </w:tcPr>
          <w:p>
            <w:pPr>
              <w:spacing w:after="0"/>
              <w:rPr>
                <w:sz w:val="10"/>
                <w:szCs w:val="10"/>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Logo</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9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w w:val="94"/>
              </w:rPr>
              <w:t>Static</w:t>
            </w:r>
          </w:p>
        </w:tc>
        <w:tc>
          <w:tcPr>
            <w:tcW w:w="9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rPr>
              <w:t>Digital</w:t>
            </w: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Transit</w:t>
            </w: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Logo</w:t>
            </w: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98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Billboard</w:t>
            </w:r>
          </w:p>
        </w:tc>
        <w:tc>
          <w:tcPr>
            <w:tcW w:w="140" w:type="dxa"/>
            <w:vAlign w:val="bottom"/>
          </w:tcPr>
          <w:p>
            <w:pPr>
              <w:spacing w:after="0"/>
              <w:rPr>
                <w:sz w:val="10"/>
                <w:szCs w:val="10"/>
                <w:color w:val="auto"/>
              </w:rPr>
            </w:pPr>
          </w:p>
        </w:tc>
        <w:tc>
          <w:tcPr>
            <w:tcW w:w="86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b w:val="1"/>
                <w:bCs w:val="1"/>
                <w:color w:val="auto"/>
              </w:rPr>
              <w:t>Billboard</w:t>
            </w: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Billboard</w:t>
            </w:r>
          </w:p>
        </w:tc>
        <w:tc>
          <w:tcPr>
            <w:tcW w:w="9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Billboard</w:t>
            </w: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of Total</w:t>
            </w:r>
          </w:p>
        </w:tc>
        <w:tc>
          <w:tcPr>
            <w:tcW w:w="0" w:type="dxa"/>
            <w:vAlign w:val="bottom"/>
          </w:tcPr>
          <w:p>
            <w:pPr>
              <w:spacing w:after="0"/>
              <w:rPr>
                <w:sz w:val="1"/>
                <w:szCs w:val="1"/>
                <w:color w:val="auto"/>
              </w:rPr>
            </w:pPr>
          </w:p>
        </w:tc>
      </w:tr>
      <w:tr>
        <w:trPr>
          <w:trHeight w:val="18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Displays</w:t>
            </w:r>
          </w:p>
        </w:tc>
        <w:tc>
          <w:tcPr>
            <w:tcW w:w="14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Displays</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Displays</w:t>
            </w:r>
          </w:p>
        </w:tc>
        <w:tc>
          <w:tcPr>
            <w:tcW w:w="14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Displays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Displays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Displays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Displays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Displays</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Displays</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Displays</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Displays</w:t>
            </w:r>
          </w:p>
        </w:tc>
        <w:tc>
          <w:tcPr>
            <w:tcW w:w="0" w:type="dxa"/>
            <w:vAlign w:val="bottom"/>
          </w:tcPr>
          <w:p>
            <w:pPr>
              <w:spacing w:after="0"/>
              <w:rPr>
                <w:sz w:val="1"/>
                <w:szCs w:val="1"/>
                <w:color w:val="auto"/>
              </w:rPr>
            </w:pPr>
          </w:p>
        </w:tc>
      </w:tr>
      <w:tr>
        <w:trPr>
          <w:trHeight w:val="176"/>
        </w:trPr>
        <w:tc>
          <w:tcPr>
            <w:tcW w:w="1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Las Vegas, NV</w:t>
            </w: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18.2 %</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1,504</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2,336</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New York, NY</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1,078</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Chicago, IL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2,074</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Pittsburgh, PA</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2,866</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3,257</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Cleveland, OH</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2,535</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4,843</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Nashville, TN</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2,096</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2,185</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0" w:type="dxa"/>
            <w:vAlign w:val="bottom"/>
          </w:tcPr>
          <w:p>
            <w:pPr>
              <w:spacing w:after="0"/>
              <w:rPr>
                <w:sz w:val="1"/>
                <w:szCs w:val="1"/>
                <w:color w:val="auto"/>
              </w:rPr>
            </w:pPr>
          </w:p>
        </w:tc>
      </w:tr>
      <w:tr>
        <w:trPr>
          <w:trHeight w:val="127"/>
        </w:trPr>
        <w:tc>
          <w:tcPr>
            <w:tcW w:w="11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San Bernardino,</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1,158</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1,838</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1,757</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Atlanta, GA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Knoxville, TN</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2,424</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4,048</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4,266</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Birmingham, AL</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2,096</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2,420</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Seattle, WA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1,736</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3,302</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Indianapolis, IN</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2,504</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2,662</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Raleigh, NC</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2,550</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2,597</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0" w:type="dxa"/>
            <w:vAlign w:val="bottom"/>
          </w:tcPr>
          <w:p>
            <w:pPr>
              <w:spacing w:after="0"/>
              <w:rPr>
                <w:sz w:val="1"/>
                <w:szCs w:val="1"/>
                <w:color w:val="auto"/>
              </w:rPr>
            </w:pPr>
          </w:p>
        </w:tc>
      </w:tr>
      <w:tr>
        <w:trPr>
          <w:trHeight w:val="122"/>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Oklahoma City,</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OK</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2,086</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0" w:type="dxa"/>
            <w:vAlign w:val="bottom"/>
          </w:tcPr>
          <w:p>
            <w:pPr>
              <w:spacing w:after="0"/>
              <w:rPr>
                <w:sz w:val="1"/>
                <w:szCs w:val="1"/>
                <w:color w:val="auto"/>
              </w:rPr>
            </w:pPr>
          </w:p>
        </w:tc>
      </w:tr>
      <w:tr>
        <w:trPr>
          <w:trHeight w:val="183"/>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Richmond, VA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122"/>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Greenville-</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Spartanburg, SC</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1,887</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0" w:type="dxa"/>
            <w:vAlign w:val="bottom"/>
          </w:tcPr>
          <w:p>
            <w:pPr>
              <w:spacing w:after="0"/>
              <w:rPr>
                <w:sz w:val="1"/>
                <w:szCs w:val="1"/>
                <w:color w:val="auto"/>
              </w:rPr>
            </w:pPr>
          </w:p>
        </w:tc>
      </w:tr>
      <w:tr>
        <w:trPr>
          <w:trHeight w:val="184"/>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Reading, PA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1,373</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1,477</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Hartford, CT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Cincinnati, OH</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1,118</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Baton Rouge, LA</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1,364</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1,417</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127"/>
        </w:trPr>
        <w:tc>
          <w:tcPr>
            <w:tcW w:w="11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All US Logo</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Programs*</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92.6 %</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144,503</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144,503</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39.8 %</w:t>
            </w:r>
          </w:p>
        </w:tc>
        <w:tc>
          <w:tcPr>
            <w:tcW w:w="0" w:type="dxa"/>
            <w:vAlign w:val="bottom"/>
          </w:tcPr>
          <w:p>
            <w:pPr>
              <w:spacing w:after="0"/>
              <w:rPr>
                <w:sz w:val="1"/>
                <w:szCs w:val="1"/>
                <w:color w:val="auto"/>
              </w:rPr>
            </w:pPr>
          </w:p>
        </w:tc>
      </w:tr>
      <w:tr>
        <w:trPr>
          <w:trHeight w:val="122"/>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All Other United</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States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64.3 %</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64.0 %</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120,869</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3,372</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25,155</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149,396</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41.1 %</w:t>
            </w:r>
          </w:p>
        </w:tc>
        <w:tc>
          <w:tcPr>
            <w:tcW w:w="0" w:type="dxa"/>
            <w:vAlign w:val="bottom"/>
          </w:tcPr>
          <w:p>
            <w:pPr>
              <w:spacing w:after="0"/>
              <w:rPr>
                <w:sz w:val="1"/>
                <w:szCs w:val="1"/>
                <w:color w:val="auto"/>
              </w:rPr>
            </w:pPr>
          </w:p>
        </w:tc>
      </w:tr>
      <w:tr>
        <w:trPr>
          <w:trHeight w:val="184"/>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Canada*</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7.4 %</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10,514</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10,730</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21,244</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5.8 %</w:t>
            </w:r>
          </w:p>
        </w:tc>
        <w:tc>
          <w:tcPr>
            <w:tcW w:w="0" w:type="dxa"/>
            <w:vAlign w:val="bottom"/>
          </w:tcPr>
          <w:p>
            <w:pPr>
              <w:spacing w:after="0"/>
              <w:rPr>
                <w:sz w:val="1"/>
                <w:szCs w:val="1"/>
                <w:color w:val="auto"/>
              </w:rPr>
            </w:pPr>
          </w:p>
        </w:tc>
      </w:tr>
      <w:tr>
        <w:trPr>
          <w:trHeight w:val="16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2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155,637</w:t>
            </w:r>
          </w:p>
        </w:tc>
        <w:tc>
          <w:tcPr>
            <w:tcW w:w="10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4,759</w:t>
            </w:r>
          </w:p>
        </w:tc>
        <w:tc>
          <w:tcPr>
            <w:tcW w:w="10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47,867</w:t>
            </w:r>
          </w:p>
        </w:tc>
        <w:tc>
          <w:tcPr>
            <w:tcW w:w="10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155,233</w:t>
            </w:r>
          </w:p>
        </w:tc>
        <w:tc>
          <w:tcPr>
            <w:tcW w:w="12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363,496</w:t>
            </w:r>
          </w:p>
        </w:tc>
        <w:tc>
          <w:tcPr>
            <w:tcW w:w="120" w:type="dxa"/>
            <w:vAlign w:val="bottom"/>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127"/>
        </w:trPr>
        <w:tc>
          <w:tcPr>
            <w:tcW w:w="11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Total Revenue (in</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millions)</w:t>
            </w: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w w:val="97"/>
              </w:rPr>
              <w:t>$1,315.4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562.4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w w:val="95"/>
              </w:rPr>
              <w:t>$150.9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82.3</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w w:val="97"/>
              </w:rPr>
              <w:t>$2,111.0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Logo displays at December 31, 2023 include 15,995 displays related to the tourist oriented direction signing ("TODS") programs.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TAXABLE REIT SUBSIDIARIES</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hold and operate certain of our assets that cannot be held and operated directly by a REIT through taxable REIT subsidiaries, or TRSs. A TRS is a subsidiary of a REIT that pays corporate taxes on its taxable income. The assets held in our TRSs primarily consist of our transit advertising business, advertising services business and our foreign operations. We may, from time to time, change the election of previously designated TRSs to be treated as qualified REIT subsidiaries (“QRSs”) or other disregarded entities, and may reorganize and transfer certain assets or operations from our TRSs to other subsidiaries, including QRSs.</w:t>
      </w:r>
    </w:p>
    <w:p>
      <w:pPr>
        <w:spacing w:after="0" w:line="18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Our TRS assets and operations will continue to be subject, as applicable, to U.S. federal and state corporate income taxes. Furthermore, our assets and operations outside the United States will continue to be subject to foreign taxes in the jurisdictions in which those assets and operations are located. Net income from our TRSs will either be retained by our TRSs and used to fund their operations, or distributed to us, where it will be reinvested in our business or be available for distribution to Lamar Advertising’s stockholders. As of December 31, 2023, the annual taxable revenue generated by our TRSs in the aggregate was approximately $350.8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TENANTS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tenant base is diverse. The table below sets forth the industries from which we derived most of our billboard advertising revenues for the year ended December 31, 2023, as well as the percentage of billboard advertising revenues attributable to the advertisers in those industries. The individual advertisers in these industries accounted for approximately 73% of our billboard advertising net revenues in the year ended December 31, 2023. No individual tenant accounted for more than 2% of our billboard advertising net revenues in that period.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Net</w:t>
            </w:r>
          </w:p>
        </w:tc>
        <w:tc>
          <w:tcPr>
            <w:tcW w:w="0" w:type="dxa"/>
            <w:vAlign w:val="bottom"/>
          </w:tcPr>
          <w:p>
            <w:pPr>
              <w:spacing w:after="0"/>
              <w:rPr>
                <w:sz w:val="1"/>
                <w:szCs w:val="1"/>
                <w:color w:val="auto"/>
              </w:rPr>
            </w:pPr>
          </w:p>
        </w:tc>
      </w:tr>
      <w:tr>
        <w:trPr>
          <w:trHeight w:val="137"/>
        </w:trPr>
        <w:tc>
          <w:tcPr>
            <w:tcW w:w="9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Categories</w:t>
            </w:r>
          </w:p>
        </w:tc>
        <w:tc>
          <w:tcPr>
            <w:tcW w:w="19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Billboard</w:t>
            </w:r>
          </w:p>
        </w:tc>
        <w:tc>
          <w:tcPr>
            <w:tcW w:w="0" w:type="dxa"/>
            <w:vAlign w:val="bottom"/>
          </w:tcPr>
          <w:p>
            <w:pPr>
              <w:spacing w:after="0"/>
              <w:rPr>
                <w:sz w:val="1"/>
                <w:szCs w:val="1"/>
                <w:color w:val="auto"/>
              </w:rPr>
            </w:pPr>
          </w:p>
        </w:tc>
      </w:tr>
      <w:tr>
        <w:trPr>
          <w:trHeight w:val="190"/>
        </w:trPr>
        <w:tc>
          <w:tcPr>
            <w:tcW w:w="930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Advertising Revenues</w:t>
            </w:r>
          </w:p>
        </w:tc>
        <w:tc>
          <w:tcPr>
            <w:tcW w:w="0" w:type="dxa"/>
            <w:vAlign w:val="bottom"/>
          </w:tcPr>
          <w:p>
            <w:pPr>
              <w:spacing w:after="0"/>
              <w:rPr>
                <w:sz w:val="1"/>
                <w:szCs w:val="1"/>
                <w:color w:val="auto"/>
              </w:rPr>
            </w:pPr>
          </w:p>
        </w:tc>
      </w:tr>
      <w:tr>
        <w:trPr>
          <w:trHeight w:val="23"/>
        </w:trPr>
        <w:tc>
          <w:tcPr>
            <w:tcW w:w="9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 Care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9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Restaurants</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9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Amusement — Entertainment/Sports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9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Gaming</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 Banks, Credit Unions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9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Public Service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9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8"/>
        </w:trPr>
        <w:tc>
          <w:tcPr>
            <w:tcW w:w="9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Outdoor advertising is subject to governmental regulation at the federal, state and local levels. Regulations generally restrict the size, spacing, lighting and other aspects of advertising structures and pose a significant barrier to entry and expansion in many markets. Federal law, principally the Highway Beautification Act of 1965 (the “HBA”), regulates outdoor advertising on Federal — Aid Primary, Interstate and National Highway Systems roads. The HBA requires states, through the adoption of individual Federal/State agreements, to “effectively control” outdoor advertising along these roads, and mandates a state compliance program and state standards regarding size, spacing and lighting. These state standards, or their local and municipal equivalents, may be modified over time in response to legal challenges or otherwise, which may have an adverse effect on our business. The HBA requires any state or political subdivision that compels the removal of a lawful billboard along a Federal — Aid Primary or Interstate highway to pay just compensation to the billboard owner.</w:t>
      </w:r>
    </w:p>
    <w:p>
      <w:pPr>
        <w:spacing w:after="0" w:line="19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All states have passed billboard control statutes and regulations at least as restrictive as the federal requirements, including laws requiring the removal of illegal signs at the owner’s expense (and without compensation from the state). Although we believe that the number of our billboards that may be subject to removal as illegal is immaterial, and no state in which we operate has banned billboards entirely, from time to time governments have required us to remove signs and billboards legally erected in accordance with federal, state and local permit requirements and laws. Municipal and county governments generally also have sign controls as part of their zoning laws and building codes. We contest laws and regulations that we believe unlawfully restrict our constitutional or other legal rights and may adversely impact the growth of our outdoor advertising business.</w:t>
      </w:r>
    </w:p>
    <w:p>
      <w:pPr>
        <w:spacing w:after="0" w:line="187"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Using federal funding for transportation enhancement programs, state governments have purchased and removed billboards for beautification, and may do so again in the future. Under the power of eminent domain, state or municipal governments have laid claim to property and forced the removal of billboards. Under a concept called amortization by which a governmental body asserts that a billboard operator has earned compensation by continued operation over time, local governments have attempted to force removal of legal but nonconforming billboards (i.e., billboards that conformed with applicable zoning regulations when built but which do not conform to current zoning regulations). Although the legality of amortization is questionable, it has been upheld in some instances. Often, municipal and county governments also have sign controls as part of their zoning laws, with some local governments prohibiting construction of new billboards or allowing new construction only to replace existing structures. Although we have generally been able to obtain satisfactory compensation for those of our billboards purchased or removed as a result of governmental action, there is no assurance that this will continue to be the case in the future.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have continued to expand the deployment of digital billboards, which display static digital advertising copy from various advertisers that change every 6 to 8 seconds. We have encountered some existing regulations that restrict or prohibit these types of digital displays, but it has not yet materially impacted our digital deployment. However, new regulations could be enacted to impose greater restrictions on digital billboards due to alleged concerns over aesthetics or driver safety.</w:t>
      </w:r>
    </w:p>
    <w:p>
      <w:pPr>
        <w:spacing w:after="0" w:line="18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findings of future studies related to the impact of digital billboards on driver safety issues, if any, may result in regulations at the federal or state level that impose greater restrictions on digital billboards. Any new restrictions on digital billboards could have a material adverse effect on both our existing inventory of digital billboards and our plans to expand our digital deployment, which could have a material adverse effect on our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litigation in the ordinary course of business, including disputes involving advertising contracts, site leases, employment claims and construction matters. We are also involved in routine administrative and judicial proceedings regarding billboard permits, fees and compensation for condemnations. We are not a party to any lawsuit or proceeding which, in the opinion of management, is likely to have a material adverse effect on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PORTFOLIO</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management headquarters is located in Baton Rouge, Louisiana. We also own 128 local operating facilities with front office administration and sales office space connected to back-shop poster and bulletin production space. In addition, we lease an additional 160 operating facilities at an aggregate lease expense for 2023 of approximately $10.1 million.</w:t>
      </w:r>
    </w:p>
    <w:p>
      <w:pPr>
        <w:spacing w:after="0" w:line="17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We own approximately 10,750 parcels of property beneath our advertising displays. As of December 31, 2023, we leased approximately 72,350 outdoor sites, accounting for an annualized lease expense of approximately $335.4 million. This amount represented approximately 18% of billboard advertising net revenues for that period. These leases are for varying terms ranging from month-to-month to a term of over ten years, and many provide us with renewal options. Our lease agreements generally permit us to use the land for the construction, repair and relocation of outdoor advertising displays, including all rights necessary to access and maintain the site. Approximately 75% of our leases will expire or be subject to renewal in the next 5 years, 15% will expire or be subject to renewal in 6 to 10 years and 10% thereafter. There is no significant concentration of displays under any one lease or subject to negotiation with any one landlord. An important part of our management activity is to manage our lease portfolio and negotiate suitable lease renewals and extensions.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number of leased and owned sites by state as of December 31, 2023, which is sorted from greatest to least in number and percentage of leased sites. States in which we lease less than 2% of our portfolio are grouped in the category “All Other States and Canada”.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billboard leased</w:t>
            </w:r>
          </w:p>
        </w:tc>
        <w:tc>
          <w:tcPr>
            <w:tcW w:w="15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owned</w:t>
            </w:r>
          </w:p>
        </w:tc>
        <w:tc>
          <w:tcPr>
            <w:tcW w:w="142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5420" w:type="dxa"/>
            <w:vAlign w:val="bottom"/>
            <w:gridSpan w:val="2"/>
            <w:vMerge w:val="continue"/>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sites</w:t>
            </w:r>
          </w:p>
        </w:tc>
        <w:tc>
          <w:tcPr>
            <w:tcW w:w="1540" w:type="dxa"/>
            <w:vAlign w:val="bottom"/>
            <w:gridSpan w:val="2"/>
            <w:vMerge w:val="continue"/>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billboard sites</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2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Wisconsin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South Carolina</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Other States and Canada</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1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2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28"/>
        </w:trPr>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EXPIRATIONS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derive revenues primarily from renting advertising space to customers on our advertising displays. Our contracts with customers generally cover periods ranging from one week to one year and are generally billed every four weeks. Since contract terms are short-term in nature, we do not consider revenues by year of contract expiration to be meaningful.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19"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Our People. </w:t>
      </w:r>
      <w:r>
        <w:rPr>
          <w:rFonts w:ascii="Times New Roman" w:cs="Times New Roman" w:eastAsia="Times New Roman" w:hAnsi="Times New Roman"/>
          <w:sz w:val="18"/>
          <w:szCs w:val="18"/>
          <w:color w:val="auto"/>
        </w:rPr>
        <w:t>We employed approximately 3,550 people as of December 31, 2023. Approximately 300 employees were engaged in overall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general administration at our corporate headquarters in Baton Rouge, Louisiana, and the remainder, including approximately 985 local account executives, were employed in our operating offices.</w:t>
      </w:r>
    </w:p>
    <w:p>
      <w:pPr>
        <w:spacing w:after="0" w:line="17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Fifteen of our local offices employ billposters and construction personnel who are covered by collective bargaining agreements. We believe that our relationship with our employees, including our approximately 100 unionized employees, is favorable, and we have never experienced a strike or work stoppage.</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Lamar’s business continues to grow, so does the Company’s strong commitment to recruiting a work force with diverse talents, as well as to developing and retaining the successful members of our sales and management teams. Our 985 local account executives and approximately 170 local management employees have been with the Company for an average of 12 years. We regularly provide on-site training and remote sales training videos to enhance the skills of our sales and management team members.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employ approximately 1,100 operations employees, including operations management. These employees are responsible for installing advertising copy, maintaining our billboard inventory and ensuring our billboards, logos and transit displays are in safe operating condition. We empower these employees to have a safety-first mentality, which includes the authority to stop an installation or other work job for any safety concern. We also provide training and certification to our operations employees, including training for crane operations and climbing safety. Our management regularly conducts scheduled safety meetings and unscheduled job observations to ensure that we maintain a safety mindset every day.</w:t>
      </w:r>
    </w:p>
    <w:p>
      <w:pPr>
        <w:spacing w:after="0" w:line="18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Diversity and inclusion. </w:t>
      </w:r>
      <w:r>
        <w:rPr>
          <w:rFonts w:ascii="Times New Roman" w:cs="Times New Roman" w:eastAsia="Times New Roman" w:hAnsi="Times New Roman"/>
          <w:sz w:val="18"/>
          <w:szCs w:val="18"/>
          <w:color w:val="auto"/>
        </w:rPr>
        <w:t>We recognize that our organization grows stronger as we are able to draw on the skills of employees with a variety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backgrounds and life experiences, particularly as the audiences that we serve become more diverse. We want to embrace Lamar employees’ unique differences of race, gender and gender identity, religion, sexual orientation, ethnicity, nationality, socioeconomic status, language, ability, age, religious commitment, veteran status, or political perspective. As such, we are committed to cultivating a culture where all employees see the opportunity to show up to work as their most authentic selves.</w:t>
      </w:r>
    </w:p>
    <w:p>
      <w:pPr>
        <w:spacing w:after="0" w:line="185"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of December 31, 2023, approximately 36% of our work force was female, 18% of our employees and 33% of our named executive offices identified themselves as minorities, while 33% of our Board of Directors was female and one of our nine directors was a member of a minority group.</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have established several initiatives aimed at further diversifying our work force, including establishing an alliance with a hiring network that helps bring us a more diverse pool of candidates and creating an internal women’s leadership network that provides our female leaders with tools and a supportive community to help them develop into senior-level managers. Our Executive Vice President of Human Resources, who also serves as our Chief Diversity Officer, is charged with providing training that reinforces our commitment to treat all of our employees with dignity and respect.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During 2022 and 2023, as a result of the inflationary environment in the U.S., we experienced increases in our direct and general and administrative costs, including increases in labor costs and utilities. Increases in expenses were largely offset by increases in our advertising rates. We also experienced increased interest expenses related to rising interest rates. We will continue to monitor the inflationary environment and these pressures in 2024 and any resulting impacts on our financial position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revenues and operating results are subject to seasonality. Typically, we experience our strongest financial performance in the summer and fall, and our weakest financial performance in the first quarter of the calendar year, partly because retailers cut back their advertising spending immediately following the holiday shopping season. We expect this trend to continue in the future. Because a significant portion of our expenses is fixed, a reduction in revenues in any quarter is likely to result in a period-to-period decline in operating performance and net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make our annual reports on Form 10-K, quarterly reports on Form 10-Q, current reports on Form 8-K, and amendments to these reports available free of charge through our website, www.lamar.com, as soon as reasonably practicable after filing them with, or furnishing them to, the Securities and Exchange Commission. Information contained on our website is not part of this Annual Report.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substantial debt may adversely affect its business, financial condition and financial results.</w:t>
      </w:r>
    </w:p>
    <w:p>
      <w:pPr>
        <w:spacing w:after="0" w:line="121"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has borrowed substantially in the past and will continue to borrow in the future. At December 31, 2023, Lamar Advertising Company’s wholly owned subsidiary, Lamar Media, had approximately $3.34 billion of total debt outstanding, net of deferred financing costs, consisting of approximately $1.01 billion in bank debt outstanding under Lamar Media’s senior credit facility, $2.08 billion in various series of senior notes, $249.6 million under the Accounts Receivable Securitization Program and $1.6 million in other seller notes. Despite the level of debt presently outstanding, the terms of the indentures governing Lamar Media’s notes and the terms of the senior credit facility and Accounts Receivable Securitization Program allow Lamar Media to incur substantially more debt, including approximately $671.2 million available for borrowing under the revolving credit facility as of December 31, 2023.</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Company’s substantial debt and its use of cash flow from operations to make principal and interest payments on its debt may, among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things:</w:t>
      </w:r>
    </w:p>
    <w:p>
      <w:pPr>
        <w:spacing w:after="0" w:line="99" w:lineRule="exact"/>
        <w:rPr>
          <w:sz w:val="20"/>
          <w:szCs w:val="20"/>
          <w:color w:val="auto"/>
        </w:rPr>
      </w:pPr>
    </w:p>
    <w:p>
      <w:pPr>
        <w:jc w:val="both"/>
        <w:ind w:left="1140" w:hanging="565"/>
        <w:spacing w:after="0" w:line="266"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the Company to comply with the financial covenants in its senior credit facility and in its Accounts Receivable Securitization Program, which could result in a default and an acceleration of all amounts outstanding under the facility or under the Accounts Receivable Securitization Program;</w:t>
      </w:r>
    </w:p>
    <w:p>
      <w:pPr>
        <w:spacing w:after="0" w:line="6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cash flow available to fund the Company’s working capital, capital expenditures, acquisitions or other general corporate requirements;</w:t>
      </w:r>
    </w:p>
    <w:p>
      <w:pPr>
        <w:spacing w:after="0" w:line="53" w:lineRule="exact"/>
        <w:rPr>
          <w:rFonts w:ascii="Times New Roman" w:cs="Times New Roman" w:eastAsia="Times New Roman" w:hAnsi="Times New Roman"/>
          <w:sz w:val="18"/>
          <w:szCs w:val="18"/>
          <w:color w:val="auto"/>
        </w:rPr>
      </w:pPr>
    </w:p>
    <w:p>
      <w:pPr>
        <w:ind w:left="1140" w:right="20" w:hanging="565"/>
        <w:spacing w:after="0" w:line="282"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Company’s ability to obtain additional financing to fund future dividend distributions, working capital, capital expenditures or other general corporate requirements;</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the Company at a competitive disadvantage relative to those of its competitors that have less debt;</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the Company to seek and obtain alternate or additional sources of funding, which may be unavailable, or may be on less favorable terms, or may require the Company to obtain the consent of lenders under its senior credit facility or the holders of its other debt;</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Company’s flexibility in planning for, or reacting to, changes in its business and industry; and</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Company’s vulnerability to general adverse economic and industry conditions.</w:t>
      </w:r>
    </w:p>
    <w:p>
      <w:pPr>
        <w:spacing w:after="0" w:line="200" w:lineRule="exact"/>
        <w:rPr>
          <w:sz w:val="20"/>
          <w:szCs w:val="20"/>
          <w:color w:val="auto"/>
        </w:rPr>
      </w:pPr>
    </w:p>
    <w:p>
      <w:pPr>
        <w:spacing w:after="0" w:line="268"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Lamar Media has variable rate debt outstanding under the senior credit facility and its Accounts Receivable Securitization Program. Increases in the interest rates applicable to these borrowings have recently resulted in increased interest expense, which has impacted the Company's net income. Interest rates may continue to increase as a result of macroeconomic factors outside of our control. The Company may take actions in the future to mitigate its interest rate exposure, however, it cannot guarantee that the actions that it takes to mitigate these risks will be effective. Additionally, to the extent we refinance existing debt obligations or seek to enter into new debt financing arrangements in the current interest rate environment, we expect that such arrangements would be subject to higher interest rates than our existing debt obligations, which would further increase our interest expense.</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Any of these problems could adversely affect the Company’s business, financial condition and financial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unable to generate sufficient cash flow to satisfy its significant debt service obligations.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The Company’s ability to generate cash flow from operations to make principal and interest payments on its debt will depend on its future performance, which will be affected by a range of economic, competitive and business factors. The Company cannot control many of these factors, including general economic conditions, its customers’ allocation of advertising expenditures among available media and the amount spent on advertising in general, and its business would be negatively impacted if the general economy were to deteriorate in the future. If its operations do not generate sufficient cash flow from operations to satisfy its debt service obligations, the Company may need to borrow additional funds to make these payments or undertake alternative financing plans, such as refinancing or restructuring its debt, or reducing or delaying capital investments and acquisitions. The Company cannot guarantee that such additional funds or alternative financing will be available on favorable terms, if at all. The Company’s inability to generate sufficient cash flow from operations or obtain additional funds or alternative financing on acceptable terms could have a material adverse effect on our business, financial condition and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in the Company’s and Lamar Media’s debt agreements reduce operating flexibility and contain covenants and restrictions that create the potential for defaults, which could adversely affect the Company’s business, financial condition and financial results.</w:t>
      </w:r>
    </w:p>
    <w:p>
      <w:pPr>
        <w:spacing w:after="0" w:line="51"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terms of Lamar Media’s senior credit facility and the indentures relating to Lamar Media’s outstanding notes restrict the ability of the Company and Lamar Media to, among other things:</w:t>
      </w:r>
    </w:p>
    <w:p>
      <w:pPr>
        <w:spacing w:after="0" w:line="54" w:lineRule="exact"/>
        <w:rPr>
          <w:sz w:val="20"/>
          <w:szCs w:val="20"/>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repay debt;</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affiliate transactions; and</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inter-company distributions.</w:t>
      </w:r>
    </w:p>
    <w:p>
      <w:pPr>
        <w:spacing w:after="0" w:line="22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At December 31, 2023, the terms of Lamar Media’s senior credit facility and of its Accounts Receivable Securitization Program also restrict the Company from exceeding a specified secured debt ratio. Lamar Media is also subject to certain other financial covenants relating to the incurrence of additional debt. Please see “</w:t>
      </w:r>
      <w:r>
        <w:rPr>
          <w:rFonts w:ascii="Times New Roman" w:cs="Times New Roman" w:eastAsia="Times New Roman" w:hAnsi="Times New Roman"/>
          <w:sz w:val="18"/>
          <w:szCs w:val="18"/>
          <w:i w:val="1"/>
          <w:iCs w:val="1"/>
          <w:color w:val="auto"/>
        </w:rPr>
        <w:t>Management’s Discussion and Analysis of Financial Condition and Results of Operations — Liquidity and Capital Resources</w:t>
      </w:r>
      <w:r>
        <w:rPr>
          <w:rFonts w:ascii="Times New Roman" w:cs="Times New Roman" w:eastAsia="Times New Roman" w:hAnsi="Times New Roman"/>
          <w:sz w:val="18"/>
          <w:szCs w:val="18"/>
          <w:color w:val="auto"/>
        </w:rPr>
        <w:t>” for a description of the specific financial ratio requirements under the senior credit facility.</w:t>
      </w:r>
    </w:p>
    <w:p>
      <w:pPr>
        <w:spacing w:after="0" w:line="18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Company’s ability to comply with the financial covenants in the senior credit facility, Accounts Receivable Securitization Program and the indentures governing Lamar Media’s outstanding notes (and to comply with similar covenants in any future agreements) depends on its operating performance, which in turn depends significantly on prevailing economic, financial and business conditions and other factors that are beyond the Company’s control. Therefore, despite its best efforts and execution of its strategic plan, the Company may be unable to comply with these financial covenants in the future.</w:t>
      </w:r>
    </w:p>
    <w:p>
      <w:pPr>
        <w:spacing w:after="0" w:line="183"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The Company is currently in compliance with all financial covenants. However, if in the future there are economic declines the Company can make no assurance that these declines will not negatively impact the Company’s financial results and, in turn, its ability to meet these financial covenant requirements. If Lamar Media fails to comply with its financial covenants, Lamar Media could be in default under the senior credit facility and the Accounts Receivable Securitization Program (which could result in an event of default under the indentures governing its outstanding notes). In the event of such a default under the senior credit facility, the lenders under the senior credit facility could accelerate all of the debt outstanding, could elect to institute foreclosure proceedings against Lamar Media’s assets, and the Company could be forced into bankruptcy or liquidation. Any of these events could adversely affect Lamar Media’s business, financial condition and financial results. In the event of such a default under the Accounts Receivable Securitization Program, the lenders under the Accounts Receivable Securitization Program could accelerate all of the debt outstanding, could elect to institute foreclosure proceedings against the assets of the Special Purpose Subsidiaries (as defined herein), and the Special Purpose Subsidiaries could be forced into bankruptcy or liquidation. Any of these events could adversely affect the Company’s business, financial condition and financial results.</w:t>
      </w:r>
    </w:p>
    <w:p>
      <w:pPr>
        <w:spacing w:after="0" w:line="19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In addition, these restrictions reduce the Company’s operating flexibility and could prevent the Company from exploiting investment, acquisition, marketing, or other time-sensitive business opportunities.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controlled by significant stockholders who have the power to determine the outcome of all matters submitted to the stockholders for approval and whose interest in the Company may be different than yours.</w:t>
      </w:r>
    </w:p>
    <w:p>
      <w:pPr>
        <w:spacing w:after="0" w:line="51" w:lineRule="exact"/>
        <w:rPr>
          <w:sz w:val="20"/>
          <w:szCs w:val="20"/>
          <w:color w:val="auto"/>
        </w:rPr>
      </w:pPr>
    </w:p>
    <w:p>
      <w:pPr>
        <w:jc w:val="both"/>
        <w:ind w:right="20" w:firstLine="567"/>
        <w:spacing w:after="0" w:line="261" w:lineRule="auto"/>
        <w:rPr>
          <w:sz w:val="20"/>
          <w:szCs w:val="20"/>
          <w:color w:val="auto"/>
        </w:rPr>
      </w:pPr>
      <w:r>
        <w:rPr>
          <w:rFonts w:ascii="Times New Roman" w:cs="Times New Roman" w:eastAsia="Times New Roman" w:hAnsi="Times New Roman"/>
          <w:sz w:val="18"/>
          <w:szCs w:val="18"/>
          <w:color w:val="auto"/>
        </w:rPr>
        <w:t>As of December 31, 2023, members of the Reilly family, including Kevin P. Reilly, Jr., the Company’s Executive Chairman, and Sean Reilly, the Company’s President and Chief Executive Officer, and their affiliates owned in the aggregate approximately 15% of the Company’s outstanding common stock, assuming the conversion of all Class B common stock to Class A common stock. As of that date, their combined holdings represented approximately 62% of the voting power of Lamar Advertising’s outstanding capital stock, which would give the Reilly family and their affiliates the power to:</w:t>
      </w:r>
    </w:p>
    <w:p>
      <w:pPr>
        <w:spacing w:after="0" w:line="72" w:lineRule="exact"/>
        <w:rPr>
          <w:sz w:val="20"/>
          <w:szCs w:val="20"/>
          <w:color w:val="auto"/>
        </w:rPr>
      </w:pPr>
    </w:p>
    <w:p>
      <w:pPr>
        <w:ind w:left="1140" w:hanging="565"/>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Company’s entire Board of Directors;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the Company’s management and policies; and</w:t>
      </w:r>
    </w:p>
    <w:p>
      <w:pPr>
        <w:spacing w:after="0" w:line="117" w:lineRule="exact"/>
        <w:rPr>
          <w:rFonts w:ascii="Times New Roman" w:cs="Times New Roman" w:eastAsia="Times New Roman" w:hAnsi="Times New Roman"/>
          <w:sz w:val="18"/>
          <w:szCs w:val="18"/>
          <w:color w:val="auto"/>
        </w:rPr>
      </w:pPr>
    </w:p>
    <w:p>
      <w:pPr>
        <w:ind w:left="1140" w:right="20" w:hanging="565"/>
        <w:spacing w:after="0" w:line="282"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outcome of any corporate transaction or other matter requiring stockholder approval, including charter amendments, mergers, consolidations, financings and asset sales.</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Reilly family may have interests that are different than yours in making these decisions.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UPREIT structure may result in potential conflicts of interest.</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are structured as an “UPREIT,” which stands for “umbrella partnership real estate investment trust.” While limited partners of Lamar Advertising Limited Partnership (the “Operating Partnership”) do not generally have any right to participate in or exercise management power over the business and affairs of the Operating Partnership, they do have the right to vote on certain amendments to the partnership agreement of the Operating Partnership, as well as on certain other matters. Persons holding such voting rights may exercise them in a manner that conflicts with the interests of our stockholders.</w:t>
      </w:r>
    </w:p>
    <w:p>
      <w:pPr>
        <w:spacing w:after="0" w:line="18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partnership agreement of the Operating Partnership provides that, for so long as we own a controlling interest in the Operating Partnership, any conflict that cannot be resolved in a manner not adverse to either our stockholders or the limited partners shall be resolved by the general partner in favor of our stockholders. Circumstances may arise in the future when the interests of limited partners in the Operating Partnership may conflict with the interests of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growth through acquisitions may be difficult, which could adversely affect our future financial performance. In addition, if we are unable to successfully integrate any completed acquisitions, our financial performance would also be adversely affected.</w:t>
      </w:r>
    </w:p>
    <w:p>
      <w:pPr>
        <w:spacing w:after="0" w:line="51"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Company has historically grown through acquisitions. During the year ended December 31, 2023, we completed acquisitions for a total cash purchase price of approximately $139.0 million.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future success of our acquisition strategy could be adversely affected by many factors, including the following:</w:t>
      </w:r>
    </w:p>
    <w:p>
      <w:pPr>
        <w:spacing w:after="0" w:line="117" w:lineRule="exact"/>
        <w:rPr>
          <w:sz w:val="20"/>
          <w:szCs w:val="20"/>
          <w:color w:val="auto"/>
        </w:rPr>
      </w:pP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pool of suitable acquisition candidates is dwindling, and we may have a more difficult time negotiating acquisitions on favorable terms;</w:t>
      </w:r>
    </w:p>
    <w:p>
      <w:pPr>
        <w:spacing w:after="0" w:line="117"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increased competition for acquisition candidates from other outdoor advertising companies and private equity funds (particularly funds that are focused on investing in media and/or infrastructure, some of which may have greater financial resources than we do, which may result in higher prices for those businesses and assets;</w:t>
      </w:r>
    </w:p>
    <w:p>
      <w:pPr>
        <w:spacing w:after="0" w:line="6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the capital needed to finance potential acquisitions and may be unable to obtain any required consents from our current lenders to obtain alternate financing;</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REIT requirements may hinder our ability to make certain investments and may limit our acquisition opportunities;</w:t>
      </w:r>
    </w:p>
    <w:p>
      <w:pPr>
        <w:spacing w:after="0" w:line="117"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integrate acquired businesses and assets effectively with our existing operations and systems as a result of unforeseen difficulties that could divert significant time, attention and effort from management that could otherwise be directed at developing existing business;</w:t>
      </w:r>
    </w:p>
    <w:p>
      <w:pPr>
        <w:spacing w:after="0" w:line="6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retain key personnel of acquired businesses;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benefits and cost savings anticipated in our acquisitions; and</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industry consolidates further, larger mergers and acquisitions may face substantial scrutiny under antitrust laws.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These obstacles to our opportunistic acquisition strategy may have an adverse effect on our future financial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could suffer losses due to asset impairment charges for goodwill and other intangible assets.</w:t>
      </w:r>
    </w:p>
    <w:p>
      <w:pPr>
        <w:spacing w:after="0" w:line="121"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tested goodwill for impairment on December 31, 2023. Based on the Company’s review at December 31, 2023, no impairment charge was required. The Company continues to assess whether factors or indicators become apparent that would require an interim impairment test between our annual impairment test dates. For instance, if our market capitalization is below our equity book value for a period of time without recovery, we believe there is a strong presumption that would indicate a triggering event has occurred and it is more likely than not that the fair value of one or both of our reporting units is below the carrying amount. This would require us to test the reporting units for impairment of goodwill. If this presumption cannot be overcome a reporting unit could be impaired under ASC 350 “Goodwill and Other Intangible Assets” and a non-cash charge would be required. Any such charge could have a material adverse effect on the Company’s net earnings.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logo sign contracts are subject to state award and renewal.</w:t>
      </w:r>
    </w:p>
    <w:p>
      <w:pPr>
        <w:spacing w:after="0" w:line="121"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2023, the Company generated approximately 4% of its revenues from state-awarded logo sign contracts. In bidding for these contracts, the Company competes against other national logo sign providers as well as numerous smaller local logo sign providers. As a logo sign provider, the Company incurs significant start-up costs upon being awarded a new contract. These contracts generally have a term of five to ten years, with additional renewal periods. Some states reserve the right to terminate a contract early, and most contracts require the state to pay compensation to the Company as a logo sign provider for early termination. At the end of the contract term, the Company, as a logo sign provider, transfers ownership of the logo sign structures to the state. Depending on the contract, the logo provider may or may not be entitled to compensation for the structures at the end of the contract term.</w:t>
      </w:r>
    </w:p>
    <w:p>
      <w:pPr>
        <w:spacing w:after="0" w:line="79"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Of the Company’s 24 logo sign contracts in place at December 31, 2023, 4 are subject to renewal or expiration in 2024. The Company may be unable to renew its expiring contracts. The Company may also lose the bidding on new contracts.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Company’s contingency plans relating to hurricanes and other natural disasters fail, the resulting losses could hurt the Company’s business.</w:t>
      </w:r>
    </w:p>
    <w:p>
      <w:pPr>
        <w:spacing w:after="0" w:line="108" w:lineRule="exact"/>
        <w:rPr>
          <w:sz w:val="20"/>
          <w:szCs w:val="20"/>
          <w:color w:val="auto"/>
        </w:rPr>
      </w:pPr>
    </w:p>
    <w:p>
      <w:pPr>
        <w:jc w:val="both"/>
        <w:ind w:firstLine="567"/>
        <w:spacing w:after="0" w:line="250" w:lineRule="auto"/>
        <w:rPr>
          <w:sz w:val="20"/>
          <w:szCs w:val="20"/>
          <w:color w:val="auto"/>
        </w:rPr>
      </w:pPr>
      <w:r>
        <w:rPr>
          <w:rFonts w:ascii="Times New Roman" w:cs="Times New Roman" w:eastAsia="Times New Roman" w:hAnsi="Times New Roman"/>
          <w:sz w:val="18"/>
          <w:szCs w:val="18"/>
          <w:color w:val="auto"/>
        </w:rPr>
        <w:t>The Company has determined that it is uneconomical to insure against losses resulting from hurricanes and other natural disasters for its outdoor or logo structure assets. Although the Company has developed contingency plans designed to mitigate the threat posed by hurricanes and other forms of inclement weather to its real estate portfolio (e.g., removing advertising faces at the onset of a storm, when possible, which better permits the structures to</w:t>
      </w:r>
    </w:p>
    <w:p>
      <w:pPr>
        <w:spacing w:after="0" w:line="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withstand high winds during the storm), these plans could fail and significant losses could result. To the extent that such natural disaster events become more frequent or destructive because of climate change, we may incur increased costs related to storm remediation and preparation.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distributions are not guaranteed and may fluctuate.</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 REIT generally is required to distribute at least 90% of its REIT taxable income to its stockholders. The Company may have available net operating loss (“NOL”) carry forwards that could reduce or substantially eliminate its REIT taxable income, and thus it may not be required to distribute material amounts of cash to qualify for taxation as a REIT. The Company expects that it may utilize available NOL carry forwards to reduce its REIT taxable income.</w:t>
      </w:r>
    </w:p>
    <w:p>
      <w:pPr>
        <w:spacing w:after="0" w:line="7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in its sole discretion, will determine on a quarterly basis the amount of cash to be distributed to its stockholders based on a number of factors including, but not limited to, the Company’s results of operations, cash flow and capital requirements, economic conditions, tax considerations, borrowing capacity and other factors, including debt covenant restrictions that may impose limitations on cash payments, future acquisitions and divestitures, any stock repurchase program, and general market demand for its advertising space available for rent. Consequently, the Company’s distribution levels may fluctuate.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Lamar Advertising charter, the Lamar Advertising bylaws and Delaware law may inhibit a takeover that stockholders consider favorable and could also limit the market price of Lamar Advertising stock.</w:t>
      </w:r>
    </w:p>
    <w:p>
      <w:pPr>
        <w:spacing w:after="0" w:line="5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Provisions of the Lamar Advertising charter, the Lamar Advertising bylaws and applicable provisions of Delaware law may make it more difficult for or prevent a third party from acquiring control of Lamar Advertising without the approval of the Board of Directors. These provisions:</w:t>
      </w:r>
    </w:p>
    <w:p>
      <w:pPr>
        <w:spacing w:after="0" w:line="54" w:lineRule="exact"/>
        <w:rPr>
          <w:sz w:val="20"/>
          <w:szCs w:val="20"/>
          <w:color w:val="auto"/>
        </w:rPr>
      </w:pPr>
    </w:p>
    <w:p>
      <w:pPr>
        <w:ind w:left="1140" w:hanging="565"/>
        <w:spacing w:after="0" w:line="282"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ownership and transfer of Lamar Advertising common stock that are intended to facilitate the Company’s compliance with certain REIT rules relating to share ownership;</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and informational requirements and time limitations on any director nomination or proposal that a stockholder wishes to make at a meeting of stockholders;</w:t>
      </w:r>
    </w:p>
    <w:p>
      <w:pPr>
        <w:spacing w:after="0" w:line="53"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cumulative voting in the election of its directors, which would otherwise permit less than a majority of stockholders to elect directors; and</w:t>
      </w:r>
    </w:p>
    <w:p>
      <w:pPr>
        <w:spacing w:after="0" w:line="53"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Board of Directors the ability to issue additional classes and shares of preferred stock and to set voting rights, preferences and other terms of the preferred stock without stockholder approval.</w:t>
      </w:r>
    </w:p>
    <w:p>
      <w:pPr>
        <w:spacing w:after="0" w:line="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generally limits the Company’s ability to engage in any business combination with certain persons who own 15% or more of its outstanding voting stock or any of its associates or affiliates who at any time in the past three years have owned 15% or more of its outstanding voting stock.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These provisions may have the effect of entrenching the Company’s management team and may deprive the Company’s stockholders of the opportunity to sell their shares to potential acquirers at a premium over prevailing prices. This potential inability to obtain a control premium could reduce the price of Lamar Advertising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revenues are sensitive to the state of the economy and the financial markets generally and other external events beyond the Company’s control.</w:t>
      </w:r>
    </w:p>
    <w:p>
      <w:pPr>
        <w:spacing w:after="0" w:line="5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Company rents advertising space on outdoor structures to generate revenues. Advertising spending is particularly sensitive to changes in economic conditions.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Additionally, the occurrence of any of the following external events could further depress the Company’s revenues:</w:t>
      </w:r>
    </w:p>
    <w:p>
      <w:pPr>
        <w:spacing w:after="0" w:line="117" w:lineRule="exact"/>
        <w:rPr>
          <w:sz w:val="20"/>
          <w:szCs w:val="20"/>
          <w:color w:val="auto"/>
        </w:rPr>
      </w:pPr>
    </w:p>
    <w:p>
      <w:pPr>
        <w:ind w:left="1140" w:hanging="565"/>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widespread reallocation of advertising expenditures to other available media by significant renters of the Company’s displays; and</w:t>
      </w:r>
    </w:p>
    <w:p>
      <w:pPr>
        <w:spacing w:after="0" w:line="3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a decline in the amount spent on advertising, in general, or outdoor advertising in particular as a result of macroeconomic factors.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competition from larger and more diversified outdoor advertisers and other forms of advertising that could hurt its performance.</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While the Company enjoys a significant market share in many of its small and medium-sized markets, the Company faces competition from other outdoor advertisers and other media in all of its markets. Although the Company is one of the largest companies focusing exclusively on outdoor advertising in a relatively fragmented industry, it competes against larger companies with diversified operations, such as television, radio and other broadcast media. These diversified competitors have the advantage of cross-selling complementary advertising products to advertisers.</w:t>
      </w:r>
    </w:p>
    <w:p>
      <w:pPr>
        <w:spacing w:after="0" w:line="180"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also competes against an increasing variety of out-of-home advertising media, such as advertising displays in shopping centers, malls, airports, stadiums, movie theaters and supermarkets, and on taxis, trains and buses. To a lesser extent, the Company also faces competition from other forms of media, including radio, newspapers, direct mail advertising, telephone directories and the Internet. The industry competes for advertising revenue along the following dimensions: exposure (the number of “impressions” an advertisement makes), advertising rates (generally measured in cost-per-thousand impressions), ability to target specific demographic groups or geographies, effectiveness, quality of related services (such as advertising copy design and layout) and customer service. The Company may be unable to compete successfully along these dimensions in the future, and the competitive pressures that the Company faces could adversely affect its profitability or financial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local regulation impact the Company’s operations, financial condition and financial results.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Outdoor advertising is subject to governmental regulation at the federal, state and local levels. Regulations generally restrict the size, spacing, lighting and other aspects of advertising structures and pose a significant barrier to entry and expansion in many markets. Federal law, principally the Highway Beautification Act of 1965, or the HBA, regulates outdoor advertising on Federal — Aid Primary, Interstate and National Highway Systems roads. The HBA requires states, through the adoption of individual Federal/State Agreements, to “effectively control” outdoor advertising along these roads, and mandates a state compliance program and state standards regarding size, spacing and lighting. These state standards, or their local and municipal equivalents, may be modified over time in response to legal challenges or otherwise, which may have an adverse effect on our business. The HBA requires any state or political subdivision that compels the removal of a lawful billboard along a Federal — Aid Primary or Interstate highway to pay just compensation to the billboard owner.</w:t>
      </w:r>
    </w:p>
    <w:p>
      <w:pPr>
        <w:spacing w:after="0" w:line="19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All states have passed billboard control statutes and regulations at least as restrictive as the federal requirements, including laws requiring the removal of illegal signs at the owner’s expense (and without compensation from the state). Although the Company believes that the number of our billboards that may be subject to removal as illegal is immaterial, and no state in which we operate has banned billboards entirely, from time to time governments have required us to remove signs and billboards legally erected in accordance with federal, state and local permit requirements and laws. Municipal and county governments generally also have sign controls as part of their zoning laws and building codes. We contest laws and regulations that we believe unlawfully restrict our constitutional or other legal rights and may adversely impact the growth of our outdoor advertising business.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Using federal funding for transportation enhancement programs, state governments have purchased and removed billboards for beautification, and may do so again in the future. Under the power of eminent domain, state or municipal governments have laid claim to property and forced the removal of billboards. Under a concept called amortization by which a governmental body asserts that a billboard operator has earned compensation by continued operation over time, local governments have attempted to force removal of legal but nonconforming billboards (i.e., billboards that conformed to applicable zoning regulations when built but which do not conform to current zoning regulations). Although the legality of amortization is questionable, it has been upheld in some instances. Often, municipal and county governments also have sign controls as part of their zoning laws, with some local governments prohibiting construction of new billboards or allowing new construction only to replace existing structures. Although we have generally been able to obtain satisfactory compensation for those of our billboards purchased or removed as a result of governmental action, there is no assurance that this will continue to be the case in the future.</w:t>
      </w:r>
    </w:p>
    <w:p>
      <w:pPr>
        <w:spacing w:after="0" w:line="188"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have continued to expand the deployment of digital billboards, which display static digital advertising copy from various advertisers that change every 6 to 8 seconds. We have encountered some existing regulations that restrict or prohibit these types of digital displays but it has not yet materially impacted our digital deployment. However, new regulations could be enacted to impose greater restrictions on digital billboards due to alleged concerns over aesthetics or driver safety.</w:t>
      </w:r>
    </w:p>
    <w:p>
      <w:pPr>
        <w:spacing w:after="0" w:line="18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findings of future studies related to the impact of digital billboards on driver safety issues, if any, may result in regulations at the federal or state level that impose greater restrictions on digital billboards. Any new restrictions on digital billboards could have a material adverse effect on both our existing inventory of digital billboards and our plans to expand our digital deployment, which could have a material adverse effect on our business, results of operations and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suffer in the event of cybersecurity breaches and we may incur significant legal and financial exposure.</w:t>
      </w:r>
    </w:p>
    <w:p>
      <w:pPr>
        <w:spacing w:after="0" w:line="108"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intrusions, has generally increased and become more sophisticated over time. Although we have implemented physical and electronic security measures designed to protect against the loss, misuse and alteration of our websites, digital assets, proprietary business information and any personal identifiable information (“PII”) that we collect, no security measures are impenetrable and we and outside parties we interact with may be unable to anticipate or prevent unauthorized access. A security breach could occur due to the actions of outside parties, employee error, malfeasance or a combination of these or other actions. An increase in the number of our employees and outside parties with which we do business working remotely may increase the risk of a cybersecurity incident, which has required us to modify our security measures.</w:t>
      </w:r>
    </w:p>
    <w:p>
      <w:pPr>
        <w:spacing w:after="0" w:line="18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If an actual or perceived breach of our security were to occur, proprietary or competitive information may be misappropriated, and we could experience disruptions in our business operations, information processes and internal controls. In addition, the public perception of the effectiveness of our security measures may be harmed and adversely affect our competitive position. In the event of a security breach, we could suffer significant legal and financial exposure in connection with remediation efforts, investigations and legal proceedings, which could lead to the need for additional resources in our security and system protection measures.</w:t>
      </w:r>
    </w:p>
    <w:p>
      <w:pPr>
        <w:spacing w:after="0" w:line="18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We have been and expect to continue to be the target of fraudulent activities and security breaches; however, to date they have not had a material impact on our business, results of operations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environmental, social and governance (ESG) and sustainability matters.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Governments, shareholders, customers, employees and other stakeholders are increasingly focusing on corporate ESG practices and disclosures, and expectations in this area are rapidly evolving and growing. We may incur costs related to ESG initiatives, including those related to producing enhanced mandatory or voluntary disclosures about our business. If we are unable to respond effectively to ESG matters, our reputation, business, financial condition and results of operations could be adversely impacted.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Status as a REIT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Lamar Advertising fails to remain qualified as a REIT, both Lamar Advertising and Lamar Media would be taxed as regular C corporations and would not be able to deduct distributions to the stockholders of Lamar Advertising when computing their taxable income.</w:t>
      </w:r>
    </w:p>
    <w:p>
      <w:pPr>
        <w:spacing w:after="0" w:line="5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Advertising elected to qualify as a REIT for U.S. federal income tax purposes starting with its taxable year ended December 31, 2014 and for each subsequent taxable year thereafter. REIT qualification involves the application of highly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technical and complex provisions of the U.S. Internal Revenue Code of 1986, as amended, (the “Code”) to Lamar Advertising’s assets and operations as well as various factual determinations concerning matters and circumstances not entirely within our control. There are limited judicial or administrative interpretations of these provisions. Although Lamar Advertising plans to operate in a manner consistent with the REIT qualification rules, the Company cannot assure you that it will so qualify or remain so qualified. Lamar Media is treated as a qualified REIT subsidiary of Lamar Advertising that is disregarded as separate from its parent REIT for U.S. federal income tax purposes.</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If, in any taxable year, Lamar Advertising fails to qualify for taxation as a REIT, and is not entitled to relief under the Code:</w:t>
      </w:r>
    </w:p>
    <w:p>
      <w:pPr>
        <w:spacing w:after="0" w:line="117" w:lineRule="exact"/>
        <w:rPr>
          <w:sz w:val="20"/>
          <w:szCs w:val="20"/>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be allowed a deduction for distributions to its stockholders in computing its taxable income;</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and its corporate subsidiaries, including Lamar Media, will be subject to applicable federal and state income tax, including any applicable state-level alternative minimum tax, on its taxable income at regular corporate rates; and</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be disqualified from REIT tax treatment for the four taxable years following the year during which it was so disqualified.</w:t>
      </w:r>
    </w:p>
    <w:p>
      <w:pPr>
        <w:spacing w:after="0" w:line="225"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Any such corporate tax liability could be substantial and would reduce the amount of cash available for distributions to Lamar Advertising’s stockholders, may require it to borrow funds (under Lamar Media’s senior credit facility or otherwise) or liquidate some investments to pay any such additional tax liability. This adverse impact could last for five or more years because, unless it is entitled to relief under certain statutory provisions, it will be taxable as a corporation, beginning in the year in which the failure occurs, and it will not be allowed to re-elect to be taxed as a REIT for the following four years.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it qualifies as a REIT, certain of Lamar Advertising’s and its subsidiaries’ business activities will be subject to U.S. and foreign taxes which will continue to reduce its cash flows, and it will have potential deferred and contingent tax liabilities.</w:t>
      </w:r>
    </w:p>
    <w:p>
      <w:pPr>
        <w:spacing w:after="0" w:line="5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Even if it qualifies as a REIT, Lamar Advertising may be subject to certain U.S. federal, state and local taxes and foreign taxes on its income and assets, including any applicable state-level alternative minimum taxes, taxes on any undistributed income, and state, local or foreign income, franchise, property and transfer taxes. In addition, the Company could in certain circumstances be required to pay an excise or penalty tax, which could be significant in amount, in order to utilize one or more relief provisions under the Code to maintain qualification for taxation as a REIT.</w:t>
      </w:r>
    </w:p>
    <w:p>
      <w:pPr>
        <w:spacing w:after="0" w:line="18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order to maintain its qualification as a REIT, the Company holds certain of its non-qualifying REIT assets and receives certain non-qualifying items of income through one or more TRSs. These non-qualifying REIT assets consist principally of the Company’s advertising services business and its transit advertising business. Those TRS assets and operations will continue to be subject, as applicable, to U.S. federal and state corporate income taxes. Furthermore, the Company’s assets and operations outside the United States are subject to foreign taxes in the jurisdictions in which those assets and operations are located. In addition, the Company may incur a 100% excise tax on transactions with a TRS if they are not conducted on an arm’s-length basis. Any of these taxes would decrease the Company’s earnings and its cash available for distributions to stockholders.</w:t>
      </w:r>
    </w:p>
    <w:p>
      <w:pPr>
        <w:spacing w:after="0" w:line="187"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was subject to a U.S. federal income tax at the highest regular corporate rate (currently 21%) on all or a portion of the gain recognized from a sale of assets occurring within five years after the effective date of our REIT conversion, to the extent of the built-in gain based on the fair market value of those assets held by the Company on the effective date of REIT conversion in excess of the Company’s then tax basis in those assets. Such five-year period has expired with respect to the Company but certain tax years for which this rule applied remain open such that additional taxes could be assessed with respect to sales in those tax years. The same rules apply to any assets we acquire from a “C” corporation in a carry-over basis transaction with built-in gain at the time of the acquisition by us. Gain from a sale of an asset occurring after the specified period ends will not be subject to this corporate level tax.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 by REITs generally do not qualify for the reduced tax rates on dividend income from non-REIT corporations.</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Qualified dividend income payable to U.S. stockholders that are individuals, trusts and estates are generally subject to tax at reduced rates. Dividends payable by REITs, however, generally are not eligible for the reduced qualified dividend rates. For taxable years beginning before January 1, 2026, non-corporate taxpayers may generally deduct 20% of certain pass-through business income, including “qualified REIT dividends” (generally, dividends received by a REIT shareholder that are not designated as capital gain dividends or qualified dividend income), subject to certain limitations. Although this deduction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reduces the effective tax rate applicable to certain dividends paid by REITs, such tax rate may still be higher than the tax rate applicable to regular corporate qualified dividends. This may cause investors to view REIT investments as less attractive than investments in non-REIT corporations, which in turn may adversely affect the value of the stock of REITs, including our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assets deemed held for sale in the ordinary course of business is subject to 100% tax.</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If we sell any of our assets, the IRS may determine that the sale is a disposition of an asset held primarily for sale to customers in the ordinary course of a trade or business. Gain from this kind of sale will generally be subject to a 100% tax. Whether an asset is held "primarily for sale to customers in the ordinary course of a trade or business" depends on the particular facts and circumstances of the sale. Although we will attempt to comply with the terms of safe-harbor provisions in the Internal Revenue Code prescribing when asset sales will not be so characterized, we cannot assure you that we will be able to do so.</w:t>
      </w:r>
    </w:p>
    <w:p>
      <w:pPr>
        <w:spacing w:after="0" w:line="206"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make sufficient distributions would jeopardize Lamar Advertising’s qualification as a REIT and/or would subject it to U.S. federal income and excise taxes.</w:t>
      </w:r>
    </w:p>
    <w:p>
      <w:pPr>
        <w:spacing w:after="0" w:line="6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As a REIT, Lamar Advertising is required to distribute to its stockholders with respect to each taxable year at least 90% of its REIT taxable income (excluding capital gains and net of any available NOL carry forwards) in order to qualify as a REIT, and 100% of its REIT taxable income (excluding capital gains and net of any available NOL carry forwards) in order to avoid U.S. federal income and excise taxes. For these purposes, Lamar Advertising’s subsidiaries that are not TRSs, including Lamar Media, will be treated as part of the REIT and therefore Lamar Advertising also will be required to distribute out their taxable income.</w:t>
      </w:r>
    </w:p>
    <w:p>
      <w:pPr>
        <w:spacing w:after="0" w:line="183"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Because the REIT distribution requirements will prevent us from retaining earnings, we may be required to refinance debt at maturity with additional debt or equity, which may not be available on acceptable terms, or at all.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specified in our existing and future debt instruments may limit Lamar Advertising’s ability to make required REIT distributions.</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Media’s senior credit facility and the indentures relating to Lamar Media’s outstanding notes contain certain covenants that could limit Lamar Advertising’s distributions to its stockholders. If these limits prevent Lamar Advertising from satisfying its REIT distribution requirements, it could fail to qualify for taxation as a REIT. If these limits do not jeopardize Lamar Advertising’s qualification for taxation as a REIT but do nevertheless prevent it from distributing 100% of its REIT taxable income, it will be subject to U.S. federal corporate income tax, and potentially a nondeductible excise tax, on the retained amounts.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Lamar Advertising and its subsidiaries may be required to borrow funds, sell assets, or raise equity to satisfy its REIT distribution requirements or maintain the asset tests.</w:t>
      </w:r>
    </w:p>
    <w:p>
      <w:pPr>
        <w:spacing w:after="0" w:line="51"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order to meet the REIT distribution requirements and maintain its qualification and taxation as a REIT and avoid corporate income taxes, Lamar Advertising and/or its subsidiaries, including Lamar Media, may need to borrow funds, sell assets or raise equity, even if the then-prevailing market conditions are not favorable for these borrowings, sales or offerings. Any insufficiency of its cash flows to cover Lamar Advertising’s REIT distribution requirements could require it to raise short- and long-term debt, to sell assets, or to offer equity securities in order to fund distributions required to maintain its qualification and taxation as a REIT and avoid corporate income taxes. Furthermore, the REIT distribution requirements may increase the financing Lamar Advertising needs to fund capital expenditures, future growth and expansion initiatives. This would increase its total leverage.</w:t>
      </w:r>
    </w:p>
    <w:p>
      <w:pPr>
        <w:spacing w:after="0" w:line="18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addition, if Lamar Advertising fails to comply with certain asset tests at the end of any calendar quarter, it must correct the failure within 30 days after the end of the calendar quarter or qualify for certain statutory relief provisions to avoid losing its REIT qualification. As a result, it may be required to liquidate otherwise attractive investments. These actions may reduce its income and amounts available for distribution to its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cause Lamar Advertising, its subsidiaries (other than TRSs) to forego otherwise attractive opportunities.</w:t>
      </w:r>
    </w:p>
    <w:p>
      <w:pPr>
        <w:spacing w:after="0" w:line="22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To qualify as a REIT for U.S. federal income tax purposes, Lamar Advertising must continually satisfy tests concerning, among other things, the sources of its income, the nature and diversification of its assets, the amounts it distributes to its stockholders and the ownership of Lamar Advertising common stock. For these purposes, Lamar Advertising is treated as owning the assets of and receiving or accruing the income of its subsidiaries (other than TRSs). Thus, compliance with these tests will require Lamar Advertising and its subsidiaries to refrain from certain activities and may hinder their ability to make certain attractive investments, including investments in the businesses to be conducted by TRSs, and to that extent limit their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opportunities. Furthermore, acquisition opportunities in domestic and international markets may be adversely affected if Lamar Advertising needs or requires the target company to comply with certain REIT requirements prior to closing.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limitations contained in the Lamar Advertising charter may restrict stockholders from acquiring or transferring certain amounts of shares.</w:t>
      </w:r>
    </w:p>
    <w:p>
      <w:pPr>
        <w:spacing w:after="0" w:line="12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In order for Lamar Advertising to remain qualified as a REIT, no more than 50% of the value of the outstanding shares of its stock may be owned, directly or indirectly or through application of certain attribution rules, by five or fewer “individuals” (as defined in the Code) at any time during the last half of a taxable year (other than the first taxable year for which an election to be a REIT has been made). To preserve its REIT qualification, the Lamar Advertising charter generally prohibits any person or entity from owning actually and by virtue of the applicable constructive ownership provisions more than 5% of the outstanding shares of Lamar Advertising common stock. These ownership limitations could restrict stockholders from acquiring or transferring certain amounts of shares of its stock. The Lamar Advertising charter also provides a separate share ownership limitation for certain members of the Reilly family and their affiliates that allows them to own actually and by virtue of the applicable constructive ownership provisions no more than 19% of the outstanding shares of Lamar Advertising common stock and, during the second half of any taxable year other than its first taxable year as a REIT, no more than 33% in value of the aggregate of the outstanding shares of all classes and series of its stock, in each case excluding any shares of its stock that are not treated as outstanding for federal income tax purposes.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Lamar Advertising’s operating partnership does not qualify as a partnership, its income may be subject to taxation, and Lamar Advertising would no longer qualify as a REIT.</w:t>
      </w:r>
    </w:p>
    <w:p>
      <w:pPr>
        <w:spacing w:after="0" w:line="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Internal Revenue Code classifies “publicly traded partnerships” as associations taxable as corporations (rather than as partnerships), unless substantially all of their taxable income consists of specified types of passive income. Lamar Advertising structured the Operating Partnership to be classified as a partnership for federal income tax purposes. However, no assurance can be given the IRS will not challenge Lamar Advertising’s position or will not classify the Operating Partnership as a “publicly traded partnership” for federal income tax purposes. To minimize this risk, Lamar Advertising has placed certain restrictions on the transfer and/or redemption of partnership units in the Amended and Restated Limited Partnership Agreement of the Operating Partnership. If the IRS would assert successfully that the Operating Partnership should be treated as a “publicly traded partnership” and substantially all of the Operating Partnership’s gross income did not consist of the specified types of passive income, the Internal Revenue Code would treat the Operating partnership as an association taxable as a corporation. In such event, Lamar Advertising would cease to qualify as a REIT. In addition, the imposition of a corporate tax on the Operating Partnership would reduce the amount of distributions the Operating Partnership could make to Lamar Advertising and, in turn, reduce the amount of cash available to Lamar Advertising to pay dividends to our shareholders.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Cuts and Jobs Act, the CARES Act and the Inflation Reduction Act, as well as any future tax legislation, may impact the Company’s business and security holders.</w:t>
      </w:r>
    </w:p>
    <w:p>
      <w:pPr>
        <w:spacing w:after="0" w:line="51"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On December 22, 2017, H.R. 1, informally titled the Tax Cuts and Jobs Act (the “TCJA”) was signed into law. The TCJA made major changes to the Code, including a number of provisions of the Code that affect the taxation of REITs and their stockholders. Among the changes made by the TCJA are permanently reducing the generally applicable corporate tax rate, generally reducing the tax rate applicable to individuals and other non-corporate taxpayers for tax years beginning after December 31, 2017 and before January 1, 2026, eliminating or modifying certain previously allowed deductions (including substantially limiting interest deductibility and, for individuals, the deduction for non-business state and local taxes). On March 27, 2020, legislation intended to support the economy during the COVID-19 pandemic, the Coronavirus Aid, Relief, and Economic Security Act (the “CARES Act”), was signed into law. The CARES Act made technical corrections, or temporary modifications, to certain of the provisions of the TCJA, including, without limitation, the provisions of the TCJA concerning NOLs and interest expense deductions. Certain CARES Act related interest expense deduction changes are discussed in the following subsection. With respect to NOLs, effective for taxable years beginning on or after January 1, 2018, the TCJA limited the deduction for NOL carryforwards to 80% of taxable income (before the deduction) and eliminated NOL carrybacks for individuals and non-REIT corporations (NOL carrybacks did not apply to REITs under prior law), but allows for indefinite NOL carryforwards. The CARES Act repealed such 80% limitation for carryforwards to taxable years beginning before January 1, 2021. The CARES Act also allows a five-year carryback for NOLs arising in 2018, 2019, or 2020. The TCJA’s NOL limitations (even as modified by the CARES Act) may result in Lamar Advertising having to make additional distributions in order to comply with REIT distribution requirements or avoid taxes on retained income and gains.</w:t>
      </w:r>
    </w:p>
    <w:p>
      <w:pPr>
        <w:spacing w:after="0" w:line="19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(the “IRA”). The IRA includes numerous tax provisions that impact corporations, including the implementation of a 15% corporate alternative minimum tax based on “adjusted financial statement income” exceeding $1 billion, as well as a 1% excise tax on certain stock repurchases and economically similar transactions. However, REITs are excluded from the definition of an “applicable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corporation” and therefore are not subject to the corporate alternative minimum tax. Additionally, the 1% excise tax specifically does not apply to stock repurchases by REITs. Any taxable REIT subsidiaries of Lamar Advertising operate as standalone corporations and therefore could be adversely affected by the IRA. Lamar Advertising will continue to analyze and monitor the application of the IRA to its business; however, the effect of these changes on the value of Lamar Advertising’s assets, shares of Lamar Advertising stock or market conditions, generally, is uncertain.</w:t>
      </w:r>
    </w:p>
    <w:p>
      <w:pPr>
        <w:spacing w:after="0" w:line="18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individual and collective impact of the changes made by the TCJA, the CARES Act and the IRA on REITs and their security holders is uncertain and may not become evident for some period of time. The effect of any technical corrections with respect to the TCJA, the CARES Act or the IRA could have an adverse effect on Lamar Advertising, its subsidiaries, and holders of its securities. It is also possible additional tax legislation could be enacted in the future, as a result of the COVID-19 pandemic or otherwise, which could have an adverse effect on Lamar Advertising, its subsidiaries, and holders of its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Lamar Advertising may potentially be unable to deduct the full amount of its interest expense pursuant to the TCJA and the CARES Act.</w:t>
      </w:r>
    </w:p>
    <w:p>
      <w:pPr>
        <w:spacing w:after="0" w:line="12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For taxable years beginning after December 31, 2017, interest deductions for businesses with average annual gross receipts of over $25 million are capped at 30% of the business’ “adjusted taxable income” plus business interest income pursuant to the TCJA. For these purposes, for taxable years beginning after December 31, 2017 and before January 1, 2022, “adjusted taxable income” is computed without regard to deductions allowable for depreciation, amortization, or depletion. The CARES Act increased the aforementioned 30% limitation to 50% for taxable years beginning in 2019 or 2020 and permitted an entity to elect to use its 2019 adjusted taxable income to calculate the applicable limitation for its 2020 taxable year. For taxable years beginning after December 31, 2021, “adjusted taxable income” is calculated by taking deductions allowable for depreciation, amortization, or depletion into account. This limitation, however, does not apply to an “electing real property trade or business.” As a REIT, Lamar Advertising would generally constitute a real property trade or businesses, and thus would retain the ability to fully deduct interest expenses if it makes such an election. However, an entity making such an election must use a longer depreciation cost recovery period for its property. Lamar Advertising has not made such election to date and has not yet determined whether it will make such election at a later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changes or other actions affecting REITs could have a negative effect on Lamar Advertising and its subsidiaries.</w:t>
      </w:r>
    </w:p>
    <w:p>
      <w:pPr>
        <w:spacing w:after="0" w:line="121"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At any time, the U.S. federal income tax laws governing REITs or the administrative and judicial interpretations of those laws may be amended or interpreted in a different manner. Federal and state tax laws are constantly under review by persons involved in the legislative process, the IRS, the U.S. Department of the Treasury, and state taxing authorities. Additional changes to the tax laws, regulations and administrative and judicial interpretations, which may have retroactive application, could adversely affect Lamar Advertising and its subsidiaries. The Company cannot predict with certainty whether, when, in what forms, or with what effective dates, the tax laws, regulations and administrative and judicial interpretations applicable to Lamar Advertising may be changed. Accordingly, the Company cannot assure you that any such change will not significantly affect Lamar Advertising’s ability to qualify for taxation as a REIT or the U.S. federal income tax consequences to it of such qualification.</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of the Board of Directors of Lamar Advertising to revoke its REIT election, without stockholder approval, may cause adverse consequences to its stockholders.</w:t>
      </w:r>
    </w:p>
    <w:p>
      <w:pPr>
        <w:spacing w:after="0" w:line="5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Lamar Advertising charter provides that the Board of Directors may revoke or otherwise terminate the REIT election, without the approval of its stockholders, if the board determines that it is no longer in the Company’s best interest to continue to qualify as a REIT. If the Company ceases to be a REIT, it will be subject to U.S. federal income tax at regular corporate rates and applicable state and local corporate taxes, which may have adverse consequences on its total return to its stockholders.</w:t>
      </w:r>
    </w:p>
    <w:p>
      <w:pPr>
        <w:spacing w:after="0" w:line="28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manage risks from cybersecurity threats through our overall enterprise risk management process. Management has created an information security program, which encompasses a dedicated information security team and policies, procedures, and processes for assessing, identifying, and managing risks from cybersecurity threats. We “proactively” assess, identify, and manage risks from cybersecurity threats through various mechanisms, which from time to time may include internal audits, external audits, penetration tests, and engagement of third parties to conduct analyses of our information security program.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our centralized enterprise risk management function, we also maintain processes for overseeing and identifying risks associated with third party service providers with whom we do business, including risks related to cybersecurity.</w:t>
      </w:r>
    </w:p>
    <w:p>
      <w:pPr>
        <w:spacing w:after="0" w:line="16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While to date, we have not had a major cyber incident against our platforms, nor experienced significant data loss or any material financial losses related to cybersecurity attacks, it is possible that we could experience a significant event in the future. Risks and exposures related to cybersecurity attacks are expected to remain high for the foreseeable future due to the rapidly evolving nature and sophistication of these threats. See Item 1A. “Risk Factors.” – “Our business and operations could suffer in the event of cybersecurity breaches and we may incur significant legal and financial exposure.” for further discussion of potential risks related to cybersecurity incidents.</w:t>
      </w:r>
    </w:p>
    <w:p>
      <w:pPr>
        <w:spacing w:after="0" w:line="183"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Our Senior Vice President of Technology and Innovation and Vice President of Network Infrastructure and Cyber Strategy oversee our cybersecurity program. They hold degrees in industrial engineering and computer science and information systems and decision science, respectively. The team responsible with administering our cyber security program have a combined 35 years of experience in cybersecurity, information security &amp; information technology risk management, governance, risk, and compliance. Our board of directors and our audit committee are regularly updated on cyber security as part of their oversight of relevant cybersecurity risks. These reports address key cybersecurity topics, including the implementation and operation of preventative controls and the detection, mitigation and remediation of cybersecurity incidents.</w:t>
      </w:r>
    </w:p>
    <w:p>
      <w:pPr>
        <w:spacing w:after="0" w:line="2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management headquarters is located in Baton Rouge, Louisiana. We also own 128 local operating facilities with front office administration and sales office space connected to back-shop poster and bulletin production space. In addition, the Company leases an additional 160 operating facilities at an aggregate lease expense for 2023 of approximately $10.1 million.</w:t>
      </w:r>
    </w:p>
    <w:p>
      <w:pPr>
        <w:spacing w:after="0" w:line="17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We own approximately 10,750 parcels of property beneath our outdoor advertising structures. As of December 31, 2023, we leased approximately 72,350 active outdoor sites, accounting for a total annual lease expense of approximately $335.4 million. This amount represented approximately 18% of billboard advertising net revenues for the year ended December 31, 2023. These leases are for varying terms ranging from month-to-month to a term of over ten years, and many provide the Company with renewal options. There is no significant concentration of displays under any one lease or subject to negotiation with any one landlord. An important part of our management activity is to manage our lease portfolio and negotiate suitable lease renewals and extensions.</w:t>
      </w:r>
    </w:p>
    <w:p>
      <w:pPr>
        <w:spacing w:after="0" w:line="2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from time to time is involved in litigation in the ordinary course of business, including disputes involving advertising contracts, site leases, employment claims and construction matters. The Company is also involved in routine administrative and judicial proceedings regarding billboard permits, fees and compensation for condemnations. The Company is not a party to any lawsuit or proceeding which, in the opinion of management, is likely to have a material adverse effect on the Company.</w:t>
      </w:r>
    </w:p>
    <w:p>
      <w:pPr>
        <w:spacing w:after="0" w:line="2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left="840" w:right="100" w:hanging="971"/>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MARKET FOR THE REGISTRANT’S COMMON EQUITY, RELATED STOCKHOLDER MATTERS AND ISSUER PURCHASES OF EQUITY SECURITIES</w:t>
      </w:r>
    </w:p>
    <w:p>
      <w:pPr>
        <w:spacing w:after="0" w:line="5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Company’s Class A common stock has been publicly traded since August 2, 1996 and is currently listed on the NASDAQ Global Select Market under the symbol “LAMR.” As of December 31, 2023, the Class A common stock was held by 84 stockholders of record. The Company believes, however, that the actual number of beneficial holders of the Class A common stock may be substantially greater than the stated number of holders of record because a substantial portion of the Class A common stock is held in street name.</w:t>
      </w:r>
    </w:p>
    <w:p>
      <w:pPr>
        <w:spacing w:after="0" w:line="18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Company’s Class B common stock is not publicly traded and is held of record by members of the Reilly family and their affiliated entities, including the Reilly Family, LLC (the “RFLLC”), formerly the Reilly Family Limited Partnership. Kevin P. Reilly, Jr., our Executive Chairman of the Board, is the executive manager of the RFLLC and Sean E. Reilly, our President and Chief Executive Officer, and Wendell Reilly and Anna Reilly, each of whom is a member of our Board of Directors, are also managers of the RFLLC.</w:t>
      </w:r>
    </w:p>
    <w:p>
      <w:pPr>
        <w:spacing w:after="0" w:line="18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Series AA preferred stock is entitled to preferential dividends, in an annual aggregate amount of $364,903, before any dividends may be paid on the common stock. All dividends related to the Company’s preferred stock are paid on a quarterly basis. In addition, the Company’s senior credit facility and other indebtedness have terms restricting the payment of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As a REIT, we must annually distribute to our common stockholders an amount equal to at least 90% of our REIT taxable income (determined before the deduction for distributed earnings and excluding any net capital gain). Generally, we expect to distribute all or substantially all of our REIT taxable income to avoid being subject to income tax or excise tax on undistributed REIT taxable income. The amount, timing and frequency of future distributions will be at the sole discretion of our Board of Directors and will be declared based upon various factors, a number of which may be beyond our control, including our financial condition and operating cash flows, the amount required to maintain REIT status and reduce any income and excise taxes that we otherwise would be required to pay, limitations on distributions in our existing and future debt instruments, our ability to utilize net operating losses (“NOLs”) to offset our distribution requirements, limitations on our ability to fund distributions using cash generated through our TRSs and other factors that our Board of Directors may deem relevant.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March 16, 2020, the Company’s Board of Directors authorized the repurchase of up to $250.0 million of the Company’s Class A common stock. On February 23, 2023, the Company’s Board of Directors authorized the extension of the repurchase program through September 30, 2024. There were no repurchases under the program as of December 31, 2023. The Company’s management may opt not to make any repurchases under the program, or may make aggregate purchases less than the total amount authorized.</w:t>
      </w:r>
    </w:p>
    <w:p>
      <w:pPr>
        <w:spacing w:after="0" w:line="2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33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These statements are subject to risks and uncertainties including those described in Item 1A under the heading “Risk Factors,” and elsewhere in this Annual Report, that could cause actual results to differ materially from those projected in these forward-looking statements. The Company cautions investors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the Company for the years ended December 31, 2023 and 2022. This discussion should be read in conjunction with the consolidated financial statements of the Company and the related notes.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Discussion of our results of operations for the years ended December 31, 2022 and 2021 can be found in Part II, Item 7 of our Annual Report on Form 10-K for the year ended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the Company is able to charge for advertising on its displays and its ability to maximize advertising sales or occupancy on its displays.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capital expenditures</w:t>
      </w:r>
    </w:p>
    <w:p>
      <w:pPr>
        <w:spacing w:after="0" w:line="121"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the senior credit facility or the issuance of debt or equity securities. See </w:t>
      </w:r>
      <w:r>
        <w:rPr>
          <w:rFonts w:ascii="Times New Roman" w:cs="Times New Roman" w:eastAsia="Times New Roman" w:hAnsi="Times New Roman"/>
          <w:sz w:val="18"/>
          <w:szCs w:val="18"/>
          <w:i w:val="1"/>
          <w:iCs w:val="1"/>
          <w:color w:val="auto"/>
        </w:rPr>
        <w:t>“Liquidity and Capital Resources- Sources of Cash,</w:t>
      </w:r>
      <w:r>
        <w:rPr>
          <w:rFonts w:ascii="Times New Roman" w:cs="Times New Roman" w:eastAsia="Times New Roman" w:hAnsi="Times New Roman"/>
          <w:sz w:val="18"/>
          <w:szCs w:val="18"/>
          <w:color w:val="auto"/>
        </w:rPr>
        <w:t>” for more information. During the year ended December 31, 2023, the Company completed multiple acquisitions for a total cash purchase price of approximately $139.0 million. See “</w:t>
      </w:r>
      <w:r>
        <w:rPr>
          <w:rFonts w:ascii="Times New Roman" w:cs="Times New Roman" w:eastAsia="Times New Roman" w:hAnsi="Times New Roman"/>
          <w:sz w:val="18"/>
          <w:szCs w:val="18"/>
          <w:i w:val="1"/>
          <w:iCs w:val="1"/>
          <w:color w:val="auto"/>
        </w:rPr>
        <w:t>Uses of Cash-Acquisitions</w:t>
      </w:r>
      <w:r>
        <w:rPr>
          <w:rFonts w:ascii="Times New Roman" w:cs="Times New Roman" w:eastAsia="Times New Roman" w:hAnsi="Times New Roman"/>
          <w:sz w:val="18"/>
          <w:szCs w:val="18"/>
          <w:color w:val="auto"/>
        </w:rPr>
        <w:t>,” for more information.</w:t>
      </w:r>
    </w:p>
    <w:p>
      <w:pPr>
        <w:spacing w:after="0" w:line="18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past two years: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r>
      <w:tr>
        <w:trPr>
          <w:trHeight w:val="236"/>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Billboard — Traditional</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54,965</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45,415</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Billboard — Digital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81,145</w:t>
            </w:r>
          </w:p>
        </w:tc>
      </w:tr>
      <w:tr>
        <w:trPr>
          <w:trHeight w:val="23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Logos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12,039</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13,151</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r>
      <w:tr>
        <w:trPr>
          <w:trHeight w:val="23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15,494</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11,462</w:t>
            </w:r>
          </w:p>
        </w:tc>
      </w:tr>
      <w:tr>
        <w:trPr>
          <w:trHeight w:val="229"/>
        </w:trPr>
        <w:tc>
          <w:tcPr>
            <w:tcW w:w="8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PP&amp;E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16,643</w:t>
            </w: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11,171</w:t>
            </w:r>
          </w:p>
        </w:tc>
      </w:tr>
      <w:tr>
        <w:trPr>
          <w:trHeight w:val="248"/>
        </w:trPr>
        <w:tc>
          <w:tcPr>
            <w:tcW w:w="84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178,271</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167,078</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expect our 2024 capital expenditures to be approximately $125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FFO is defined as net income before (gain) loss from the sale or disposal of real estate assets and investments, net of tax, and real estate related depreciation and amortization and including adjustments to eliminate unconsolidated affiliates and non-controlling interest.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define AFFO as FFO before (i) straight-line income and expense; (ii) capitalized contract fulfillment costs, net; (iii) stock-based compensation expense; (iv) non-cash portion of tax expense (benefit); (v) non-real estate related depreciation and amortization; (vi) amortization of deferred financing costs, (vii) loss on extinguishment of debt; (viii) transaction expenses; (ix) non-recurring infrequent or unusual losses (gains); (x) less maintenance capital expenditures; and (xi) an adjustment for unconsolidated affiliates and non-controlling interest.</w:t>
      </w:r>
    </w:p>
    <w:p>
      <w:pPr>
        <w:spacing w:after="0" w:line="18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87"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 making and for evaluating our core operating results; (2) adjusted EBITDA is widely used in the industry to measure operating performance as depreciation and amortization may vary significantly among companies depending upon accounting methods and useful lives, particularly where acquisitions and non-operating factors are involved;</w:t>
      </w:r>
    </w:p>
    <w:p>
      <w:pPr>
        <w:spacing w:after="0" w:line="1" w:lineRule="exact"/>
        <w:rPr>
          <w:sz w:val="20"/>
          <w:szCs w:val="20"/>
          <w:color w:val="auto"/>
        </w:rPr>
      </w:pPr>
    </w:p>
    <w:p>
      <w:pPr>
        <w:jc w:val="both"/>
        <w:ind w:firstLine="8"/>
        <w:spacing w:after="0" w:line="253" w:lineRule="auto"/>
        <w:tabs>
          <w:tab w:leader="none" w:pos="2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acquisition-adjusted net revenue is a supplement to net revenue to enable investors to compare period-over-period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18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certain items in the Consolidated Statements of Income as a percentage of net revenues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0" w:type="dxa"/>
            <w:vAlign w:val="bottom"/>
            <w:gridSpan w:val="3"/>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28.4 %</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$78.8 million or 3.9% to $2.11 billion for the year ended December 31, 2023 from $2.03 billion for the same period in 2022. This increase was attributable to an increase in billboard net revenues of $63.8 million, an increase in transit net revenues of $12.8 million and an increase in logo net revenues of $2.2 million over the prior year.</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for the year ended December 31, 2023, as compared to acquisition-adjusted net revenues for the comparable period in 2022, increased $43.4 million, or 2.1%. This increase was attributable to an increase of $28.4 million in billboard net revenues, an increase of $12.8 million in transit net revenues and an increase of $2.2 million in logo net revenues. See “</w:t>
      </w:r>
      <w:r>
        <w:rPr>
          <w:rFonts w:ascii="Times New Roman" w:cs="Times New Roman" w:eastAsia="Times New Roman" w:hAnsi="Times New Roman"/>
          <w:sz w:val="18"/>
          <w:szCs w:val="18"/>
          <w:i w:val="1"/>
          <w:iCs w:val="1"/>
          <w:color w:val="auto"/>
        </w:rPr>
        <w:t>Reconciliations</w:t>
      </w:r>
      <w:r>
        <w:rPr>
          <w:rFonts w:ascii="Times New Roman" w:cs="Times New Roman" w:eastAsia="Times New Roman" w:hAnsi="Times New Roman"/>
          <w:sz w:val="18"/>
          <w:szCs w:val="18"/>
          <w:color w:val="auto"/>
        </w:rPr>
        <w:t>” below.</w:t>
      </w:r>
    </w:p>
    <w:p>
      <w:pPr>
        <w:spacing w:after="0" w:line="17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$27.2 million, or 2.4% to $1.15 billion for the year ended December 31, 2023 from $1.12 billion in the same period in 2022. The $27.2 million increase over the prior year is primarily comprised of an increase in total direct, general and administrative and corporate expenses (excluding stock-based compensation and transaction expenses) of $31.4 million primarily related to the operations of our outdoor advertising assets, partially offset by a $3.8 million decrease in transaction expenses related to acquisitions and the write-off of deferred offering costs.</w:t>
      </w:r>
    </w:p>
    <w:p>
      <w:pPr>
        <w:spacing w:after="0" w:line="18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decreased $56.0 million to $293.4 million for the year ended December 31, 2023 as compared to $349.4 million for the same period in 2022. The decrease is primarily due to the revision in the cost estimate included in the calculation of asset retirement obligations during 2022.</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Company recognized a gain on disposition of assets of $5.5 million as compared to a gain on disposition of assets of $15.7 million for the same period in 2022. The gain on disposition of assets for the year ended December 31, 2023 primarily resulted from transactions related to the sale of billboard locations and displays. The gain on disposition of assets for the year ended December 31, 2022 primarily resulted from a gain of $12.6 million from a contingent payment received in connection with the Company's 2018 sale of Puerto Rico assets.</w:t>
      </w:r>
    </w:p>
    <w:p>
      <w:pPr>
        <w:spacing w:after="0" w:line="18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$97.4 million to $675.4 million for the year ended December 31, 2023 compared to $578.0 million for the same period in 2022.</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Interest expense increased $47.0 million for the year ended December 31, 2023 to $174.5 million as compared to $127.5 million for the year ended December 31, 2022. The increase in interest expense is related to the increase in interest rates on the Accounts Receivable Securitization Program and senior credit facility.</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Equity in earnings of investee was $3.7 million and $4.3 million for the years ended December 31, 2023 and 2022, respectively.</w:t>
      </w:r>
    </w:p>
    <w:p>
      <w:pPr>
        <w:spacing w:after="0" w:line="225"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increase in operating income, partially offset by the increase in interest expense over the comparable period in 2022, resulted in a $50.5 million increase in net income before income taxes.</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recorded income tax expense of $9.8 million for the year ended December 31, 2023 as compared to income tax expense of $17.5 million for the same period in 2022. The $17.5 million tax expense for the year ended December 31, 2022 includes an expense of $15.2 million for the reduction of Puerto Rico deferred tax assets. The $9.8 million equates to an effective tax rate for the year ended December 31, 2023 of approximately 1.9%, which differs from the federal statutory rate primarily due to our qualification for taxation as a REIT and adjustments for foreign items.</w:t>
      </w:r>
    </w:p>
    <w:p>
      <w:pPr>
        <w:spacing w:after="0" w:line="180"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year ended December 31, 2023 of $496.8 million, as compared to net income of $438.6 million for the same period in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2021 have contributed to our net revenue results for the periods presented, we provide 2022 acquisition-adjusted net revenue, which adjusts our 2022 net revenue for the year ended December 31, 2022 by adding to or subtracting from it the net revenue generated by the acquired or divested assets prior to our acquisition or divestiture of these assets for the same time frame that those assets were owned in the year ended December 31, 2023.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2022 reported net revenue to 2022 acquisition-adjusted net revenue for the year ended December 31, 2022 as well as a comparison of 2022 acquisition-adjusted net revenue to 2023 reported net revenue for the year ended December 31, 2023,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132"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6"/>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2,110,987</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2,032,140</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35,428</w:t>
            </w:r>
          </w:p>
        </w:tc>
        <w:tc>
          <w:tcPr>
            <w:tcW w:w="0" w:type="dxa"/>
            <w:vAlign w:val="bottom"/>
          </w:tcPr>
          <w:p>
            <w:pPr>
              <w:spacing w:after="0"/>
              <w:rPr>
                <w:sz w:val="1"/>
                <w:szCs w:val="1"/>
                <w:color w:val="auto"/>
              </w:rPr>
            </w:pPr>
          </w:p>
        </w:tc>
      </w:tr>
      <w:tr>
        <w:trPr>
          <w:trHeight w:val="248"/>
        </w:trPr>
        <w:tc>
          <w:tcPr>
            <w:tcW w:w="54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100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100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2,110,987</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2,067,568</w:t>
            </w: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3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5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60" w:type="dxa"/>
            <w:vAlign w:val="bottom"/>
            <w:gridSpan w:val="6"/>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320" w:type="dxa"/>
            <w:vAlign w:val="bottom"/>
            <w:gridSpan w:val="2"/>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6"/>
            <w:vMerge w:val="continue"/>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6"/>
                <w:szCs w:val="16"/>
                <w:color w:val="auto"/>
              </w:rPr>
            </w:pPr>
          </w:p>
        </w:tc>
        <w:tc>
          <w:tcPr>
            <w:tcW w:w="11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496,836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year ended December 31, 2023 increased 5.1% to $985.7 million. The increase in adjusted EBITDA was primarily attributable to the increase in our gross margin (net revenue less direct advertising expense, exclusive of depreciation and amortization and capitalized contract fulfillment costs, net) of $49.6 million, and was partially offset by an increase in general and administrative and corporate expenses of $1.9 million, excluding the impact of stock-based compensation expense and transaction expenses.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762,274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749,728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FFO for the year ended December 31, 2023 was $767.9 million as compared to FFO of $757.0 million for the same period in 2022. AFFO for the year ended December 31, 2023 increased 1.7% to $762.3 million as compared to $749.7 million for the same period in 2022. The increase in AFFO was primarily attributable to the increase in our gross margin (net revenue less direct advertising expense, exclusive of depreciation and amortization and capitalized contract fulfillment costs, net) and a decrease in current tax expense of $6.8 million, partially offset by an increase in interest expense of $47.0 million and an increase in total general and administrative and corporate expenses (excluding the effect of stock-based compensation expense and transaction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has historically satisfied its working capital requirements with cash from operations and borrowings under its senior credit facility and Accounts Receivable Securitization Program. The Company’s wholly owned subsidiary, Lamar Media Corp., is the principal borrower under the senior credit facility and maintains all corporate operating cash balances. Certain subsidiaries of Lamar Media are the principal borrowers under the Accounts Receivable Securitization Program. Any cash requirements of the Company, therefore, must be funded by distributions from Lamar Media.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Liquidity. </w:t>
      </w:r>
      <w:r>
        <w:rPr>
          <w:rFonts w:ascii="Times New Roman" w:cs="Times New Roman" w:eastAsia="Times New Roman" w:hAnsi="Times New Roman"/>
          <w:sz w:val="18"/>
          <w:szCs w:val="18"/>
          <w:color w:val="auto"/>
        </w:rPr>
        <w:t>As of December 31, 2023 we had $715.8 million of total liquidity, which is comprised of $44.6 million in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$671.2 million of availability under the revolving portion of the senior credit facility. We expect our total liquidity to be adequate for the Company to meet its operational requirements for the next twelve months.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18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Company had a working capital deficit of $340.7 million and $361.5 million, respectively. The working capital deficit for the year ended December 31, 2023 is primarily related to the $249.6 million outstanding under the Accounts Receivable Securitization Program as well as $210.6 million in current operating lease liabilities which has a corresponding right of use asset recorded in long term assets. We expect to have enough cash on hand and availability under our revolving credit facility to meet our operating needs for the next twelve months.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Generated by Operations. </w:t>
      </w:r>
      <w:r>
        <w:rPr>
          <w:rFonts w:ascii="Times New Roman" w:cs="Times New Roman" w:eastAsia="Times New Roman" w:hAnsi="Times New Roman"/>
          <w:sz w:val="18"/>
          <w:szCs w:val="18"/>
          <w:color w:val="auto"/>
        </w:rPr>
        <w:t>For the years ended December 31, 2023 and 2022 our cash provided by operating activities was $783.6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$781.6 million, respectively. The increase in cash provided by operating activities for the year ended December 31, 2023 over the same period in 2022 relates to an increase in revenues, offset by an increase in operating expenses (excluding depreciation and amortization) and an increase in interest expense. We expect to generate cash flows from operations during 2024 in excess of our cash needs for operations, capital expenditures and dividends, as described herein.</w:t>
      </w:r>
    </w:p>
    <w:p>
      <w:pPr>
        <w:spacing w:after="0" w:line="18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Securitization Program. </w:t>
      </w:r>
      <w:r>
        <w:rPr>
          <w:rFonts w:ascii="Times New Roman" w:cs="Times New Roman" w:eastAsia="Times New Roman" w:hAnsi="Times New Roman"/>
          <w:sz w:val="18"/>
          <w:szCs w:val="18"/>
          <w:color w:val="auto"/>
        </w:rPr>
        <w:t>On June 24, 2022, Lamar Media and the Special Purpose Subsidiaries entered into the Sixth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(the "Sixth Amendment") to the Accounts Receivable Securitization Program, as amended. The Sixth Amendment increased the Accounts Receivable Securitization Program from $175.0 million to $250.0 million and extended the maturity date of the Accounts Receivable Securitization Program to July 21, 2025. Additionally, the Sixth Amendment provides for the replacement of LIBOR-based interest rate mechanics with Term Secured Overnight Financing Rate ("Term SOFR") based interest rate mechanics for the Accounts Receivable Securitization Program.</w:t>
      </w:r>
    </w:p>
    <w:p>
      <w:pPr>
        <w:spacing w:after="0" w:line="185"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TRSs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Accounts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19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$250.0 million of outstanding aggregate borrowings under the Accounts Receivable Securitization Program at a borrowing rate of approximately 6.4%. Lamar Media had no additional availability under the Accounts Receivable Securitization Program as of December 31, 2023. The Accounts Receivable Securitization Program will mature on July 21, 2025.</w:t>
      </w:r>
    </w:p>
    <w:p>
      <w:pPr>
        <w:spacing w:after="0" w:line="174"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“At-the-Market” Offering Program. </w:t>
      </w:r>
      <w:r>
        <w:rPr>
          <w:rFonts w:ascii="Times New Roman" w:cs="Times New Roman" w:eastAsia="Times New Roman" w:hAnsi="Times New Roman"/>
          <w:sz w:val="18"/>
          <w:szCs w:val="18"/>
          <w:color w:val="auto"/>
        </w:rPr>
        <w:t>On June 21, 2021, the Company entered into an equity distribution agreement (the "2021 Sales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 million 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2021 Sales Agreement and may at any time suspend solicitations and offers under the 2021 Sales Agreement. The Company intends to use the net proceeds, if any, from the sale of the Class A common stock pursuant to the 2021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this program from its inception through December 31, 2023.</w:t>
      </w:r>
    </w:p>
    <w:p>
      <w:pPr>
        <w:spacing w:after="0" w:line="188" w:lineRule="exact"/>
        <w:rPr>
          <w:sz w:val="20"/>
          <w:szCs w:val="20"/>
          <w:color w:val="auto"/>
        </w:rPr>
      </w:pPr>
    </w:p>
    <w:p>
      <w:pPr>
        <w:jc w:val="both"/>
        <w:ind w:right="20" w:firstLine="567"/>
        <w:spacing w:after="0" w:line="286" w:lineRule="auto"/>
        <w:rPr>
          <w:sz w:val="20"/>
          <w:szCs w:val="20"/>
          <w:color w:val="auto"/>
        </w:rPr>
      </w:pPr>
      <w:r>
        <w:rPr>
          <w:rFonts w:ascii="Times New Roman" w:cs="Times New Roman" w:eastAsia="Times New Roman" w:hAnsi="Times New Roman"/>
          <w:sz w:val="18"/>
          <w:szCs w:val="18"/>
          <w:i w:val="1"/>
          <w:iCs w:val="1"/>
          <w:color w:val="auto"/>
        </w:rPr>
        <w:t>Shelf Registration Statement</w:t>
      </w:r>
      <w:r>
        <w:rPr>
          <w:rFonts w:ascii="Times New Roman" w:cs="Times New Roman" w:eastAsia="Times New Roman" w:hAnsi="Times New Roman"/>
          <w:sz w:val="18"/>
          <w:szCs w:val="18"/>
          <w:b w:val="1"/>
          <w:bCs w:val="1"/>
          <w:color w:val="222222"/>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21, 2021, the Company filed a new automatically effective shelf registration statement (No. 333-257243)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allows Lamar Advertising to offer and sell an indeterminate amount of additional shares of its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During the year ended December 31, 2023, the Company did not issue any shares under the shelf registration statement.</w:t>
      </w:r>
    </w:p>
    <w:p>
      <w:pPr>
        <w:spacing w:after="0" w:line="22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On February 6, 2020, Lamar Media entered into a Fourth Amended and Restated Credit Agreement (the “Fourth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5"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On July 2, 2021, Lamar Media entered into Amendment No. 1 (the "Amendment"), to the Fourth Amended and Restated Credit Agreement. The Amendment amends the definition of "Subsidiary" to exclude each of Lamar Partnering Sponsor LLC and Lamar Partnering Corporation and any of their subsidiaries (collectively, the "Lamar Partnering Entities") such that, after the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also amends the definition of "EBITDA" to replace the existing calculation with a net income-based calculation, which excludes the income of non-Subsidiary entities such as the Lamar Partnering Entities, except to the extent that income of such entities is received by Lamar Media in the form of dividends or distributions.</w:t>
      </w:r>
    </w:p>
    <w:p>
      <w:pPr>
        <w:spacing w:after="0" w:line="189"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 xml:space="preserve">The senior credit facility, as established by the Fourth Amended and Restated Credit Agreement (the “senior credit facility”), consists of (i) a $750.0 million senior secured revolving credit facility which will mature on July 31, 2028, subject to certain conditions (see description of Amendment No. 4 below) (the “revolving credit facility”), (ii) a $600.0 million senior secured Term B loan facility (the “Term B loans”) which will mature on February 6, 2027, (iii) a $350.0 million senior secured Term A loan facility (the "Term A loans") which will mature on February 6, 2025, and (iv) an incremental facility (the “Incremental Facility”) pursuant to which Lamar Media may incur additional term loan tranches or increase its revolving credit facility subject to a pro forma secured debt ratio calculated as described under </w:t>
      </w:r>
      <w:r>
        <w:rPr>
          <w:rFonts w:ascii="Times New Roman" w:cs="Times New Roman" w:eastAsia="Times New Roman" w:hAnsi="Times New Roman"/>
          <w:sz w:val="18"/>
          <w:szCs w:val="18"/>
          <w:i w:val="1"/>
          <w:iCs w:val="1"/>
          <w:color w:val="auto"/>
        </w:rPr>
        <w:t>“Restrictions under Senior Credit Facility”</w:t>
      </w:r>
      <w:r>
        <w:rPr>
          <w:rFonts w:ascii="Times New Roman" w:cs="Times New Roman" w:eastAsia="Times New Roman" w:hAnsi="Times New Roman"/>
          <w:sz w:val="18"/>
          <w:szCs w:val="18"/>
          <w:color w:val="auto"/>
        </w:rPr>
        <w:t xml:space="preserve"> of 4.50 to 1.00, as well as certain other conditions, including lender approval. Lamar Media borrowed all $600.0 million in Term B loans on February 6, 2020. The entire amount of the Term B loans will be payable at maturity.</w:t>
      </w:r>
    </w:p>
    <w:p>
      <w:pPr>
        <w:spacing w:after="0" w:line="192"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The Term B loans bear interest at rates based on Term SOFR plus a credit spread adjustment of 0.10% (Term SOFR plus such credit spread adjustment, the "Adjusted Term SOFR Rate") or the Adjusted Base Rate, at Lamar Media's option. Term B loans bearing interest at a rate based on Term SOFR bear interest at a rate per annum equal to the Adjusted Term SOFR Rate plus 1.50%. Term B loans bearing interest at a rate based on the Adjusted Base Rate bear interest at a rate per annum equal to the Adjusted Base Rate plus 0.50%. 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88"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will mature on February 6, 2025 and bear interest based on Term SOFR ("Term SOFR Term A loans") or the Adjusted Base Rate ("Base Rate Term A loans"), at Lamar Media's option. Term SOFR Term A loans bear interest at a rate per annum equal to the Adjusted Term SOFR Rate plus 1.50% (or the Adjusted Term SOFR Rate plus 1.25% at any time the Total Debt Ratio is less than or equal to 3.25 to 1). Base Rate Term A loans bear interest at a rate per annum equal to the Adjusted Base Rate plus 0.50% (or the Adjusted Base Rate plus 0.25% at any time the total debt ratio is less than or equal to 3.25 to 1). The covenants, events of default and other terms of the senior credit facility apply to the Term A loans. Lamar Media borrowed all $350.0 million in Term A loans on July 29, 2022. Proceeds from the Term A loans were used to repay outstanding balances on the revolving credit facility and a portion of the outstanding balance on our Accounts Receivable Securitization Program.</w:t>
      </w:r>
    </w:p>
    <w:p>
      <w:pPr>
        <w:spacing w:after="0" w:line="19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Restated Credit Agreement. All other material terms and conditions of the Fourth Amended and Restated Credit Agreement remain unchanged by Amendment No. 3.</w:t>
      </w:r>
    </w:p>
    <w:p>
      <w:pPr>
        <w:spacing w:after="0" w:line="162"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extends the maturity date of Lamar Media's $750.0 million revolving credit facility such that the revolving credit facility matures July 31, 2028; provided, that, if on the date (a "Springing Maturity Test Date") that is 91 days prior to either the then scheduled maturity date of Lamar Media's Term B loans (which is currently February 6, 2027) or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Term B loans or the 3 3/4% Notes (as applicable), the revolving credit facility will mature on such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19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Amendment No. 4 also establishes a $75.0 million swingline as a sublimit of the revolving credit facility, which allows Lamar Media to borrow revolving loans on a same-day basis, in an aggregate outstanding principal amount of up to $75.0 million. In addition, Amendment No. 4 amends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18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2023, the aggregate balance outstanding under the senior credit facility was $1.02 billion, consisting of $600.0 million in Term B loans aggregate principal balance, $350.0 million in Term A loans aggregate principal balance and $70.0 million outstanding borrowings under our revolving credit facility. Lamar Media had approximately $671.2 million of unused capacity under the revolving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119"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internally generated cash flow are general economic conditions, specific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in the markets where the Company conducts its business and overall spending on advertising by advertisers. We expect to generate cash flows from operations during 2024 in excess of our cash needs for operations, capital expenditures and dividends, as described herein.</w:t>
      </w:r>
    </w:p>
    <w:p>
      <w:pPr>
        <w:spacing w:after="0" w:line="173"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and Other Debt Securities. </w:t>
      </w:r>
      <w:r>
        <w:rPr>
          <w:rFonts w:ascii="Times New Roman" w:cs="Times New Roman" w:eastAsia="Times New Roman" w:hAnsi="Times New Roman"/>
          <w:sz w:val="18"/>
          <w:szCs w:val="18"/>
          <w:color w:val="auto"/>
        </w:rPr>
        <w:t>The Company and Lamar Media must comply with certain covenants and restrictions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credit facility, its outstanding debt securities and its Accounts Receivable Securitization Program.</w:t>
      </w:r>
    </w:p>
    <w:p>
      <w:pPr>
        <w:spacing w:after="0" w:line="158"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Restrictions under Debt Securities. </w:t>
      </w:r>
      <w:r>
        <w:rPr>
          <w:rFonts w:ascii="Times New Roman" w:cs="Times New Roman" w:eastAsia="Times New Roman" w:hAnsi="Times New Roman"/>
          <w:sz w:val="18"/>
          <w:szCs w:val="18"/>
          <w:color w:val="auto"/>
        </w:rPr>
        <w:t>As of December 31, 2023, Lamar Media has outstanding all of the 3 3/4% Senior Notes, the 4% Senior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4 7/8% Senior Notes and the 3 5/8% Senior Notes.</w:t>
      </w:r>
    </w:p>
    <w:p>
      <w:pPr>
        <w:spacing w:after="0" w:line="16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187" w:lineRule="exact"/>
        <w:rPr>
          <w:sz w:val="20"/>
          <w:szCs w:val="20"/>
          <w:color w:val="auto"/>
        </w:rPr>
      </w:pPr>
    </w:p>
    <w:p>
      <w:pPr>
        <w:jc w:val="both"/>
        <w:ind w:right="20" w:firstLine="567"/>
        <w:spacing w:after="0" w:line="281" w:lineRule="auto"/>
        <w:rPr>
          <w:sz w:val="20"/>
          <w:szCs w:val="20"/>
          <w:color w:val="auto"/>
        </w:rPr>
      </w:pPr>
      <w:r>
        <w:rPr>
          <w:rFonts w:ascii="Times New Roman" w:cs="Times New Roman" w:eastAsia="Times New Roman" w:hAnsi="Times New Roman"/>
          <w:sz w:val="18"/>
          <w:szCs w:val="18"/>
          <w:color w:val="auto"/>
        </w:rPr>
        <w:t>In addition to debt incurred under the provisions described in the preceding paragraph, the indentures relating to Lamar Media’s outstanding notes permit Lamar Media to incur indebtedness pursuant to the following baskets:</w:t>
      </w:r>
    </w:p>
    <w:p>
      <w:pPr>
        <w:spacing w:after="0" w:line="1" w:lineRule="exact"/>
        <w:rPr>
          <w:sz w:val="20"/>
          <w:szCs w:val="20"/>
          <w:color w:val="auto"/>
        </w:rPr>
      </w:pPr>
    </w:p>
    <w:p>
      <w:pPr>
        <w:ind w:left="1060" w:hanging="485"/>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 billion of indebtedness under the senior credit facility;</w:t>
      </w:r>
    </w:p>
    <w:p>
      <w:pPr>
        <w:spacing w:after="0" w:line="63" w:lineRule="exact"/>
        <w:rPr>
          <w:rFonts w:ascii="Times New Roman" w:cs="Times New Roman" w:eastAsia="Times New Roman" w:hAnsi="Times New Roman"/>
          <w:sz w:val="18"/>
          <w:szCs w:val="18"/>
          <w:color w:val="auto"/>
        </w:rPr>
      </w:pPr>
    </w:p>
    <w:p>
      <w:pPr>
        <w:ind w:left="1060" w:hanging="485"/>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on the date of the indentures or debt incurred to refinance outstanding debt;</w:t>
      </w:r>
    </w:p>
    <w:p>
      <w:pPr>
        <w:spacing w:after="0" w:line="63" w:lineRule="exact"/>
        <w:rPr>
          <w:rFonts w:ascii="Times New Roman" w:cs="Times New Roman" w:eastAsia="Times New Roman" w:hAnsi="Times New Roman"/>
          <w:sz w:val="18"/>
          <w:szCs w:val="18"/>
          <w:color w:val="auto"/>
        </w:rPr>
      </w:pPr>
    </w:p>
    <w:p>
      <w:pPr>
        <w:ind w:left="1060" w:hanging="485"/>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debt between Lamar Media and its restricted subsidiaries or between restricted subsidiaries;</w:t>
      </w:r>
    </w:p>
    <w:p>
      <w:pPr>
        <w:spacing w:after="0" w:line="63" w:lineRule="exact"/>
        <w:rPr>
          <w:rFonts w:ascii="Times New Roman" w:cs="Times New Roman" w:eastAsia="Times New Roman" w:hAnsi="Times New Roman"/>
          <w:sz w:val="18"/>
          <w:szCs w:val="18"/>
          <w:color w:val="auto"/>
        </w:rPr>
      </w:pPr>
    </w:p>
    <w:p>
      <w:pPr>
        <w:ind w:left="1060" w:hanging="485"/>
        <w:spacing w:after="0" w:line="281" w:lineRule="auto"/>
        <w:tabs>
          <w:tab w:leader="none" w:pos="10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spacing w:after="0" w:line="1" w:lineRule="exact"/>
        <w:rPr>
          <w:rFonts w:ascii="Times New Roman" w:cs="Times New Roman" w:eastAsia="Times New Roman" w:hAnsi="Times New Roman"/>
          <w:sz w:val="18"/>
          <w:szCs w:val="18"/>
          <w:color w:val="auto"/>
        </w:rPr>
      </w:pPr>
    </w:p>
    <w:p>
      <w:pPr>
        <w:ind w:left="1060" w:hanging="485"/>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debt not to exceed $75.0 million; and</w:t>
      </w:r>
    </w:p>
    <w:p>
      <w:pPr>
        <w:spacing w:after="0" w:line="63" w:lineRule="exact"/>
        <w:rPr>
          <w:rFonts w:ascii="Times New Roman" w:cs="Times New Roman" w:eastAsia="Times New Roman" w:hAnsi="Times New Roman"/>
          <w:sz w:val="18"/>
          <w:szCs w:val="18"/>
          <w:color w:val="auto"/>
        </w:rPr>
      </w:pPr>
    </w:p>
    <w:p>
      <w:pPr>
        <w:ind w:left="1060" w:hanging="485"/>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$500.0 million of permitted securitization financings.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Senior Credit Facility. </w:t>
      </w:r>
      <w:r>
        <w:rPr>
          <w:rFonts w:ascii="Times New Roman" w:cs="Times New Roman" w:eastAsia="Times New Roman" w:hAnsi="Times New Roman"/>
          <w:sz w:val="18"/>
          <w:szCs w:val="18"/>
          <w:color w:val="auto"/>
        </w:rPr>
        <w:t>Lamar Media is required to comply with certain covenants and restrictions under the senior credit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Company or Lamar Media fails to comply with these tests, the lenders under the senior credit facility will be entitled to exercise certain remedies, including the termination of the lending commitments and the acceleration of the debt payments under the senior credit facility. At December 31, 2023 we were, and currently, we are in compliance with all such tests under the senior credit facility.</w:t>
      </w:r>
    </w:p>
    <w:p>
      <w:pPr>
        <w:spacing w:after="0" w:line="18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w:t>
      </w:r>
      <w:r>
        <w:rPr>
          <w:rFonts w:ascii="Times New Roman" w:cs="Times New Roman" w:eastAsia="Times New Roman" w:hAnsi="Times New Roman"/>
          <w:sz w:val="18"/>
          <w:szCs w:val="18"/>
          <w:i w:val="1"/>
          <w:iCs w:val="1"/>
          <w:color w:val="auto"/>
        </w:rPr>
        <w:t>Sources of Cash- Accounts Receivable Securitization Program</w:t>
      </w:r>
      <w:r>
        <w:rPr>
          <w:rFonts w:ascii="Times New Roman" w:cs="Times New Roman" w:eastAsia="Times New Roman" w:hAnsi="Times New Roman"/>
          <w:sz w:val="18"/>
          <w:szCs w:val="18"/>
          <w:color w:val="auto"/>
        </w:rPr>
        <w:t>)) to EBITDA, as defined below, for the period of four consecutive fiscal quarters then ended, of less than or equal to 4.5 to 1.0.</w:t>
      </w:r>
    </w:p>
    <w:p>
      <w:pPr>
        <w:spacing w:after="0" w:line="18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16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 is also restricted from incurring additional unsecured senior indebtedness under certain circumstances unless, after giving effect to the incurrence of such indebtedness, Lamar Media would have a total debt ratio, defined as (x)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(y) EBITDA, as defined below, for the most recent four fiscal quarters then ended, of less than 7.0 to 1.0.</w:t>
      </w:r>
    </w:p>
    <w:p>
      <w:pPr>
        <w:spacing w:after="0" w:line="18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62" w:lineRule="exact"/>
        <w:rPr>
          <w:sz w:val="20"/>
          <w:szCs w:val="20"/>
          <w:color w:val="auto"/>
        </w:rPr>
      </w:pPr>
    </w:p>
    <w:p>
      <w:pPr>
        <w:jc w:val="both"/>
        <w:ind w:firstLine="567"/>
        <w:spacing w:after="0" w:line="251" w:lineRule="auto"/>
        <w:rPr>
          <w:sz w:val="20"/>
          <w:szCs w:val="20"/>
          <w:color w:val="auto"/>
        </w:rPr>
      </w:pPr>
      <w:r>
        <w:rPr>
          <w:rFonts w:ascii="Times New Roman" w:cs="Times New Roman" w:eastAsia="Times New Roman" w:hAnsi="Times New Roman"/>
          <w:sz w:val="18"/>
          <w:szCs w:val="18"/>
          <w:color w:val="auto"/>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 (v) 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minus (c) to the extent included in net income for such period (determined without duplication and in accordance with GAAP)</w:t>
      </w:r>
    </w:p>
    <w:p>
      <w:pPr>
        <w:spacing w:after="0" w:line="11" w:lineRule="exact"/>
        <w:rPr>
          <w:sz w:val="20"/>
          <w:szCs w:val="20"/>
          <w:color w:val="auto"/>
        </w:rPr>
      </w:pPr>
    </w:p>
    <w:p>
      <w:pPr>
        <w:jc w:val="both"/>
        <w:ind w:firstLine="8"/>
        <w:spacing w:after="0" w:line="253" w:lineRule="auto"/>
        <w:tabs>
          <w:tab w:leader="none" w:pos="2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and unusual gains or losses during such period, and (ii) the proceeds of any casualty events and dispositions. For purposes of this EBITDA definition, the effect thereon of any adjustments required under Statement of Financial Accounting Standards No. 141R shall be excluded. If during any period for which EBITDA is being determined, Lamar Media has consummated any acquisition or disposition, EBITDA will be determined on a pro forma basis as if such acquisition or disposition had been made or consummated on the first day of such period.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Under the senior credit facility, "net income" means for any period, the consolidated net income (or loss) of Lamar Advertising, Lamar Media, and its restricted subsidiaries, determined on a consolidated basis in accordance with GAAP; provided that the following is excluded from net income: (a) the income (or deficit) of any person accrued prior to the date it becomes a restricted subsidiary or is merged into or consolidated with Lamar Advertising, Lamar Media or any of its restricted subsidiaries, and (b) the income (or deficit) of any person (other than any of our restricted subsidiaries) in which Lamar Advertising, Lamar Media or any of its subsidiaries has an ownership interest, except to the extent that any such income is received by Lamar Advertising, Lamar Media or any of its restricted subsidiaries in the form of dividends or similar distributions.</w:t>
      </w:r>
    </w:p>
    <w:p>
      <w:pPr>
        <w:spacing w:after="0" w:line="18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6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Restrictions under Accounts Receivable Securitization Program. </w:t>
      </w:r>
      <w:r>
        <w:rPr>
          <w:rFonts w:ascii="Times New Roman" w:cs="Times New Roman" w:eastAsia="Times New Roman" w:hAnsi="Times New Roman"/>
          <w:sz w:val="18"/>
          <w:szCs w:val="18"/>
          <w:color w:val="auto"/>
        </w:rPr>
        <w:t>The agreements governing the Accounts Receivable Securitization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the senior credit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119" w:lineRule="exact"/>
        <w:rPr>
          <w:sz w:val="20"/>
          <w:szCs w:val="20"/>
          <w:color w:val="auto"/>
        </w:rPr>
      </w:pPr>
    </w:p>
    <w:p>
      <w:pPr>
        <w:jc w:val="both"/>
        <w:ind w:right="20"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Capital expenditures, excluding acquisitions, were approximately $178.3 million for the year ended December 31, 2023.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expenditures are categorized as growth or maintenance as described below.</w:t>
      </w:r>
    </w:p>
    <w:p>
      <w:pPr>
        <w:spacing w:after="0" w:line="50" w:lineRule="exact"/>
        <w:rPr>
          <w:sz w:val="20"/>
          <w:szCs w:val="20"/>
          <w:color w:val="auto"/>
        </w:rPr>
      </w:pPr>
    </w:p>
    <w:p>
      <w:pPr>
        <w:jc w:val="both"/>
        <w:ind w:left="660" w:firstLine="239"/>
        <w:spacing w:after="0" w:line="267" w:lineRule="auto"/>
        <w:tabs>
          <w:tab w:leader="none" w:pos="13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Growth capital expenditures </w:t>
      </w:r>
      <w:r>
        <w:rPr>
          <w:rFonts w:ascii="Times New Roman" w:cs="Times New Roman" w:eastAsia="Times New Roman" w:hAnsi="Times New Roman"/>
          <w:sz w:val="18"/>
          <w:szCs w:val="18"/>
          <w:color w:val="auto"/>
        </w:rPr>
        <w:t>include discretionary capital expenditures incurred primarily for the expansion or development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markets and construction of new advertising sites. Growth capital expenditures also include certain technology-related investments necessary to support and scale for future customer demand of our outdoor advertising services, and other capital projects.</w:t>
      </w:r>
    </w:p>
    <w:p>
      <w:pPr>
        <w:spacing w:after="0" w:line="65" w:lineRule="exact"/>
        <w:rPr>
          <w:rFonts w:ascii="Times New Roman" w:cs="Times New Roman" w:eastAsia="Times New Roman" w:hAnsi="Times New Roman"/>
          <w:sz w:val="18"/>
          <w:szCs w:val="18"/>
          <w:color w:val="auto"/>
        </w:rPr>
      </w:pPr>
    </w:p>
    <w:p>
      <w:pPr>
        <w:ind w:left="660" w:firstLine="239"/>
        <w:spacing w:after="0" w:line="284" w:lineRule="auto"/>
        <w:tabs>
          <w:tab w:leader="none" w:pos="13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Maintenance capital expenditures </w:t>
      </w:r>
      <w:r>
        <w:rPr>
          <w:rFonts w:ascii="Times New Roman" w:cs="Times New Roman" w:eastAsia="Times New Roman" w:hAnsi="Times New Roman"/>
          <w:sz w:val="18"/>
          <w:szCs w:val="18"/>
          <w:color w:val="auto"/>
        </w:rPr>
        <w:t>include capital expenditures not otherwise categorized as growth capital expenditures, including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to enhance existing advertising sites, general asset improvements, and ordinary corporate capital expenditures.</w:t>
      </w:r>
    </w:p>
    <w:p>
      <w:pPr>
        <w:spacing w:after="0" w:line="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anticipate our 2024 total capital expenditures will be approximately $125 million.</w:t>
      </w:r>
    </w:p>
    <w:p>
      <w:pPr>
        <w:spacing w:after="0" w:line="223"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year ended December 31, 2023, the Company completed 36 acquisitions for a total cash purchase price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$139.0 million. The acquisitions occurring during the year ended December 31, 2023 were financed using available cash on hand, borrowings under the revolving credit facility and borrowings under the Accounts Receivable Securitization Program.</w:t>
      </w:r>
    </w:p>
    <w:p>
      <w:pPr>
        <w:spacing w:after="0" w:line="173"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On July 12, 2021, Lamar acquired a minority stake in Vistar Media ("Vistar"), a leading global provider of programmatic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digital out-of-home sector. Management believes that Lamar's investment of $30.0 million will help Vistar strengthen its balance sheet, expand its research and development and extend its reach into new markets. Lamar received a seat on Vistar's Board of Directors.</w:t>
      </w:r>
    </w:p>
    <w:p>
      <w:pPr>
        <w:spacing w:after="0" w:line="17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During the year ended December 31, 2023, the Company declared and paid distributions of $510.3 million, or $5.00 per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During the year ended December 31, 2022, the Company declared and paid distributions of $508.2 million, or $5.00 per share of common stock. On February 22, 2024, the Company’s Board of Directors approved a dividend of $1.30 per common share to be paid on March 28, 2024. Subject to the approval of the Company’s Board of Directors, the Company expects aggregate quarterly distributions to stockholders in 2024 will be $5.20 per common share, including the dividend payable on March 28, 2024.</w:t>
      </w:r>
    </w:p>
    <w:p>
      <w:pPr>
        <w:spacing w:after="0" w:line="185"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utilize net operating losses to offset, in whole or in part, the Company’s distribution requirements, limitations on its ability to fund distributions using cash generated through its TRSs, the impact of general economic conditions on the Company's operations and other factors that the Board of Directors may deem relevant. The foregoing factors may also impact management's recommendations to the Board of Directors as to the timing, amount and frequency of future distributions.</w:t>
      </w:r>
    </w:p>
    <w:p>
      <w:pPr>
        <w:spacing w:after="0" w:line="178"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Special Purpose Acquisition Company. </w:t>
      </w:r>
      <w:r>
        <w:rPr>
          <w:rFonts w:ascii="Times New Roman" w:cs="Times New Roman" w:eastAsia="Times New Roman" w:hAnsi="Times New Roman"/>
          <w:sz w:val="18"/>
          <w:szCs w:val="18"/>
          <w:color w:val="auto"/>
        </w:rPr>
        <w:t>On April 6, 2021, Lamar Partnering Corporation ("LPC"), a newly formed special purpose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indirect wholly-owned subsidiary of the Company, filed a Registration Statement on Form S-1, with the Securities and Exchange Commission (the "SEC"). On June 21, 2022, LPC filed its request to withdraw its registration statement with the SEC. In conjunction with the withdrawn offering, the Company incurred a transaction expense of $1.2 million for the write-off of deferred offering costs incurred on behalf of LPC's registration statement. The $1.2 million in expenses are included in Corporate expenses in our Consolidated Statement of Income and Comprehensive Income at December 31, 2022.</w:t>
      </w:r>
    </w:p>
    <w:p>
      <w:pPr>
        <w:spacing w:after="0" w:line="182"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and Debt Repurchasing Program. </w:t>
      </w:r>
      <w:r>
        <w:rPr>
          <w:rFonts w:ascii="Times New Roman" w:cs="Times New Roman" w:eastAsia="Times New Roman" w:hAnsi="Times New Roman"/>
          <w:sz w:val="18"/>
          <w:szCs w:val="18"/>
          <w:color w:val="auto"/>
        </w:rPr>
        <w:t>On March 16, 2020, the Company’s Board of Directors authorized the repurchase of up to $250.0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Company's Class A common stock. Additionally, the Board of Directors has authorized Lamar Media to repurchase up to $250.0 million in outstanding senior or senior subordinated notes and other indebtedness outstanding from time to time under the senior credit facility. On February 23, 2023, the Company’s Board of Directors authorized the extension of the repurchase program through September 30, 2024. There were no repurchases under the program as of December 31, 2023. The Company's management may opt not to make any repurchases under the program, or may make aggregate purchases less than the total amount authorized.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Our expected material cash requirements for the twelve months ended December 31, 2024 and thereafter are comprised of contractual obligations, required annual distributions and other opportunistic expenditures.</w:t>
      </w:r>
    </w:p>
    <w:p>
      <w:pPr>
        <w:spacing w:after="0" w:line="160"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and Contractual Obligations. </w:t>
      </w:r>
      <w:r>
        <w:rPr>
          <w:rFonts w:ascii="Times New Roman" w:cs="Times New Roman" w:eastAsia="Times New Roman" w:hAnsi="Times New Roman"/>
          <w:sz w:val="18"/>
          <w:szCs w:val="18"/>
          <w:color w:val="auto"/>
        </w:rPr>
        <w:t>The following table summarizes our future debt maturities, interest payment obligations, and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including required payments under operating and financing leases as of December 31, 2023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84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Debt maturities</w:t>
            </w:r>
            <w:r>
              <w:rPr>
                <w:rFonts w:ascii="Times New Roman" w:cs="Times New Roman" w:eastAsia="Times New Roman" w:hAnsi="Times New Roman"/>
                <w:sz w:val="25"/>
                <w:szCs w:val="25"/>
                <w:color w:val="auto"/>
                <w:vertAlign w:val="superscript"/>
              </w:rPr>
              <w:t>(1)</w:t>
            </w:r>
          </w:p>
        </w:tc>
        <w:tc>
          <w:tcPr>
            <w:tcW w:w="8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3,091.1</w:t>
            </w:r>
          </w:p>
        </w:tc>
      </w:tr>
      <w:tr>
        <w:trPr>
          <w:trHeight w:val="230"/>
        </w:trPr>
        <w:tc>
          <w:tcPr>
            <w:tcW w:w="848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Interest obligations on long-term debt</w:t>
            </w:r>
            <w:r>
              <w:rPr>
                <w:rFonts w:ascii="Times New Roman" w:cs="Times New Roman" w:eastAsia="Times New Roman" w:hAnsi="Times New Roman"/>
                <w:sz w:val="26"/>
                <w:szCs w:val="26"/>
                <w:color w:val="auto"/>
                <w:vertAlign w:val="superscript"/>
              </w:rPr>
              <w:t>(2)</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 including operating and financing leases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1,698.2</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8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732.9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5,288.1</w:t>
            </w:r>
          </w:p>
        </w:tc>
      </w:tr>
      <w:tr>
        <w:trPr>
          <w:trHeight w:val="20"/>
        </w:trPr>
        <w:tc>
          <w:tcPr>
            <w:tcW w:w="8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maturities assume there is no refinancing prior to the existing maturity date.</w:t>
      </w:r>
    </w:p>
    <w:p>
      <w:pPr>
        <w:spacing w:after="0" w:line="27" w:lineRule="exact"/>
        <w:rPr>
          <w:rFonts w:ascii="Times New Roman" w:cs="Times New Roman" w:eastAsia="Times New Roman" w:hAnsi="Times New Roman"/>
          <w:sz w:val="14"/>
          <w:szCs w:val="14"/>
          <w:color w:val="auto"/>
        </w:rPr>
      </w:pPr>
    </w:p>
    <w:p>
      <w:pPr>
        <w:ind w:left="340" w:hanging="332"/>
        <w:spacing w:after="0" w:line="283"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rates on our variable rate instruments assume rates at the December 2023 levels. See Item 7A, "Quantitative and Qualitative Disclosures About Market Risk" for further discussion on interest rate risk.</w:t>
      </w:r>
    </w:p>
    <w:p>
      <w:pPr>
        <w:spacing w:after="0" w:line="1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Required Annual Distributions. </w:t>
      </w:r>
      <w:r>
        <w:rPr>
          <w:rFonts w:ascii="Times New Roman" w:cs="Times New Roman" w:eastAsia="Times New Roman" w:hAnsi="Times New Roman"/>
          <w:sz w:val="18"/>
          <w:szCs w:val="18"/>
          <w:color w:val="auto"/>
        </w:rPr>
        <w:t>As a REIT, the Company must annually distribute to its stockholders an amount equal to at least 90% of its REIT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income (determined before the deduction for distributed earnings and excluding any net capital gain). On February 22, 2024, the Company’s Board of Directors approved a dividend of $1.30 per common share to be paid on March 28, 2024. Our Board of Directors will continue to evaluate future dividends in order to continue to satisfy the requirements needed to maintain our REIT status.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Opportunistic Expenditures. </w:t>
      </w:r>
      <w:r>
        <w:rPr>
          <w:rFonts w:ascii="Times New Roman" w:cs="Times New Roman" w:eastAsia="Times New Roman" w:hAnsi="Times New Roman"/>
          <w:sz w:val="18"/>
          <w:szCs w:val="18"/>
          <w:color w:val="auto"/>
        </w:rPr>
        <w:t>As part of our capital allocation strategy, we plan to continue to allocate our available capital among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alternatives that meet our return on investment criteria. We will continue to reinvest in our existing assets and expand our outdoor advertising display portfolio through new construction. We will also continue to pursue strategic acquisitions of outdoor advertising businesses and assets. This includes acquisitions in our existing markets and in new markets where we can meet our return on investment criteria.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Company’s cash flows provided by operating activities increased $2.0 million from $781.6 million in 2022 to $783.6 million for the year ended December 31, 2023, primarily resulting from an increase in revenues of approximately $78.8 million, offset by an increase in operating expenses (excluding stock-based compensation, gain on disposition of assets and depreciation and amortization) of approximately $27.7 million and an increase in interest expense of $47.0 million as compared to the comparable period in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decreased $309.0 million from $619.1 million in 2022 to $310.1 million in 2023 primarily due to a net decrease in the amount of assets acquired through acquisitions, investments and capital expenditures of $329.6 million, as compared to the same period in 2022.</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Company’s cash flows used in financing activities were $481.6 million for the year ended December 31, 2023 as compared to $209.3 million in 2022. This increase in cash used in financing activities of $272.3 million for the year ended December 31, 2023 is primarily due to no additional borrowings on the senior credit facility and a decrease in net borrowings on the accounts receivable securitization program in 2023, partially offset by an increase in net borrowings on the revolving credit facility in 2023 over the comparable period in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liquidity and capital resources are based on our consolidated financial statements, which have been prepared in accordance with GAAP. The preparation of these financial statements requires us to make estimates and judgments that affect the reported amounts of assets, liabilities, revenues and expenses. On an ongoing basis, we evaluate our estimates and judgments, including those related to intangible assets, goodwill impairment and asset retirement obligations. We base our estimates on historical and anticipated results and trends and on various other assumptions that we believe are reasonable under the circumstances, including assumptions as to future events and, where applicable, established valuation techniques. These estimates form the basis for making judgments about carrying values of assets and liabilities that are not readily apparent from other sources. By their nature, estimates are subject to an inherent degree of uncertainty. Actual results may differ from our estimates. We believe that the following significant accounting policies and assumptions may involve a higher degree of judgment and complexity than others.</w:t>
      </w:r>
    </w:p>
    <w:p>
      <w:pPr>
        <w:spacing w:after="0" w:line="188"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Retirement Obligations. </w:t>
      </w:r>
      <w:r>
        <w:rPr>
          <w:rFonts w:ascii="Times New Roman" w:cs="Times New Roman" w:eastAsia="Times New Roman" w:hAnsi="Times New Roman"/>
          <w:sz w:val="18"/>
          <w:szCs w:val="18"/>
          <w:color w:val="auto"/>
        </w:rPr>
        <w:t>The Company had an asset retirement obligation of $398.0 million as of December 31, 2023. This liability relates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obligation upon the termination or non-renewal of a lease to dismantle and remove its billboard structures from the leased land and to restore the site to its original condition. The Company records the present value of obligations associated with the retirement of tangible long-lived assets in the period in which they are incurred. The liability is capitalized as part of the related long-lived asset’s carrying amount. Over time, accretion of the liability is recognized as an operating expense and the capitalized cost is depreciated over the expected useful life of the related asset. In calculating the liability, the Company calculates the present value of the estimated cost to dismantle using an average cost to dismantle, adjusted for inflation and market risk.</w:t>
      </w:r>
    </w:p>
    <w:p>
      <w:pPr>
        <w:spacing w:after="0" w:line="18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This calculation includes 100% of the Company’s billboard structures on leased land (which currently consist of approximately 72,350 structures). The Company uses a 15-year retirement period based on historical operating experience in its core markets, including the actual time that billboard structures have been located on leased land in such markets and the actual length of the leases in the core markets, which includes the initial term of the lease, plus consideration of any renewal period. Historical third-party cost information is used to estimate the cost of dismantling of the structures and the reclamation of the site. The interest rate used to calculate the present value of such costs over the retirement period is based on the Company’s historical credit-adjusted risk free rate.</w:t>
      </w:r>
    </w:p>
    <w:p>
      <w:pPr>
        <w:spacing w:after="0" w:line="183"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The Company accounts for transactions that meet the definition of a business and group asset purchases as acquisitions.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that meet the definition of a business combination, the Company allocates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For transactions that meet the definition of a business, the determination of the final purchase price and the acquisition-date fair value of identifiable assets acquired and liabilities assumed may extend over more than one period and result in adjustments to the preliminary estimate recognized in the prior period financial statements. For transactions that meet the definition of asset group purchases, the Company allocates the purchase price to the assets acquired and the liabilities assumed at their estimated relative fair values as of the date of the acquisition. If a transaction is determined to be a group of assets, any direct acquisition costs are capitalized. Transaction costs for transactions determined to be a business combination are expensed as incurred.</w:t>
      </w:r>
    </w:p>
    <w:p>
      <w:pPr>
        <w:spacing w:after="0" w:line="19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fair value of the assets acquired and liabilities assumed is typically determined by using either estimates of replacement costs or discounted cash flow valuation methods. When determining the fair value of tangible assets acquired, the Company must estimate the cost to replace the asset with a new asset, adjusted for an estimated reduction in fair value due to age of the asset, and the economic useful life. When determining the fair value of intangible assets acquired, the Company must estimate the applicable discount rate and the timing and amount of future cash flows.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 Liabilities and Right of Use Assets. </w:t>
      </w:r>
      <w:r>
        <w:rPr>
          <w:rFonts w:ascii="Times New Roman" w:cs="Times New Roman" w:eastAsia="Times New Roman" w:hAnsi="Times New Roman"/>
          <w:sz w:val="18"/>
          <w:szCs w:val="18"/>
          <w:color w:val="auto"/>
        </w:rPr>
        <w:t>On January 1, 2019, the Company adopted ASU No. 2016-02,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“Leases (Codified as ASC 842),”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resulted in recording operating lease liabilities and right of use assets on our consolidated balance sheet. Our operating lease liabilities (including short-term liabilities) and right of use asset balances were $1.29 billion and $1.32 billion as of December 31, 2023, respectively. The balance is recorded based on the present value of the remaining minimum rental payments under the leasing standard for our existing operating leases. The key estimates for our leases include (1) the discount rate used to discount the unpaid lease payments to present value and (2) lease term. Our leases generally do not include a readily determinable implicit rate, therefore, using a portfolio approach, we determine our collateralized incremental borrowing rate to discount the lease payments based on the information available at lease commencement. Our lease terms include the noncancellable period of the lease plus any additional periods covered by either a Company option to extend (or not to terminate) the lease that the Company is reasonably certain to exercise, or an option to extend the lease controlled by the lessor. The Company has determined we are not reasonably certain to exercise renewals or termination options, and as a result we use the lease’s initial stated term as the lease term for our lease population.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AND REGULATORY UPDATE</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See Note 21, "New Accounting Pronouncements" to our consolidated financial statements included in Part II, Item 8 of this report for a discussion of our Accounting Standards and Regulatory Update.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Lamar Media for the years ended December 31, 2023 and 2022. This discussion should be read in conjunction with the consolidated financial statements of Lamar Media and the related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certain items in the Consolidated Statements of Income as a percentage of net revenues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0" w:type="dxa"/>
            <w:vAlign w:val="bottom"/>
            <w:gridSpan w:val="3"/>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$78.8 million or 3.9% to $2.11 billion for the year ended December 31, 2023 from $2.03 billion for the same period in 2022. This increase was attributable to an increase in billboard net revenues of $63.8 million, an increase in transit net revenues of $12.8 million and an increase in logo net revenues of $2.2 million over the prior year.</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for the year ended December 31, 2023, as compared to acquisition-adjusted net revenues for the comparable period in 2022, increased $43.4 million, or 2.1%. The $43.4 million increase in net revenues is due to a $28.4 million increase in billboard net revenues, a $12.8 million increase in transit net revenues and an increase of $2.2 million in logo net revenues. See “Reconciliations” below.</w:t>
      </w:r>
    </w:p>
    <w:p>
      <w:pPr>
        <w:spacing w:after="0" w:line="17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$27.2 million, or 2.4% to $1.15 billion for the year ended December 31, 2023 from $1.12 billion in the same period in 2022. The $27.2 million increase over the prior year is primarily comprised of an increase in total direct, general and administrative and corporate expenses (excluding stock-based compensation and transaction expenses) of $31.5 million primarily related to the operations of our outdoor advertising assets, partially offset by a $3.8 million decrease in transaction expenses related to acquisitions and the write-off of deferred offering costs.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decreased $56.0 million to $293.4 million for the year ended December 31, 2023 as compared to $349.4 million for the same period in 2022. The decrease is primarily due to the revision in the cost estimate included in the calculation of asset retirement obligations during 2022.</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Lamar Media recognized a gain on disposition of assets of $5.5 million as compared to a gain on disposition of assets of $15.7 million for the same period in 2022. The gain on disposition of assets for the year ended December 31, 2023 primarily resulted from transactions related to the sale of billboard locations and displays. The gain on disposition of assets for the year ended December 31, 2022 primarily resulted from a gain of $12.6 million from a contingent payment received in connection with the Company's 2018 sale of Puerto Rico assets.</w:t>
      </w:r>
    </w:p>
    <w:p>
      <w:pPr>
        <w:spacing w:after="0" w:line="18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$97.4 million to $675.9 million for the year ended December 31, 2023 compared to $578.5 million for the same period in 2022.</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Interest expense increased $47.0 million for the year ended December 31, 2023 to $174.5 million as compared to $127.5 million for the year ended December 31, 2022. The increase in interest expense is related to the increase in interest rates on the Accounts Receivable Securitization Program and senior credit facility.</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Equity in earnings of investee was $3.7 million and $4.3 million for the years ended December 31, 2023 and 2022, respectively.</w:t>
      </w:r>
    </w:p>
    <w:p>
      <w:pPr>
        <w:spacing w:after="0" w:line="225"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increase in operating income, partially offset by the increase in interest expense over the comparable period in 2022, resulted in a $50.5 million increase in net income before income taxes.</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 recorded income tax expense of $9.8 million for the year ended December 31, 2023 as compared to income tax expense of $17.5 million for the same period in 2022. The $17.5 million tax expense for the year ended December 31, 2022 includes an expense of $15.2 million for the reduction of Puerto Rico deferred tax assets. The $9.8 million equates to an effective tax rate for the year ended December 31, 2023 of approximately 1.9%, which differs from the federal statutory rate primarily due to our qualification for taxation as a REIT and adjustments for foreign items.</w:t>
      </w:r>
    </w:p>
    <w:p>
      <w:pPr>
        <w:spacing w:after="0" w:line="18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year ended December 31, 2023 of $497.3 million, as compared to net income of $439.1 million for the same period in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2021 have contributed to our net revenue results for the periods presented, we provide 2022 acquisition-adjusted net revenue, which adjusts our 2022 net revenue for the year ended December 31, 2022 by adding to or subtracting from it the net revenue generated by the acquired or divested assets prior to our acquisition or divestiture of these assets for the same time frame that those assets were owned in the year ended December 31, 2023.</w:t>
      </w:r>
    </w:p>
    <w:p>
      <w:pPr>
        <w:spacing w:after="0" w:line="180"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2022 reported net revenue to 2022 acquisition-adjusted net revenue for the year ended December 31, 2022 as well as a comparison of 2022 acquisition-adjusted net revenue to 2023 reported net revenue for the year ended December 31, 2023,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2,110,987</w:t>
            </w: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2,032,140</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35,428</w:t>
            </w:r>
          </w:p>
        </w:tc>
      </w:tr>
      <w:tr>
        <w:trPr>
          <w:trHeight w:val="248"/>
        </w:trPr>
        <w:tc>
          <w:tcPr>
            <w:tcW w:w="84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2,110,987</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2,067,568</w:t>
            </w:r>
          </w:p>
        </w:tc>
      </w:tr>
      <w:tr>
        <w:trPr>
          <w:trHeight w:val="20"/>
        </w:trPr>
        <w:tc>
          <w:tcPr>
            <w:tcW w:w="84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(56,026)</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year ended December 31, 2023 increased 5.1% to $986.2 million. The increase in adjusted EBITDA was primarily attributable to the increase in our gross margin (net revenue less direct advertising expense, exclusive of depreciation and amortization and capitalized contract fulfillment costs, net) of $49.6 million, and was partially offset by an increase in general and administrative and corporate expenses of $1.9 million, excluding the impact of stock-based compensation expense and transaction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762,771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750,230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FFO for the year ended December 31, 2023 was $768.4 million as compared to FFO of $757.5 million for the same period in 2022. AFFO for the year ended December 31, 2023 increased 1.7% to $762.8 million as compared to $750.2 million for the same period in 2022. The increase in AFFO was primarily attributable to the increase in our gross margin (net revenue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less direct advertising expense, exclusive of depreciation and amortization and capitalized contract fulfillment costs, net) and a decrease in current tax expense of $6.8 million, partially offset by an increase in interest expense of $47.0 million and an increase in total general and administrative and corporate expenses (excluding the effect of stock-based compensation expense and transaction expenses).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Lamar Advertising Company and Lamar Media Corp.</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Advertising Company is exposed to interest rate risk in connection with variable rate debt instruments issued by its wholly owned subsidiary Lamar Media Corp. The information below summarizes the Company’s interest rate risk associated with its principal variable rate debt instruments outstanding at December 31, 2023, and should be read in conjunction with Note 9 of the Notes to the Company’s Consolidated Financial Statements.</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 Corp. has variable rate debt outstanding under the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18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At December 31, 2023 there was approximately $1.27 billion of indebtedness outstanding under the senior credit facility and Accounts Receivable Securitization Program, or approximately 37.7% of the Company’s outstanding long-term debt (including current maturities) on that date, bearing interest at variable rates. The aggregate interest expense for 2023 with respect to borrowings under the senior credit facility and the Accounts Receivable Securitization Program was $82.4 million, and the weighted average interest rate applicable to these borrowings during 2023 was 6.4%. Assuming that the weighted average interest rate was 200 basis points higher (that is 8.4% rather than 6.4%), then the Company’s 2023 interest expense would have increased by approximately $25.2 million for the year ended December 31, 2023.</w:t>
      </w:r>
    </w:p>
    <w:p>
      <w:pPr>
        <w:spacing w:after="0" w:line="187"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rates applicable to its borrowings at an amount equal to the Adjusted Term SOFR Rate (as applicable),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tc>
        <w:tc>
          <w:tcPr>
            <w:tcW w:w="60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420" w:type="dxa"/>
            <w:vAlign w:val="bottom"/>
            <w:gridSpan w:val="9"/>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LAMAR ADVERTISING COMPANY</w:t>
            </w:r>
          </w:p>
        </w:tc>
        <w:tc>
          <w:tcPr>
            <w:tcW w:w="60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920" w:type="dxa"/>
            <w:vAlign w:val="bottom"/>
            <w:gridSpan w:val="8"/>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9"/>
              </w:rPr>
              <w:t>AND SUBSIDIARIES</w:t>
            </w:r>
          </w:p>
        </w:tc>
        <w:tc>
          <w:tcPr>
            <w:tcW w:w="6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10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Opinion on Internal Control Over Financial Reporting </w:t>
            </w:r>
            <w:r>
              <w:rPr>
                <w:rFonts w:ascii="Times New Roman" w:cs="Times New Roman" w:eastAsia="Times New Roman" w:hAnsi="Times New Roman"/>
                <w:sz w:val="18"/>
                <w:szCs w:val="18"/>
                <w:color w:val="000000"/>
              </w:rPr>
              <w:t>(KPMG LLP, Baton</w:t>
            </w:r>
          </w:p>
        </w:tc>
        <w:tc>
          <w:tcPr>
            <w:tcW w:w="60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4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Rouge, LA, Audit Firm ID: 185)</w:t>
            </w:r>
          </w:p>
        </w:tc>
        <w:tc>
          <w:tcPr>
            <w:tcW w:w="2180" w:type="dxa"/>
            <w:vAlign w:val="bottom"/>
            <w:gridSpan w:val="2"/>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20" w:type="dxa"/>
            <w:vAlign w:val="bottom"/>
          </w:tcPr>
          <w:p>
            <w:pPr>
              <w:spacing w:after="0"/>
              <w:rPr>
                <w:sz w:val="19"/>
                <w:szCs w:val="19"/>
                <w:color w:val="auto"/>
              </w:rPr>
            </w:pPr>
          </w:p>
        </w:tc>
        <w:tc>
          <w:tcPr>
            <w:tcW w:w="10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Opinion on the Consolidated Financial Statements </w:t>
            </w:r>
            <w:r>
              <w:rPr>
                <w:rFonts w:ascii="Times New Roman" w:cs="Times New Roman" w:eastAsia="Times New Roman" w:hAnsi="Times New Roman"/>
                <w:sz w:val="18"/>
                <w:szCs w:val="18"/>
                <w:color w:val="000000"/>
              </w:rPr>
              <w:t>(KPMG LLP, Baton Rouge,</w:t>
            </w:r>
          </w:p>
        </w:tc>
        <w:tc>
          <w:tcPr>
            <w:tcW w:w="6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1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LA, Audit Firm ID: 185)</w:t>
            </w:r>
          </w:p>
        </w:tc>
        <w:tc>
          <w:tcPr>
            <w:tcW w:w="2420" w:type="dxa"/>
            <w:vAlign w:val="bottom"/>
            <w:gridSpan w:val="3"/>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20" w:type="dxa"/>
            <w:vAlign w:val="bottom"/>
          </w:tcPr>
          <w:p>
            <w:pPr>
              <w:spacing w:after="0"/>
              <w:rPr>
                <w:sz w:val="19"/>
                <w:szCs w:val="19"/>
                <w:color w:val="auto"/>
              </w:rPr>
            </w:pPr>
          </w:p>
        </w:tc>
        <w:tc>
          <w:tcPr>
            <w:tcW w:w="4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5920" w:type="dxa"/>
            <w:vAlign w:val="bottom"/>
            <w:gridSpan w:val="8"/>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0"/>
        </w:trPr>
        <w:tc>
          <w:tcPr>
            <w:tcW w:w="20" w:type="dxa"/>
            <w:vAlign w:val="bottom"/>
          </w:tcPr>
          <w:p>
            <w:pPr>
              <w:spacing w:after="0"/>
              <w:rPr>
                <w:sz w:val="21"/>
                <w:szCs w:val="21"/>
                <w:color w:val="auto"/>
              </w:rPr>
            </w:pPr>
          </w:p>
        </w:tc>
        <w:tc>
          <w:tcPr>
            <w:tcW w:w="87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Income and Comprehensive Income for the years ended December 31, 2023, 2022 and 2021</w:t>
            </w:r>
          </w:p>
        </w:tc>
        <w:tc>
          <w:tcPr>
            <w:tcW w:w="1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0"/>
        </w:trPr>
        <w:tc>
          <w:tcPr>
            <w:tcW w:w="20" w:type="dxa"/>
            <w:vAlign w:val="bottom"/>
          </w:tcPr>
          <w:p>
            <w:pPr>
              <w:spacing w:after="0"/>
              <w:rPr>
                <w:sz w:val="21"/>
                <w:szCs w:val="21"/>
                <w:color w:val="auto"/>
              </w:rPr>
            </w:pPr>
          </w:p>
        </w:tc>
        <w:tc>
          <w:tcPr>
            <w:tcW w:w="7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2023, 2022 and 2021</w:t>
            </w:r>
          </w:p>
        </w:tc>
        <w:tc>
          <w:tcPr>
            <w:tcW w:w="2980" w:type="dxa"/>
            <w:vAlign w:val="bottom"/>
            <w:gridSpan w:val="5"/>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0"/>
        </w:trPr>
        <w:tc>
          <w:tcPr>
            <w:tcW w:w="20" w:type="dxa"/>
            <w:vAlign w:val="bottom"/>
          </w:tcPr>
          <w:p>
            <w:pPr>
              <w:spacing w:after="0"/>
              <w:rPr>
                <w:sz w:val="21"/>
                <w:szCs w:val="21"/>
                <w:color w:val="auto"/>
              </w:rPr>
            </w:pPr>
          </w:p>
        </w:tc>
        <w:tc>
          <w:tcPr>
            <w:tcW w:w="6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2022 and 2021</w:t>
            </w:r>
          </w:p>
        </w:tc>
        <w:tc>
          <w:tcPr>
            <w:tcW w:w="3660" w:type="dxa"/>
            <w:vAlign w:val="bottom"/>
            <w:gridSpan w:val="6"/>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420" w:type="dxa"/>
            <w:vAlign w:val="bottom"/>
            <w:gridSpan w:val="9"/>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50"/>
        </w:trPr>
        <w:tc>
          <w:tcPr>
            <w:tcW w:w="20" w:type="dxa"/>
            <w:vAlign w:val="bottom"/>
          </w:tcPr>
          <w:p>
            <w:pPr>
              <w:spacing w:after="0"/>
              <w:rPr>
                <w:sz w:val="21"/>
                <w:szCs w:val="21"/>
                <w:color w:val="auto"/>
              </w:rPr>
            </w:pPr>
          </w:p>
        </w:tc>
        <w:tc>
          <w:tcPr>
            <w:tcW w:w="10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 for the years ended December 31, 2023, 2022 and 2021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20" w:type="dxa"/>
            <w:vAlign w:val="bottom"/>
          </w:tcPr>
          <w:p>
            <w:pPr>
              <w:spacing w:after="0" w:line="20" w:lineRule="exact"/>
              <w:rPr>
                <w:sz w:val="1"/>
                <w:szCs w:val="1"/>
                <w:color w:val="auto"/>
              </w:rPr>
            </w:pPr>
          </w:p>
        </w:tc>
        <w:tc>
          <w:tcPr>
            <w:tcW w:w="7680" w:type="dxa"/>
            <w:vAlign w:val="bottom"/>
            <w:gridSpan w:val="6"/>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Schedule III — Schedule of Real Estate and Accumulated Depreciation as of December 31, 2023, 2022 and 2021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management of Lamar Advertising Company is responsible for establishing and maintaining adequate internal control over financial reporting as such term is defined in Rule 13a-15(f) and 15d-15(f) under the Exchange Act.</w:t>
      </w:r>
    </w:p>
    <w:p>
      <w:pPr>
        <w:spacing w:after="0" w:line="16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Lamar Advertising’s management assessed the effectiveness of Lamar Advertising’s internal control over financial reporting as of December 31, 2023.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on this assessment, Lamar Advertising’s management has concluded that, as of December 31, 2023, Lamar Advertising’s internal control over financial reporting is effective based on those criteria. The effectiveness of Lamar Advertising’s internal control over financial reporting as of December 31, 2023 has been audited by KPMG LLP, an independent registered public accounting firm, as stated in their report, which is included in Item 8 to this Annual Report.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Advertising Company: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Lamar Advertising Company and subsidiaries' (the Company)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income and comprehensive income, stockholders’ equity, and cash flows for each of the years in the three-year period ended December 31, 2023, and the related notes and financial statement schedules II to III (collectively, the consolidated financial statements), and our report dated February 23, 2024 expressed an unqualified opinion on those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r>
        <w:rPr>
          <w:rFonts w:ascii="Arial" w:cs="Arial" w:eastAsia="Arial" w:hAnsi="Arial"/>
          <w:sz w:val="18"/>
          <w:szCs w:val="18"/>
          <w:color w:val="auto"/>
        </w:rPr>
        <w:t>.</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8233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KPMG LLP</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Advertising Company: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Lamar Advertising Company and subsidiaries (the Company) as of December 31, 2023 and 2022, the related consolidated statements of income and comprehensive income, stockholders’ equity, and cash flows for each of the years in the three-year period ended December 31, 2023, and the related notes and financial statement schedules II to III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23, 2024 expressed an unqualified opinion on the effectiveness of the Company’s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Assessment of the accounting lease term for the portfolio of billboard land leases</w:t>
      </w:r>
    </w:p>
    <w:p>
      <w:pPr>
        <w:spacing w:after="0" w:line="227"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Note 7 to the consolidated financial statements, a lessee determines the lease term at the commencement date by identifying the non-cancellable period of the lease and then adding any periods for which it is reasonably certain to exercise a renewal option (or not to exercise a termination option). The Company has approximately 72,350 billboard land leases for which they determined the lease term using a portfolio approach, in accordance with which the negotiated stated initial lease term for each billboard land lease was concluded to be the lease term under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w:t>
      </w:r>
    </w:p>
    <w:p>
      <w:pPr>
        <w:spacing w:after="0" w:line="210" w:lineRule="exact"/>
        <w:rPr>
          <w:sz w:val="20"/>
          <w:szCs w:val="20"/>
          <w:color w:val="auto"/>
        </w:rPr>
      </w:pPr>
    </w:p>
    <w:p>
      <w:pPr>
        <w:jc w:val="both"/>
        <w:ind w:left="580" w:right="20"/>
        <w:spacing w:after="0" w:line="261" w:lineRule="auto"/>
        <w:rPr>
          <w:sz w:val="20"/>
          <w:szCs w:val="20"/>
          <w:color w:val="auto"/>
        </w:rPr>
      </w:pPr>
      <w:r>
        <w:rPr>
          <w:rFonts w:ascii="Times New Roman" w:cs="Times New Roman" w:eastAsia="Times New Roman" w:hAnsi="Times New Roman"/>
          <w:sz w:val="18"/>
          <w:szCs w:val="18"/>
          <w:color w:val="auto"/>
        </w:rPr>
        <w:t>We identified the assessment of the lease term for the portfolio of billboard land leases, which affects the discount rate for the lease as well as the measurement of the lease liability and right of use asset, as a critical audit matter. In the Company’s billboard land leases, the Company typically has both unilateral renewal and termination options. Determining the lease term involved a high degree of subjectivity as to whether the lease term should or should not</w:t>
      </w: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48" w:name="page49"/>
    <w:bookmarkEnd w:id="48"/>
    <w:p>
      <w:pPr>
        <w:ind w:left="580"/>
        <w:spacing w:after="0"/>
        <w:rPr>
          <w:sz w:val="20"/>
          <w:szCs w:val="20"/>
          <w:color w:val="auto"/>
        </w:rPr>
      </w:pPr>
      <w:r>
        <w:rPr>
          <w:rFonts w:ascii="Times New Roman" w:cs="Times New Roman" w:eastAsia="Times New Roman" w:hAnsi="Times New Roman"/>
          <w:sz w:val="18"/>
          <w:szCs w:val="18"/>
          <w:color w:val="auto"/>
        </w:rPr>
        <w:t>include renewal periods (including periods after an optional termination date), the evaluation of which required subjective auditor judgment.</w:t>
      </w:r>
    </w:p>
    <w:p>
      <w:pPr>
        <w:spacing w:after="0" w:line="252"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billboard land lease process, including controls over the qualifications and experience of individuals negotiating the stated initial lease term, reconciliation of inputs into the system, approval of billboard land lease contracts, and annual evaluation of the renewals and terminations exercised by the Company during the year. We evaluated the competence, capabilities, and objectivity of the Company’s real estate team that negotiates the lease terms and conditions, and whether the team considers economic factors that are consistent with those enumerated in ASC 842 when negotiating the stated initial lease term and associated renewal and termination options. We inspected the Company’s assessment and conclusion about using the portfolio approach for its billboard land leases. We tested a sample of the Company’s billboard land lease population and obtained underlying documentation to evaluate whether the leases entered into are similar in terms of the lease agreement creation process, purpose for the lease (i.e. to host a Company billboard), and lease term considerations. We assessed the impact of billboard land leases with early terminations and renewals beyond the stated initial term to evaluate the Company’s assertion that use of the stated initial lease term as the lease term for its billboard land leases on a portfolio basis was appropriate.</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8233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KPMG LLP</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844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FF0FC"/>
          </w:tcPr>
          <w:p>
            <w:pPr>
              <w:ind w:left="39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44,605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52,619</w:t>
            </w:r>
          </w:p>
        </w:tc>
        <w:tc>
          <w:tcPr>
            <w:tcW w:w="0" w:type="dxa"/>
            <w:vAlign w:val="bottom"/>
          </w:tcPr>
          <w:p>
            <w:pPr>
              <w:spacing w:after="0"/>
              <w:rPr>
                <w:sz w:val="1"/>
                <w:szCs w:val="1"/>
                <w:color w:val="auto"/>
              </w:rPr>
            </w:pP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 of allowance for doubtful accounts of $12,477 and $11,418 as of 2023 and 2022, respectively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285,039</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27,392</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26,894</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373,186</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364,552</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(note 5)</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4,274,831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4,109,146</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(2,708,361)</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(2,609,447)</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1,566,470</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1,499,699</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1,315,433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1,271,631</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right of use assets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14,037</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(note 6)</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2,035,271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2,035,269</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 (note 6)</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1,171,434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1,206,625</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90,644</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83,401</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6,563,622</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6,475,214</w:t>
            </w:r>
          </w:p>
        </w:tc>
        <w:tc>
          <w:tcPr>
            <w:tcW w:w="0" w:type="dxa"/>
            <w:vAlign w:val="bottom"/>
          </w:tcPr>
          <w:p>
            <w:pPr>
              <w:spacing w:after="0"/>
              <w:rPr>
                <w:sz w:val="1"/>
                <w:szCs w:val="1"/>
                <w:color w:val="auto"/>
              </w:rPr>
            </w:pPr>
          </w:p>
        </w:tc>
      </w:tr>
      <w:tr>
        <w:trPr>
          <w:trHeight w:val="20"/>
        </w:trPr>
        <w:tc>
          <w:tcPr>
            <w:tcW w:w="8440" w:type="dxa"/>
            <w:vAlign w:val="bottom"/>
            <w:tcBorders>
              <w:top w:val="single" w:sz="8" w:color="CFF0FC"/>
              <w:bottom w:val="single" w:sz="8" w:color="CFF0FC"/>
            </w:tcBorders>
            <w:vMerge w:val="restart"/>
          </w:tcPr>
          <w:p>
            <w:pPr>
              <w:ind w:left="22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accounts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19,643</w:t>
            </w:r>
          </w:p>
        </w:tc>
        <w:tc>
          <w:tcPr>
            <w:tcW w:w="0" w:type="dxa"/>
            <w:vAlign w:val="bottom"/>
          </w:tcPr>
          <w:p>
            <w:pPr>
              <w:spacing w:after="0"/>
              <w:rPr>
                <w:sz w:val="1"/>
                <w:szCs w:val="1"/>
                <w:color w:val="auto"/>
              </w:rPr>
            </w:pPr>
          </w:p>
        </w:tc>
      </w:tr>
      <w:tr>
        <w:trPr>
          <w:trHeight w:val="175"/>
        </w:trPr>
        <w:tc>
          <w:tcPr>
            <w:tcW w:w="8440" w:type="dxa"/>
            <w:vAlign w:val="bottom"/>
            <w:shd w:val="clear" w:color="auto" w:fill="CFF0FC"/>
          </w:tcPr>
          <w:p>
            <w:pPr>
              <w:ind w:left="240"/>
              <w:spacing w:after="0" w:line="176" w:lineRule="exact"/>
              <w:rPr>
                <w:sz w:val="20"/>
                <w:szCs w:val="20"/>
                <w:color w:val="auto"/>
              </w:rPr>
            </w:pPr>
            <w:r>
              <w:rPr>
                <w:rFonts w:ascii="Times New Roman" w:cs="Times New Roman" w:eastAsia="Times New Roman" w:hAnsi="Times New Roman"/>
                <w:sz w:val="18"/>
                <w:szCs w:val="18"/>
                <w:color w:val="auto"/>
              </w:rPr>
              <w:t>Current maturities of long-term debt, net of deferred financing costs of $380 and $593 in 2023 and 2022,</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respectively (note 9)</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250,018</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249,785</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 (note 7)</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205,838</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financing lease liabilities (note 7)</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(note 8)</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117,593</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income</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126,547</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131,847</w:t>
            </w:r>
          </w:p>
        </w:tc>
        <w:tc>
          <w:tcPr>
            <w:tcW w:w="0" w:type="dxa"/>
            <w:vAlign w:val="bottom"/>
          </w:tcPr>
          <w:p>
            <w:pPr>
              <w:spacing w:after="0"/>
              <w:rPr>
                <w:sz w:val="1"/>
                <w:szCs w:val="1"/>
                <w:color w:val="auto"/>
              </w:rPr>
            </w:pPr>
          </w:p>
        </w:tc>
      </w:tr>
      <w:tr>
        <w:trPr>
          <w:trHeight w:val="223"/>
        </w:trPr>
        <w:tc>
          <w:tcPr>
            <w:tcW w:w="8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713,897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726,037</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net of deferred financing costs of $28,865 and $32,022 in 2023 and 2022, respectively (note 9)</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3,091,109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3,063,020</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(note 7)</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1,035,655</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liabilities (note 7)</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 (note 12)</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retirement obligation (note 10)</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397,991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390,442</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41,891</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39,090</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5,346,834</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5,279,840</w:t>
            </w:r>
          </w:p>
        </w:tc>
        <w:tc>
          <w:tcPr>
            <w:tcW w:w="0" w:type="dxa"/>
            <w:vAlign w:val="bottom"/>
          </w:tcPr>
          <w:p>
            <w:pPr>
              <w:spacing w:after="0"/>
              <w:rPr>
                <w:sz w:val="1"/>
                <w:szCs w:val="1"/>
                <w:color w:val="auto"/>
              </w:rPr>
            </w:pPr>
          </w:p>
        </w:tc>
      </w:tr>
      <w:tr>
        <w:trPr>
          <w:trHeight w:val="21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 (note 14):</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Series AA preferred stock, par value $0.001, $63.80 cumulative dividends, authorized 5,720 shares; 5,720 shares</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issued and outstanding at 2023 and 2022</w:t>
            </w: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44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Class A common stock, par value $0.001, 362,500,000 shares authorized, 88,486,495 and 88,110,928 shares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issued and 87,645,560 and 87,327,232 outstanding at 2023 and 2022, respectively</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75"/>
        </w:trPr>
        <w:tc>
          <w:tcPr>
            <w:tcW w:w="8440" w:type="dxa"/>
            <w:vAlign w:val="bottom"/>
            <w:shd w:val="clear" w:color="auto" w:fill="CFF0FC"/>
          </w:tcPr>
          <w:p>
            <w:pPr>
              <w:ind w:left="260"/>
              <w:spacing w:after="0" w:line="176" w:lineRule="exact"/>
              <w:rPr>
                <w:sz w:val="20"/>
                <w:szCs w:val="20"/>
                <w:color w:val="auto"/>
              </w:rPr>
            </w:pPr>
            <w:r>
              <w:rPr>
                <w:rFonts w:ascii="Times New Roman" w:cs="Times New Roman" w:eastAsia="Times New Roman" w:hAnsi="Times New Roman"/>
                <w:sz w:val="18"/>
                <w:szCs w:val="18"/>
                <w:color w:val="auto"/>
              </w:rPr>
              <w:t>Class B common stock, par value $0.001, 37,500,000 shares authorized, 14,420,085 shares issued and</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outstanding at 2023 and 2022</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2,103,282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2,061,671</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Accumulated comprehensive loss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(804,382)</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shares held in treasury, 840,935 and 783,696 shares in 2023 and 2022, respectively</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(67,347)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(61,358)</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1,216,788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1,195,374</w:t>
            </w:r>
          </w:p>
        </w:tc>
        <w:tc>
          <w:tcPr>
            <w:tcW w:w="0" w:type="dxa"/>
            <w:vAlign w:val="bottom"/>
          </w:tcPr>
          <w:p>
            <w:pPr>
              <w:spacing w:after="0"/>
              <w:rPr>
                <w:sz w:val="1"/>
                <w:szCs w:val="1"/>
                <w:color w:val="auto"/>
              </w:rPr>
            </w:pPr>
          </w:p>
        </w:tc>
      </w:tr>
      <w:tr>
        <w:trPr>
          <w:trHeight w:val="223"/>
        </w:trPr>
        <w:tc>
          <w:tcPr>
            <w:tcW w:w="8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6,563,622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6,475,214</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70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revenues (note 2)</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2,110,987</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2,032,140</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1,787,401</w:t>
            </w:r>
          </w:p>
        </w:tc>
        <w:tc>
          <w:tcPr>
            <w:tcW w:w="0" w:type="dxa"/>
            <w:vAlign w:val="bottom"/>
          </w:tcPr>
          <w:p>
            <w:pPr>
              <w:spacing w:after="0"/>
              <w:rPr>
                <w:sz w:val="1"/>
                <w:szCs w:val="1"/>
                <w:color w:val="auto"/>
              </w:rPr>
            </w:pPr>
          </w:p>
        </w:tc>
      </w:tr>
      <w:tr>
        <w:trPr>
          <w:trHeight w:val="21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576,507</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 (exclusive of depreciation and amortization)</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344,780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350,623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326,951</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93,577</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(note 11)</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293,423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349,449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271,294</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1,435,553</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1,454,139</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1,266,214</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521,187</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106,384</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121,902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123,841</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397,346</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(note 12)</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388,090</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attributable to non-controlling interest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495,763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438,647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388,090</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387,725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 of common stock</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computing 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101,920,268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101,527,778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101,133,269</w:t>
            </w: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102,106,647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101,634,543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101,349,865</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496,836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438,647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388,090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388,011</w:t>
            </w: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attributable to non-controlling interest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controlling interest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388,011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ectPr>
          <w:pgSz w:w="11900" w:h="16838" w:orient="portrait"/>
          <w:cols w:equalWidth="0" w:num="1">
            <w:col w:w="11240"/>
          </w:cols>
          <w:pgMar w:left="320" w:top="121" w:right="339" w:bottom="1440" w:gutter="0" w:footer="0" w:header="0"/>
        </w:sect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960" w:type="dxa"/>
            <w:vAlign w:val="bottom"/>
          </w:tcPr>
          <w:p>
            <w:pPr>
              <w:spacing w:after="0"/>
              <w:rPr>
                <w:sz w:val="11"/>
                <w:szCs w:val="11"/>
                <w:color w:val="auto"/>
              </w:rPr>
            </w:pPr>
          </w:p>
        </w:tc>
        <w:tc>
          <w:tcPr>
            <w:tcW w:w="700" w:type="dxa"/>
            <w:vAlign w:val="bottom"/>
          </w:tcPr>
          <w:p>
            <w:pPr>
              <w:jc w:val="center"/>
              <w:ind w:left="141"/>
              <w:spacing w:after="0"/>
              <w:rPr>
                <w:sz w:val="20"/>
                <w:szCs w:val="20"/>
                <w:color w:val="auto"/>
              </w:rPr>
            </w:pPr>
            <w:r>
              <w:rPr>
                <w:rFonts w:ascii="Times New Roman" w:cs="Times New Roman" w:eastAsia="Times New Roman" w:hAnsi="Times New Roman"/>
                <w:sz w:val="11"/>
                <w:szCs w:val="11"/>
                <w:b w:val="1"/>
                <w:bCs w:val="1"/>
                <w:color w:val="auto"/>
                <w:w w:val="98"/>
              </w:rPr>
              <w:t>Series AA</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920" w:type="dxa"/>
            <w:vAlign w:val="bottom"/>
            <w:vMerge w:val="restart"/>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0" w:type="dxa"/>
            <w:vAlign w:val="bottom"/>
          </w:tcPr>
          <w:p>
            <w:pPr>
              <w:spacing w:after="0"/>
              <w:rPr>
                <w:sz w:val="1"/>
                <w:szCs w:val="1"/>
                <w:color w:val="auto"/>
              </w:rPr>
            </w:pPr>
          </w:p>
        </w:tc>
      </w:tr>
      <w:tr>
        <w:trPr>
          <w:trHeight w:val="108"/>
        </w:trPr>
        <w:tc>
          <w:tcPr>
            <w:tcW w:w="1960" w:type="dxa"/>
            <w:vAlign w:val="bottom"/>
          </w:tcPr>
          <w:p>
            <w:pPr>
              <w:spacing w:after="0"/>
              <w:rPr>
                <w:sz w:val="9"/>
                <w:szCs w:val="9"/>
                <w:color w:val="auto"/>
              </w:rPr>
            </w:pPr>
          </w:p>
        </w:tc>
        <w:tc>
          <w:tcPr>
            <w:tcW w:w="700" w:type="dxa"/>
            <w:vAlign w:val="bottom"/>
          </w:tcPr>
          <w:p>
            <w:pPr>
              <w:jc w:val="center"/>
              <w:ind w:left="161"/>
              <w:spacing w:after="0" w:line="108" w:lineRule="exact"/>
              <w:rPr>
                <w:sz w:val="20"/>
                <w:szCs w:val="20"/>
                <w:color w:val="auto"/>
              </w:rPr>
            </w:pPr>
            <w:r>
              <w:rPr>
                <w:rFonts w:ascii="Times New Roman" w:cs="Times New Roman" w:eastAsia="Times New Roman" w:hAnsi="Times New Roman"/>
                <w:sz w:val="11"/>
                <w:szCs w:val="11"/>
                <w:b w:val="1"/>
                <w:bCs w:val="1"/>
                <w:color w:val="auto"/>
                <w:w w:val="97"/>
              </w:rPr>
              <w:t>PREF</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CMN</w:t>
            </w:r>
          </w:p>
        </w:tc>
        <w:tc>
          <w:tcPr>
            <w:tcW w:w="10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CMN</w:t>
            </w: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700" w:type="dxa"/>
            <w:vAlign w:val="bottom"/>
          </w:tcPr>
          <w:p>
            <w:pPr>
              <w:jc w:val="center"/>
              <w:ind w:left="141"/>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920" w:type="dxa"/>
            <w:vAlign w:val="bottom"/>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Stock</w:t>
            </w:r>
          </w:p>
        </w:tc>
        <w:tc>
          <w:tcPr>
            <w:tcW w:w="0" w:type="dxa"/>
            <w:vAlign w:val="bottom"/>
          </w:tcPr>
          <w:p>
            <w:pPr>
              <w:spacing w:after="0"/>
              <w:rPr>
                <w:sz w:val="1"/>
                <w:szCs w:val="1"/>
                <w:color w:val="auto"/>
              </w:rPr>
            </w:pPr>
          </w:p>
        </w:tc>
      </w:tr>
      <w:tr>
        <w:trPr>
          <w:trHeight w:val="164"/>
        </w:trPr>
        <w:tc>
          <w:tcPr>
            <w:tcW w:w="19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Balance, December 31, 2020</w:t>
            </w:r>
          </w:p>
        </w:tc>
        <w:tc>
          <w:tcPr>
            <w:tcW w:w="700" w:type="dxa"/>
            <w:vAlign w:val="bottom"/>
            <w:tcBorders>
              <w:top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(44,786)</w:t>
            </w:r>
          </w:p>
        </w:tc>
        <w:tc>
          <w:tcPr>
            <w:tcW w:w="0" w:type="dxa"/>
            <w:vAlign w:val="bottom"/>
          </w:tcPr>
          <w:p>
            <w:pPr>
              <w:spacing w:after="0"/>
              <w:rPr>
                <w:sz w:val="1"/>
                <w:szCs w:val="1"/>
                <w:color w:val="auto"/>
              </w:rPr>
            </w:pPr>
          </w:p>
        </w:tc>
      </w:tr>
      <w:tr>
        <w:trPr>
          <w:trHeight w:val="171"/>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Non-cash compensation</w:t>
            </w:r>
          </w:p>
        </w:tc>
        <w:tc>
          <w:tcPr>
            <w:tcW w:w="7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Issuance of 158,985 shares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7"/>
              </w:rPr>
              <w:t>common stock through stock awards</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7"/>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Exercise of 156,491 shares of stock</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options</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Issuance of 114,035 shares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common stock through employee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purchase plan</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7"/>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Purchase of 68,336 shares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treasury stock</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(6,066)</w:t>
            </w:r>
          </w:p>
        </w:tc>
        <w:tc>
          <w:tcPr>
            <w:tcW w:w="0" w:type="dxa"/>
            <w:vAlign w:val="bottom"/>
          </w:tcPr>
          <w:p>
            <w:pPr>
              <w:spacing w:after="0"/>
              <w:rPr>
                <w:sz w:val="1"/>
                <w:szCs w:val="1"/>
                <w:color w:val="auto"/>
              </w:rPr>
            </w:pPr>
          </w:p>
        </w:tc>
      </w:tr>
      <w:tr>
        <w:trPr>
          <w:trHeight w:val="17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Dividends/distributions to common</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shareholders ($4.00 per common</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7"/>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Dividends ($63.80 per preferred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Balance, December 31, 2021</w:t>
            </w:r>
          </w:p>
        </w:tc>
        <w:tc>
          <w:tcPr>
            <w:tcW w:w="700" w:type="dxa"/>
            <w:vAlign w:val="bottom"/>
            <w:tcBorders>
              <w:top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(50,852)</w:t>
            </w:r>
          </w:p>
        </w:tc>
        <w:tc>
          <w:tcPr>
            <w:tcW w:w="0" w:type="dxa"/>
            <w:vAlign w:val="bottom"/>
          </w:tcPr>
          <w:p>
            <w:pPr>
              <w:spacing w:after="0"/>
              <w:rPr>
                <w:sz w:val="1"/>
                <w:szCs w:val="1"/>
                <w:color w:val="auto"/>
              </w:rPr>
            </w:pPr>
          </w:p>
        </w:tc>
      </w:tr>
      <w:tr>
        <w:trPr>
          <w:trHeight w:val="171"/>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Non-cash compensation</w:t>
            </w:r>
          </w:p>
        </w:tc>
        <w:tc>
          <w:tcPr>
            <w:tcW w:w="7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7"/>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Issuance of 248,947 shares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7"/>
              </w:rPr>
              <w:t>common stock through stock awards</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Exercise of 194,035 shares of stock</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options</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Issuance of 127,108 shares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common stock through employee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purchase plan</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Purchase of 95,679 shares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treasury stock</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(10,506)</w:t>
            </w:r>
          </w:p>
        </w:tc>
        <w:tc>
          <w:tcPr>
            <w:tcW w:w="0" w:type="dxa"/>
            <w:vAlign w:val="bottom"/>
          </w:tcPr>
          <w:p>
            <w:pPr>
              <w:spacing w:after="0"/>
              <w:rPr>
                <w:sz w:val="1"/>
                <w:szCs w:val="1"/>
                <w:color w:val="auto"/>
              </w:rPr>
            </w:pPr>
          </w:p>
        </w:tc>
      </w:tr>
      <w:tr>
        <w:trPr>
          <w:trHeight w:val="176"/>
        </w:trPr>
        <w:tc>
          <w:tcPr>
            <w:tcW w:w="1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income</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Dividends/distributions to common</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shareholders ($5.00 per common</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Dividends ($63.80 per preferred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Balance, December 31, 2022</w:t>
            </w:r>
          </w:p>
        </w:tc>
        <w:tc>
          <w:tcPr>
            <w:tcW w:w="700" w:type="dxa"/>
            <w:vAlign w:val="bottom"/>
            <w:tcBorders>
              <w:top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(61,358)</w:t>
            </w:r>
          </w:p>
        </w:tc>
        <w:tc>
          <w:tcPr>
            <w:tcW w:w="0" w:type="dxa"/>
            <w:vAlign w:val="bottom"/>
          </w:tcPr>
          <w:p>
            <w:pPr>
              <w:spacing w:after="0"/>
              <w:rPr>
                <w:sz w:val="1"/>
                <w:szCs w:val="1"/>
                <w:color w:val="auto"/>
              </w:rPr>
            </w:pPr>
          </w:p>
        </w:tc>
      </w:tr>
      <w:tr>
        <w:trPr>
          <w:trHeight w:val="171"/>
        </w:trPr>
        <w:tc>
          <w:tcPr>
            <w:tcW w:w="1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Non-cash compensation</w:t>
            </w:r>
          </w:p>
        </w:tc>
        <w:tc>
          <w:tcPr>
            <w:tcW w:w="7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Issuance of 168,176 shares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7"/>
              </w:rPr>
              <w:t>common stock through stock awards</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Exercise of 60,385 shares of stock</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options</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Issuance of 147,006 shares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common stock through employee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purchase plan</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Purchase of 57,239 shares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treasury stock</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(5,989)</w:t>
            </w:r>
          </w:p>
        </w:tc>
        <w:tc>
          <w:tcPr>
            <w:tcW w:w="0" w:type="dxa"/>
            <w:vAlign w:val="bottom"/>
          </w:tcPr>
          <w:p>
            <w:pPr>
              <w:spacing w:after="0"/>
              <w:rPr>
                <w:sz w:val="1"/>
                <w:szCs w:val="1"/>
                <w:color w:val="auto"/>
              </w:rPr>
            </w:pPr>
          </w:p>
        </w:tc>
      </w:tr>
      <w:tr>
        <w:trPr>
          <w:trHeight w:val="176"/>
        </w:trPr>
        <w:tc>
          <w:tcPr>
            <w:tcW w:w="1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income</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Reallocation of capital</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Dividends/distributions to common</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shareholders ($5.00 per common</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Dividends ($63.80 per preferred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9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Balance, December 31, 2023</w:t>
            </w:r>
          </w:p>
        </w:tc>
        <w:tc>
          <w:tcPr>
            <w:tcW w:w="70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(67,347)</w:t>
            </w:r>
          </w:p>
        </w:tc>
        <w:tc>
          <w:tcPr>
            <w:tcW w:w="0" w:type="dxa"/>
            <w:vAlign w:val="bottom"/>
          </w:tcPr>
          <w:p>
            <w:pPr>
              <w:spacing w:after="0"/>
              <w:rPr>
                <w:sz w:val="1"/>
                <w:szCs w:val="1"/>
                <w:color w:val="auto"/>
              </w:rPr>
            </w:pPr>
          </w:p>
        </w:tc>
      </w:tr>
      <w:tr>
        <w:trPr>
          <w:trHeight w:val="26"/>
        </w:trPr>
        <w:tc>
          <w:tcPr>
            <w:tcW w:w="19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-5640070</wp:posOffset>
            </wp:positionV>
            <wp:extent cx="7132320"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-5408295</wp:posOffset>
            </wp:positionV>
            <wp:extent cx="7132320" cy="196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-5013960</wp:posOffset>
            </wp:positionV>
            <wp:extent cx="713232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-4542790</wp:posOffset>
            </wp:positionV>
            <wp:extent cx="7132320" cy="1117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-4319905</wp:posOffset>
            </wp:positionV>
            <wp:extent cx="713232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-3848100</wp:posOffset>
            </wp:positionV>
            <wp:extent cx="7132320"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-3616960</wp:posOffset>
            </wp:positionV>
            <wp:extent cx="7132320" cy="1974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-3222625</wp:posOffset>
            </wp:positionV>
            <wp:extent cx="713232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-2750820</wp:posOffset>
            </wp:positionV>
            <wp:extent cx="7132320" cy="111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-2527935</wp:posOffset>
            </wp:positionV>
            <wp:extent cx="7132320" cy="274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-1824990</wp:posOffset>
            </wp:positionV>
            <wp:extent cx="7132320" cy="196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-1430655</wp:posOffset>
            </wp:positionV>
            <wp:extent cx="7132320"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111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11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96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Add’l</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40" w:type="dxa"/>
            <w:vAlign w:val="bottom"/>
            <w:gridSpan w:val="2"/>
            <w:vMerge w:val="continue"/>
          </w:tcPr>
          <w:p>
            <w:pPr>
              <w:spacing w:after="0"/>
              <w:rPr>
                <w:sz w:val="9"/>
                <w:szCs w:val="9"/>
                <w:color w:val="auto"/>
              </w:rPr>
            </w:pPr>
          </w:p>
        </w:tc>
        <w:tc>
          <w:tcPr>
            <w:tcW w:w="11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Non-controlling</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Paid in</w:t>
            </w:r>
          </w:p>
        </w:tc>
        <w:tc>
          <w:tcPr>
            <w:tcW w:w="110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106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940" w:type="dxa"/>
            <w:vAlign w:val="bottom"/>
            <w:vMerge w:val="restart"/>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6"/>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1,963,850</w:t>
            </w:r>
          </w:p>
        </w:tc>
        <w:tc>
          <w:tcPr>
            <w:tcW w:w="120" w:type="dxa"/>
            <w:vAlign w:val="bottom"/>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934</w:t>
            </w:r>
          </w:p>
        </w:tc>
        <w:tc>
          <w:tcPr>
            <w:tcW w:w="10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(717,331)</w:t>
            </w:r>
          </w:p>
        </w:tc>
        <w:tc>
          <w:tcPr>
            <w:tcW w:w="10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1,202,768</w:t>
            </w:r>
          </w:p>
        </w:tc>
        <w:tc>
          <w:tcPr>
            <w:tcW w:w="0" w:type="dxa"/>
            <w:vAlign w:val="bottom"/>
          </w:tcPr>
          <w:p>
            <w:pPr>
              <w:spacing w:after="0"/>
              <w:rPr>
                <w:sz w:val="1"/>
                <w:szCs w:val="1"/>
                <w:color w:val="auto"/>
              </w:rPr>
            </w:pPr>
          </w:p>
        </w:tc>
      </w:tr>
      <w:tr>
        <w:trPr>
          <w:trHeight w:val="171"/>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4,942</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4,942</w:t>
            </w:r>
          </w:p>
        </w:tc>
        <w:tc>
          <w:tcPr>
            <w:tcW w:w="0" w:type="dxa"/>
            <w:vAlign w:val="bottom"/>
          </w:tcPr>
          <w:p>
            <w:pPr>
              <w:spacing w:after="0"/>
              <w:rPr>
                <w:sz w:val="1"/>
                <w:szCs w:val="1"/>
                <w:color w:val="auto"/>
              </w:rPr>
            </w:pPr>
          </w:p>
        </w:tc>
      </w:tr>
      <w:tr>
        <w:trPr>
          <w:trHeight w:val="311"/>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13,565</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13,566</w:t>
            </w:r>
          </w:p>
        </w:tc>
        <w:tc>
          <w:tcPr>
            <w:tcW w:w="0" w:type="dxa"/>
            <w:vAlign w:val="bottom"/>
          </w:tcPr>
          <w:p>
            <w:pPr>
              <w:spacing w:after="0"/>
              <w:rPr>
                <w:sz w:val="1"/>
                <w:szCs w:val="1"/>
                <w:color w:val="auto"/>
              </w:rPr>
            </w:pPr>
          </w:p>
        </w:tc>
      </w:tr>
      <w:tr>
        <w:trPr>
          <w:trHeight w:val="31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10,170</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10,170</w:t>
            </w:r>
          </w:p>
        </w:tc>
        <w:tc>
          <w:tcPr>
            <w:tcW w:w="0" w:type="dxa"/>
            <w:vAlign w:val="bottom"/>
          </w:tcPr>
          <w:p>
            <w:pPr>
              <w:spacing w:after="0"/>
              <w:rPr>
                <w:sz w:val="1"/>
                <w:szCs w:val="1"/>
                <w:color w:val="auto"/>
              </w:rPr>
            </w:pPr>
          </w:p>
        </w:tc>
      </w:tr>
      <w:tr>
        <w:trPr>
          <w:trHeight w:val="432"/>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8,872</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8,872</w:t>
            </w:r>
          </w:p>
        </w:tc>
        <w:tc>
          <w:tcPr>
            <w:tcW w:w="0" w:type="dxa"/>
            <w:vAlign w:val="bottom"/>
          </w:tcPr>
          <w:p>
            <w:pPr>
              <w:spacing w:after="0"/>
              <w:rPr>
                <w:sz w:val="1"/>
                <w:szCs w:val="1"/>
                <w:color w:val="auto"/>
              </w:rPr>
            </w:pPr>
          </w:p>
        </w:tc>
      </w:tr>
      <w:tr>
        <w:trPr>
          <w:trHeight w:val="310"/>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(6,066)</w:t>
            </w:r>
          </w:p>
        </w:tc>
        <w:tc>
          <w:tcPr>
            <w:tcW w:w="0" w:type="dxa"/>
            <w:vAlign w:val="bottom"/>
          </w:tcPr>
          <w:p>
            <w:pPr>
              <w:spacing w:after="0"/>
              <w:rPr>
                <w:sz w:val="1"/>
                <w:szCs w:val="1"/>
                <w:color w:val="auto"/>
              </w:rPr>
            </w:pPr>
          </w:p>
        </w:tc>
      </w:tr>
      <w:tr>
        <w:trPr>
          <w:trHeight w:val="176"/>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75"/>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388,090</w:t>
            </w: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388,090</w:t>
            </w:r>
          </w:p>
        </w:tc>
        <w:tc>
          <w:tcPr>
            <w:tcW w:w="0" w:type="dxa"/>
            <w:vAlign w:val="bottom"/>
          </w:tcPr>
          <w:p>
            <w:pPr>
              <w:spacing w:after="0"/>
              <w:rPr>
                <w:sz w:val="1"/>
                <w:szCs w:val="1"/>
                <w:color w:val="auto"/>
              </w:rPr>
            </w:pPr>
          </w:p>
        </w:tc>
      </w:tr>
      <w:tr>
        <w:trPr>
          <w:trHeight w:val="432"/>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(404,809)</w:t>
            </w: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(404,809)</w:t>
            </w:r>
          </w:p>
        </w:tc>
        <w:tc>
          <w:tcPr>
            <w:tcW w:w="0" w:type="dxa"/>
            <w:vAlign w:val="bottom"/>
          </w:tcPr>
          <w:p>
            <w:pPr>
              <w:spacing w:after="0"/>
              <w:rPr>
                <w:sz w:val="1"/>
                <w:szCs w:val="1"/>
                <w:color w:val="auto"/>
              </w:rPr>
            </w:pPr>
          </w:p>
        </w:tc>
      </w:tr>
      <w:tr>
        <w:trPr>
          <w:trHeight w:val="320"/>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0" w:type="dxa"/>
            <w:vAlign w:val="bottom"/>
          </w:tcPr>
          <w:p>
            <w:pPr>
              <w:spacing w:after="0"/>
              <w:rPr>
                <w:sz w:val="1"/>
                <w:szCs w:val="1"/>
                <w:color w:val="auto"/>
              </w:rPr>
            </w:pPr>
          </w:p>
        </w:tc>
      </w:tr>
      <w:tr>
        <w:trPr>
          <w:trHeight w:val="164"/>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2,001,399</w:t>
            </w:r>
          </w:p>
        </w:tc>
        <w:tc>
          <w:tcPr>
            <w:tcW w:w="120" w:type="dxa"/>
            <w:vAlign w:val="bottom"/>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855</w:t>
            </w:r>
          </w:p>
        </w:tc>
        <w:tc>
          <w:tcPr>
            <w:tcW w:w="10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(734,415)</w:t>
            </w:r>
          </w:p>
        </w:tc>
        <w:tc>
          <w:tcPr>
            <w:tcW w:w="10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1,217,089</w:t>
            </w:r>
          </w:p>
        </w:tc>
        <w:tc>
          <w:tcPr>
            <w:tcW w:w="0" w:type="dxa"/>
            <w:vAlign w:val="bottom"/>
          </w:tcPr>
          <w:p>
            <w:pPr>
              <w:spacing w:after="0"/>
              <w:rPr>
                <w:sz w:val="1"/>
                <w:szCs w:val="1"/>
                <w:color w:val="auto"/>
              </w:rPr>
            </w:pPr>
          </w:p>
        </w:tc>
      </w:tr>
      <w:tr>
        <w:trPr>
          <w:trHeight w:val="171"/>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11,012</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11,012</w:t>
            </w:r>
          </w:p>
        </w:tc>
        <w:tc>
          <w:tcPr>
            <w:tcW w:w="0" w:type="dxa"/>
            <w:vAlign w:val="bottom"/>
          </w:tcPr>
          <w:p>
            <w:pPr>
              <w:spacing w:after="0"/>
              <w:rPr>
                <w:sz w:val="1"/>
                <w:szCs w:val="1"/>
                <w:color w:val="auto"/>
              </w:rPr>
            </w:pPr>
          </w:p>
        </w:tc>
      </w:tr>
      <w:tr>
        <w:trPr>
          <w:trHeight w:val="31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30,366</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30,366</w:t>
            </w:r>
          </w:p>
        </w:tc>
        <w:tc>
          <w:tcPr>
            <w:tcW w:w="0" w:type="dxa"/>
            <w:vAlign w:val="bottom"/>
          </w:tcPr>
          <w:p>
            <w:pPr>
              <w:spacing w:after="0"/>
              <w:rPr>
                <w:sz w:val="1"/>
                <w:szCs w:val="1"/>
                <w:color w:val="auto"/>
              </w:rPr>
            </w:pPr>
          </w:p>
        </w:tc>
      </w:tr>
      <w:tr>
        <w:trPr>
          <w:trHeight w:val="31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8,671</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8,671</w:t>
            </w:r>
          </w:p>
        </w:tc>
        <w:tc>
          <w:tcPr>
            <w:tcW w:w="0" w:type="dxa"/>
            <w:vAlign w:val="bottom"/>
          </w:tcPr>
          <w:p>
            <w:pPr>
              <w:spacing w:after="0"/>
              <w:rPr>
                <w:sz w:val="1"/>
                <w:szCs w:val="1"/>
                <w:color w:val="auto"/>
              </w:rPr>
            </w:pPr>
          </w:p>
        </w:tc>
      </w:tr>
      <w:tr>
        <w:trPr>
          <w:trHeight w:val="432"/>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10,223</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10,223</w:t>
            </w:r>
          </w:p>
        </w:tc>
        <w:tc>
          <w:tcPr>
            <w:tcW w:w="0" w:type="dxa"/>
            <w:vAlign w:val="bottom"/>
          </w:tcPr>
          <w:p>
            <w:pPr>
              <w:spacing w:after="0"/>
              <w:rPr>
                <w:sz w:val="1"/>
                <w:szCs w:val="1"/>
                <w:color w:val="auto"/>
              </w:rPr>
            </w:pPr>
          </w:p>
        </w:tc>
      </w:tr>
      <w:tr>
        <w:trPr>
          <w:trHeight w:val="310"/>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(10,506)</w:t>
            </w:r>
          </w:p>
        </w:tc>
        <w:tc>
          <w:tcPr>
            <w:tcW w:w="0" w:type="dxa"/>
            <w:vAlign w:val="bottom"/>
          </w:tcPr>
          <w:p>
            <w:pPr>
              <w:spacing w:after="0"/>
              <w:rPr>
                <w:sz w:val="1"/>
                <w:szCs w:val="1"/>
                <w:color w:val="auto"/>
              </w:rPr>
            </w:pPr>
          </w:p>
        </w:tc>
      </w:tr>
      <w:tr>
        <w:trPr>
          <w:trHeight w:val="176"/>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0" w:type="dxa"/>
            <w:vAlign w:val="bottom"/>
          </w:tcPr>
          <w:p>
            <w:pPr>
              <w:spacing w:after="0"/>
              <w:rPr>
                <w:sz w:val="1"/>
                <w:szCs w:val="1"/>
                <w:color w:val="auto"/>
              </w:rPr>
            </w:pPr>
          </w:p>
        </w:tc>
      </w:tr>
      <w:tr>
        <w:trPr>
          <w:trHeight w:val="175"/>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438,647</w:t>
            </w: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438,647</w:t>
            </w:r>
          </w:p>
        </w:tc>
        <w:tc>
          <w:tcPr>
            <w:tcW w:w="0" w:type="dxa"/>
            <w:vAlign w:val="bottom"/>
          </w:tcPr>
          <w:p>
            <w:pPr>
              <w:spacing w:after="0"/>
              <w:rPr>
                <w:sz w:val="1"/>
                <w:szCs w:val="1"/>
                <w:color w:val="auto"/>
              </w:rPr>
            </w:pPr>
          </w:p>
        </w:tc>
      </w:tr>
      <w:tr>
        <w:trPr>
          <w:trHeight w:val="432"/>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(508,249)</w:t>
            </w: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(508,249)</w:t>
            </w:r>
          </w:p>
        </w:tc>
        <w:tc>
          <w:tcPr>
            <w:tcW w:w="0" w:type="dxa"/>
            <w:vAlign w:val="bottom"/>
          </w:tcPr>
          <w:p>
            <w:pPr>
              <w:spacing w:after="0"/>
              <w:rPr>
                <w:sz w:val="1"/>
                <w:szCs w:val="1"/>
                <w:color w:val="auto"/>
              </w:rPr>
            </w:pPr>
          </w:p>
        </w:tc>
      </w:tr>
      <w:tr>
        <w:trPr>
          <w:trHeight w:val="320"/>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0" w:type="dxa"/>
            <w:vAlign w:val="bottom"/>
          </w:tcPr>
          <w:p>
            <w:pPr>
              <w:spacing w:after="0"/>
              <w:rPr>
                <w:sz w:val="1"/>
                <w:szCs w:val="1"/>
                <w:color w:val="auto"/>
              </w:rPr>
            </w:pPr>
          </w:p>
        </w:tc>
      </w:tr>
      <w:tr>
        <w:trPr>
          <w:trHeight w:val="164"/>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2,061,671</w:t>
            </w:r>
          </w:p>
        </w:tc>
        <w:tc>
          <w:tcPr>
            <w:tcW w:w="120" w:type="dxa"/>
            <w:vAlign w:val="bottom"/>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10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(804,382)</w:t>
            </w:r>
          </w:p>
        </w:tc>
        <w:tc>
          <w:tcPr>
            <w:tcW w:w="10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1,195,374</w:t>
            </w:r>
          </w:p>
        </w:tc>
        <w:tc>
          <w:tcPr>
            <w:tcW w:w="0" w:type="dxa"/>
            <w:vAlign w:val="bottom"/>
          </w:tcPr>
          <w:p>
            <w:pPr>
              <w:spacing w:after="0"/>
              <w:rPr>
                <w:sz w:val="1"/>
                <w:szCs w:val="1"/>
                <w:color w:val="auto"/>
              </w:rPr>
            </w:pPr>
          </w:p>
        </w:tc>
      </w:tr>
      <w:tr>
        <w:trPr>
          <w:trHeight w:val="171"/>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10,323</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10,323</w:t>
            </w:r>
          </w:p>
        </w:tc>
        <w:tc>
          <w:tcPr>
            <w:tcW w:w="0" w:type="dxa"/>
            <w:vAlign w:val="bottom"/>
          </w:tcPr>
          <w:p>
            <w:pPr>
              <w:spacing w:after="0"/>
              <w:rPr>
                <w:sz w:val="1"/>
                <w:szCs w:val="1"/>
                <w:color w:val="auto"/>
              </w:rPr>
            </w:pPr>
          </w:p>
        </w:tc>
      </w:tr>
      <w:tr>
        <w:trPr>
          <w:trHeight w:val="31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16,615</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16,615</w:t>
            </w:r>
          </w:p>
        </w:tc>
        <w:tc>
          <w:tcPr>
            <w:tcW w:w="0" w:type="dxa"/>
            <w:vAlign w:val="bottom"/>
          </w:tcPr>
          <w:p>
            <w:pPr>
              <w:spacing w:after="0"/>
              <w:rPr>
                <w:sz w:val="1"/>
                <w:szCs w:val="1"/>
                <w:color w:val="auto"/>
              </w:rPr>
            </w:pPr>
          </w:p>
        </w:tc>
      </w:tr>
      <w:tr>
        <w:trPr>
          <w:trHeight w:val="311"/>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4,300</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4,300</w:t>
            </w:r>
          </w:p>
        </w:tc>
        <w:tc>
          <w:tcPr>
            <w:tcW w:w="0" w:type="dxa"/>
            <w:vAlign w:val="bottom"/>
          </w:tcPr>
          <w:p>
            <w:pPr>
              <w:spacing w:after="0"/>
              <w:rPr>
                <w:sz w:val="1"/>
                <w:szCs w:val="1"/>
                <w:color w:val="auto"/>
              </w:rPr>
            </w:pPr>
          </w:p>
        </w:tc>
      </w:tr>
      <w:tr>
        <w:trPr>
          <w:trHeight w:val="432"/>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11,389</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11,389</w:t>
            </w:r>
          </w:p>
        </w:tc>
        <w:tc>
          <w:tcPr>
            <w:tcW w:w="0" w:type="dxa"/>
            <w:vAlign w:val="bottom"/>
          </w:tcPr>
          <w:p>
            <w:pPr>
              <w:spacing w:after="0"/>
              <w:rPr>
                <w:sz w:val="1"/>
                <w:szCs w:val="1"/>
                <w:color w:val="auto"/>
              </w:rPr>
            </w:pPr>
          </w:p>
        </w:tc>
      </w:tr>
      <w:tr>
        <w:trPr>
          <w:trHeight w:val="310"/>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(5,989)</w:t>
            </w:r>
          </w:p>
        </w:tc>
        <w:tc>
          <w:tcPr>
            <w:tcW w:w="0" w:type="dxa"/>
            <w:vAlign w:val="bottom"/>
          </w:tcPr>
          <w:p>
            <w:pPr>
              <w:spacing w:after="0"/>
              <w:rPr>
                <w:sz w:val="1"/>
                <w:szCs w:val="1"/>
                <w:color w:val="auto"/>
              </w:rPr>
            </w:pPr>
          </w:p>
        </w:tc>
      </w:tr>
      <w:tr>
        <w:trPr>
          <w:trHeight w:val="176"/>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0" w:type="dxa"/>
            <w:vAlign w:val="bottom"/>
          </w:tcPr>
          <w:p>
            <w:pPr>
              <w:spacing w:after="0"/>
              <w:rPr>
                <w:sz w:val="1"/>
                <w:szCs w:val="1"/>
                <w:color w:val="auto"/>
              </w:rPr>
            </w:pPr>
          </w:p>
        </w:tc>
      </w:tr>
      <w:tr>
        <w:trPr>
          <w:trHeight w:val="175"/>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495,763</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496,836</w:t>
            </w:r>
          </w:p>
        </w:tc>
        <w:tc>
          <w:tcPr>
            <w:tcW w:w="0" w:type="dxa"/>
            <w:vAlign w:val="bottom"/>
          </w:tcPr>
          <w:p>
            <w:pPr>
              <w:spacing w:after="0"/>
              <w:rPr>
                <w:sz w:val="1"/>
                <w:szCs w:val="1"/>
                <w:color w:val="auto"/>
              </w:rPr>
            </w:pPr>
          </w:p>
        </w:tc>
      </w:tr>
      <w:tr>
        <w:trPr>
          <w:trHeight w:val="175"/>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0" w:type="dxa"/>
            <w:vAlign w:val="bottom"/>
          </w:tcPr>
          <w:p>
            <w:pPr>
              <w:spacing w:after="0"/>
              <w:rPr>
                <w:sz w:val="1"/>
                <w:szCs w:val="1"/>
                <w:color w:val="auto"/>
              </w:rPr>
            </w:pPr>
          </w:p>
        </w:tc>
      </w:tr>
      <w:tr>
        <w:trPr>
          <w:trHeight w:val="432"/>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(510,251)</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(511,307)</w:t>
            </w:r>
          </w:p>
        </w:tc>
        <w:tc>
          <w:tcPr>
            <w:tcW w:w="0" w:type="dxa"/>
            <w:vAlign w:val="bottom"/>
          </w:tcPr>
          <w:p>
            <w:pPr>
              <w:spacing w:after="0"/>
              <w:rPr>
                <w:sz w:val="1"/>
                <w:szCs w:val="1"/>
                <w:color w:val="auto"/>
              </w:rPr>
            </w:pPr>
          </w:p>
        </w:tc>
      </w:tr>
      <w:tr>
        <w:trPr>
          <w:trHeight w:val="320"/>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0" w:type="dxa"/>
            <w:vAlign w:val="bottom"/>
          </w:tcPr>
          <w:p>
            <w:pPr>
              <w:spacing w:after="0"/>
              <w:rPr>
                <w:sz w:val="1"/>
                <w:szCs w:val="1"/>
                <w:color w:val="auto"/>
              </w:rPr>
            </w:pPr>
          </w:p>
        </w:tc>
      </w:tr>
      <w:tr>
        <w:trPr>
          <w:trHeight w:val="170"/>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2,103,282</w:t>
            </w:r>
          </w:p>
        </w:tc>
        <w:tc>
          <w:tcPr>
            <w:tcW w:w="1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(819,235)</w:t>
            </w: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1,216,788</w:t>
            </w:r>
          </w:p>
        </w:tc>
        <w:tc>
          <w:tcPr>
            <w:tcW w:w="0" w:type="dxa"/>
            <w:vAlign w:val="bottom"/>
          </w:tcPr>
          <w:p>
            <w:pPr>
              <w:spacing w:after="0"/>
              <w:rPr>
                <w:sz w:val="1"/>
                <w:szCs w:val="1"/>
                <w:color w:val="auto"/>
              </w:rPr>
            </w:pPr>
          </w:p>
        </w:tc>
      </w:tr>
      <w:tr>
        <w:trPr>
          <w:trHeight w:val="26"/>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2">
            <w:col w:w="5940" w:space="120"/>
            <w:col w:w="5180"/>
          </w:cols>
          <w:pgMar w:left="320" w:top="12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b w:val="1"/>
          <w:bCs w:val="1"/>
          <w:color w:val="auto"/>
        </w:rPr>
        <w:t>LAMAR ADVERTISING COMPANY</w:t>
      </w:r>
    </w:p>
    <w:p>
      <w:pPr>
        <w:spacing w:after="0" w:line="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auto"/>
        </w:rPr>
        <w:t>AND SUBSIDIARIES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Years Ended December 31, 2023, 2022 and 2021</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496,836</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438,647</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388,090</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349,449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271,294</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23,136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37,368</w:t>
            </w: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included in interest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5,877</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disposition of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21,604</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Equity in earnings of investee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w:t>
            </w: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4,527</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(Increase) decrease 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Receivables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(24,684)</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(5,493)</w:t>
            </w: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(Decrease) increase 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Trade accounts payable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9,553</w:t>
            </w: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3,819</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20,049</w:t>
            </w:r>
          </w:p>
        </w:tc>
        <w:tc>
          <w:tcPr>
            <w:tcW w:w="0" w:type="dxa"/>
            <w:vAlign w:val="bottom"/>
          </w:tcPr>
          <w:p>
            <w:pPr>
              <w:spacing w:after="0"/>
              <w:rPr>
                <w:sz w:val="1"/>
                <w:szCs w:val="1"/>
                <w:color w:val="auto"/>
              </w:rPr>
            </w:pPr>
          </w:p>
        </w:tc>
      </w:tr>
      <w:tr>
        <w:trPr>
          <w:trHeight w:val="189"/>
        </w:trPr>
        <w:tc>
          <w:tcPr>
            <w:tcW w:w="7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Cash flows provided by operating activities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783,613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781,612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734,417</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Capital expenditures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(178,271)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(167,078)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(126,090)</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Acquisitions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(312,257)</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 for investments in equity securities</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Decrease in notes receivable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Proceeds from disposition of assets and investments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15,649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6,480</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Cash flows used in investing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(310,119)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(619,071)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(461,760)</w:t>
            </w:r>
          </w:p>
        </w:tc>
        <w:tc>
          <w:tcPr>
            <w:tcW w:w="0" w:type="dxa"/>
            <w:vAlign w:val="bottom"/>
          </w:tcPr>
          <w:p>
            <w:pPr>
              <w:spacing w:after="0"/>
              <w:rPr>
                <w:sz w:val="1"/>
                <w:szCs w:val="1"/>
                <w:color w:val="auto"/>
              </w:rPr>
            </w:pPr>
          </w:p>
        </w:tc>
      </w:tr>
      <w:tr>
        <w:trPr>
          <w:trHeight w:val="175"/>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proceeds from issuance of common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18,894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19,042</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used for purchase of treasury shares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(6,066)</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received from revolving credit facility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Principal payments on financing leases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received from senior credit facility term loans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received from accounts receivable securitization program</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265,000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Payments on accounts receivable securitization program</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(127,500)</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received from note offering</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Redemption of senior notes and senior subordinated notes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(668,688)</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Debt issuance costs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(8,823)</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Dividends/distributions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(510,616)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(508,614)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(405,174)</w:t>
            </w: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Cash flows used in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(481,635)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(209,319)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(294,519)</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exchange rate changes in cash and cash equivalents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(21,781)</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99,788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121,569</w:t>
            </w:r>
          </w:p>
        </w:tc>
        <w:tc>
          <w:tcPr>
            <w:tcW w:w="0" w:type="dxa"/>
            <w:vAlign w:val="bottom"/>
          </w:tcPr>
          <w:p>
            <w:pPr>
              <w:spacing w:after="0"/>
              <w:rPr>
                <w:sz w:val="1"/>
                <w:szCs w:val="1"/>
                <w:color w:val="auto"/>
              </w:rPr>
            </w:pPr>
          </w:p>
        </w:tc>
      </w:tr>
      <w:tr>
        <w:trPr>
          <w:trHeight w:val="221"/>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52,619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99,788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168,011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120,000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112,080</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Cash paid for state and federal income taxes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0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11,432</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16,325</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8,388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Nature of Business</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Advertising Company (the Company) is engaged in the outdoor advertising business, operating approximately 160,400 billboard advertising displays in 45 states and Canada. The Company’s operating strategy is to be the leading provider of outdoor advertising services in the markets it serves.</w:t>
      </w:r>
    </w:p>
    <w:p>
      <w:pPr>
        <w:spacing w:after="0" w:line="16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In addition, the Company operates a logo sign business in 23 states throughout the United States and the province of Ontario, Canada and operates approximately 47,850 transit advertising displays in 24 states and Canada. Logo signs are erected pursuant to state-awarded service contracts on public rights-of-way near highway exits and deliver brand name information on available gas, food, lodging and camping services. Included in the Company’s logo sign business are tourism signing contracts. The Company provides transit advertising in airport terminals, on bus shelters, benches and buses in the markets it serves.</w:t>
      </w:r>
    </w:p>
    <w:p>
      <w:pPr>
        <w:spacing w:after="0" w:line="18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 operates as a Real Estate Investment Trust (“REIT”) for U.S. federal income tax purposes and generally will not be subject to federal income taxes on its income and gains that the Company distributes to its stockholders, including the income derived from advertising rental revenue. However, even as a REIT, the Company will remain obligated to pay income taxes on earnings from the assets of its taxable REIT subsidiaries (“TRSs”). In addition, the Company’s foreign assets and operations continue to be subject to taxation in the foreign jurisdictions where those assets are held or those operations are conducted.</w:t>
      </w:r>
    </w:p>
    <w:p>
      <w:pPr>
        <w:spacing w:after="0" w:line="183"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On July 1, 2022, the Company's direct wholly owned subsidiary Lamar Media Corp. ("Lamar Media") entered into the Amended and Restated Limited Partnership Agreement (the "Partnership Agreement") of Lamar Advertising Limited Partnership (the "OP") as the initial limited partner, along with its wholly owned subsidiary, Lamar Advertising General Partner, LLC, as the general partner of the OP (the "General Partner"). Lamar Media formed the OP and contributed all of its assets to the OP in connection with the Company's reorganization (the "Reorganization") as a specific type of REIT known as an Umbrella Partnership Real Estate Investment Trust ("UPREIT"). The Company completed the Reorganization to facilitate tax-deferred contributions of properties to the OP in exchange for limited partnership interests in the OP. The Reorganization did not have a material impact on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Principles of Consolidation</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Lamar Advertising Company, its wholly owned subsidiary, Lamar Media, and its majority-owned subsidiaries. All inter-company transactions and balances have been eliminated in consolidation.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 operating segment is a component of an enterprise:</w:t>
      </w:r>
    </w:p>
    <w:p>
      <w:pPr>
        <w:spacing w:after="0" w:line="117" w:lineRule="exact"/>
        <w:rPr>
          <w:sz w:val="20"/>
          <w:szCs w:val="20"/>
          <w:color w:val="auto"/>
        </w:rPr>
      </w:pPr>
    </w:p>
    <w:p>
      <w:pPr>
        <w:ind w:left="1140" w:hanging="565"/>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engages in business activities from which it may earn revenues and incur expenses;</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operating results are regularly reviewed by the enterprise’s chief operating decision maker to make decisions about resources to be allocated to the segment and assess its performance; and</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discrete financial information is available.</w:t>
      </w:r>
    </w:p>
    <w:p>
      <w:pPr>
        <w:spacing w:after="0" w:line="225"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define the term ‘chief operating decision maker’ to be our executive management group, which consists of our Executive Chairman, President and Chief Executive Officer, and Chief Financial Officer. Currently, all operations are reviewed on a consolidated basis for budget and business plan performance by our executive management group. Additionally, operational performance at the end of each reporting period is viewed in the aggregate by our management group. Any decisions related to changes in invested capital, personnel, operational improvement or training, or to allocate other company resources are made based on the combined results.</w:t>
      </w:r>
    </w:p>
    <w:p>
      <w:pPr>
        <w:spacing w:after="0" w:line="183"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We operate in a single operating and reporting segment, advertising. We rent advertising space on billboards, buses, shelters, benches, logo plates and in airport terminals.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Property, Plant and Equipment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Property, plant and equipment are stated at cost. Depreciation is calculated using the straight-line method over the estimated useful lives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Goodwill and Intangible Assets</w:t>
      </w:r>
    </w:p>
    <w:p>
      <w:pPr>
        <w:spacing w:after="0" w:line="22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Goodwill is subject to an annual impairment test. The Company designated December 31 as the date of its annual goodwill impairment test. The Company is required to identify its reporting units and determine the carrying value of each reporting unit. The Company has identified two reporting units, Billboard operations and Logo operations, by assigning the assets and liabilities, including the existing goodwill and intangible assets, to those reporting units. The Company is required to determine the fair value of each reporting unit and compare it to the carrying amount of the reporting unit. To the extent the carrying amount of a reporting unit exceeds the fair value of the reporting unit, the Company would be required to book an impairment loss.</w:t>
      </w:r>
    </w:p>
    <w:p>
      <w:pPr>
        <w:spacing w:after="0" w:line="183"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Company conducts a qualitative assessment by examining relevant events and circumstances which could have a negative impact on the Company’s goodwill, which includes macroeconomic conditions, industry and market conditions, cost factors, overall financial performance, reporting unit dispositions and acquisitions, the market capitalization of the Company and other relevant events specific to the Company. If, after assessing the totality of events or circumstances described above, the Company determines that it is more likely than not that the fair value of either of the Company's reporting units is less than its carrying amount, the Company will perform a quantitative impairment test. If industry and economic conditions deteriorate, the Company may be required to assess goodwill impairment before the next annual test, which could result in impairment charges.</w:t>
      </w:r>
    </w:p>
    <w:p>
      <w:pPr>
        <w:spacing w:after="0" w:line="18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performed its annual measurement for impairment of the goodwill of its reporting units and concluded the fair value of each reporting unit exceeded its carrying amount at its annual impairment test date on December 31, 2023 and 2022; therefore, the Company was not required to recognize an impairment loss.</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Intangible assets, consisting primarily of site locations, customer lists and contracts, and non-competition agreements are amortized using the straight-line method over the assets' estimated useful lives, generally from 2 to 15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Impairment of Long-Lived Assets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Long-lived assets, such as property, plant and equipment, lease right of use assets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or asset group before interest expense. If the carrying amount of an asset exceeds its estimated future cash flows, an impairment charge is recognized by the amount by which the carrying amount of the asset exceeds the fair value of the asset or asset group. Assets to be disposed of would be separately presented in the balance sheet and reported at the lower of the carrying amount or fair value less costs to sell, and are no longer depreciated. The assets and liabilities of a disposed group classified as held for sale would be presented separately in the appropriate asset and liability sections of the balance sheet.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Acquisitions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The Company accounts for transactions that meet the definition of a business and group asset purchases as acquisitions. For transactions that meet the definition of a business combination, the Company allocates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The determination of the final purchase price and the acquisition-date fair value of identifiable assets acquired and liabilities assumed may extend over more than one period and result in adjustments to the preliminary estimate recognized in the prior period financial statements. For transactions that meet the definition of asset group purchases, the Company proportionally allocates the purchase price to the assets based on relative fair value acquired and the liabilities assumed at their estimated fair values as of the date of the acquisition. If a transaction is determined to be a group of assets, any direct acquisition costs are capitalized. Transaction costs for transactions determined to be a business combination are expensed as incurred.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fair value of the assets acquired and liabilities assumed is typically determined by using either estimates of replacement costs or discounted cash flow valuation methods. When determining the fair value of tangible assets acquired, the Company must estimate the cost to replace the asset with a new asset, adjusted for an estimated reduction in fair value due to age of the asset, and the economic useful life. When determining the fair value of intangible assets acquired, the Company must estimate the applicable discount rate and the timing and amount of future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Lease Liabilities</w:t>
      </w:r>
    </w:p>
    <w:p>
      <w:pPr>
        <w:spacing w:after="0" w:line="121"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 xml:space="preserve">The Company is party to various operating leases for production facilities, vehicles and sites upon which advertising structures are built, including our billboard land leases, leases of logo structures and leases of transit advertising space. The leases expire at various dates, have varying options to renew and cancel, and may contain escalation provisions. We expense our non-variable lease payments ratably over the lease term. Also, certain of our leases contain variable lease payments based on percentage of revenue or consumer price index or other inflation-based indices. The variable lease costs are expensed in the period incurred. Due to our election not to reassess conclusions about lease identification as part of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our transit agreements were accounted for as leases on January 1, 2019. As we enter into new or renew current transit agreements, those agreements will not likely meet the criteria of a lease under ASC 842, therefore they will no longer be accounted for as a lease.</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Financing lease right of use assets are amortized over the life of the lease which is recorded in depreciation and amortization on the consolidated statements of income and comprehensive income. Interest related to financing lease liabilities is recorded in interest expense on the consolidated statements of income and comprehensive income.</w:t>
      </w:r>
    </w:p>
    <w:p>
      <w:pPr>
        <w:spacing w:after="0" w:line="17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key estimates for our leases include (1) the discount rate used to discount the unpaid lease payment to present value and (2) lease term. Our leases generally do not include a readily determinable implicit rate, therefore, using a portfolio approach, we determine our collateralized incremental borrowing rate to discount the lease payment based on the information available at lease commencement. Our lease terms include the noncancellable period of the lease plus any additional periods covered by either a Company option to extend (or not to terminate) the lease that the Company is reasonably certain to exercise, or an option to extend the lease controlled by the lessor. The Company has determined we are not reasonably certain to exercise renewals or termination options, and as a result we use the lease’s initial stated term as the lease term for our lease population.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Deferred Income</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Deferred income consists principally of advertising revenue invoiced in advance. Deferred advertising revenue is recognized in income over the term of the contract.</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(i)</w:t>
        <w:tab/>
        <w:t>Revenue Recognition</w:t>
      </w:r>
    </w:p>
    <w:p>
      <w:pPr>
        <w:spacing w:after="0" w:line="121"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Company recognizes outdoor advertising revenue on an accrual basis ratably over the term of the contracts. Production revenue and the related expense for the advertising copy are recognized upon satisfaction of its performance obligation.</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engages in barter transactions where the Company trades advertising space for goods and services. The Company recognizes revenues and expenses from barter transactions at fair value, which is determined based on the Company’s own historical practice of receiving cash for similar advertising space from buyers unrelated to the party in the barter transaction. The amount of revenue and expense recognized for advertising barter transactions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0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9,599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84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4,832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r>
    </w:tbl>
    <w:p>
      <w:pPr>
        <w:spacing w:after="0" w:line="2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(j)</w:t>
      </w:r>
      <w:r>
        <w:rPr>
          <w:sz w:val="20"/>
          <w:szCs w:val="20"/>
          <w:color w:val="auto"/>
        </w:rPr>
        <w:tab/>
      </w:r>
      <w:r>
        <w:rPr>
          <w:rFonts w:ascii="Times New Roman" w:cs="Times New Roman" w:eastAsia="Times New Roman" w:hAnsi="Times New Roman"/>
          <w:sz w:val="17"/>
          <w:szCs w:val="17"/>
          <w:b w:val="1"/>
          <w:bCs w:val="1"/>
          <w:i w:val="1"/>
          <w:iCs w:val="1"/>
          <w:color w:val="auto"/>
        </w:rPr>
        <w:t>Income Taxes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a REIT, the Company is generally not subject to federal income taxes on income and gains distributed to the Company’s stockholders. However, the Company remains obligated to pay income taxes on earnings from domestic TRSs. In addition, the Company’s foreign assets and operations continue to be subject to taxation in the foreign jurisdictions where those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assets are held or where those operations are conducted, including those designated as Qualified REIT Subsidiaries, or QRSs, for federal income tax purposes. Accordingly, the consolidated financial statements reflect provisions for federal, state, local and foreign income taxes. The Company recognizes deferred tax assets and liabilities for the future tax consequences attributable to differences between the financial statement carrying amounts of existing assets and liabilities and their respective tax basis, as well as operating loss and tax credit carryforwards. The Company measures deferred tax assets and liabilities using enacted tax rates expected to apply to taxable income in the years in which those temporary differences and carry forwards are expected to be recovered or settled. The effect on deferred tax assets and liabilities as a result of a change in tax rates is recognized in income in the period that includes the enactment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Dividends/Distributions</w:t>
      </w:r>
    </w:p>
    <w:p>
      <w:pPr>
        <w:spacing w:after="0" w:line="12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As a REIT, the Company must annually distribute to its stockholders an amount equal to at least 90% of its REIT taxable income (determined before the deduction for distributed earnings and excluding any net capital gain). During the years ended December 31, 2023, 2022 and 2021, the Company declared and paid distributions of its REIT taxable income of $510,251 or $5.00 per share, $508,249 or $5.00 per share and $404,809 or $4.00 per share, respectively. The amount, timing and frequency of future distributions will be at the sole discretion of the Board of Directors and will be declared based upon various factors, a number of which may be beyond the Company’s control, including the financial condition and operating cash flows, the amount required to maintain REIT status and reduce any income and excise taxes that the Company otherwise would be required to pay, limitations on distributions in its existing and future debt instruments, the Company’s ability to utilize net operating losses (“NOLs”) to offset, in whole or in part, the Company’s distribution requirements, limitations on its ability to fund distributions using cash generated through its TRSs, the impact of general economic conditions on the Company's operations and other factors that the Board of Directors may deem relevant. During each of the years ended December 31, 2023, 2022 and 2021, the Company paid dividend distributions to holders of its Series AA Preferred Stock of $365 or $63.80 per share.</w:t>
      </w:r>
    </w:p>
    <w:p>
      <w:pPr>
        <w:spacing w:after="0" w:line="1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(l)</w:t>
      </w:r>
      <w:r>
        <w:rPr>
          <w:sz w:val="20"/>
          <w:szCs w:val="20"/>
          <w:color w:val="auto"/>
        </w:rPr>
        <w:tab/>
      </w:r>
      <w:r>
        <w:rPr>
          <w:rFonts w:ascii="Times New Roman" w:cs="Times New Roman" w:eastAsia="Times New Roman" w:hAnsi="Times New Roman"/>
          <w:sz w:val="17"/>
          <w:szCs w:val="17"/>
          <w:b w:val="1"/>
          <w:bCs w:val="1"/>
          <w:i w:val="1"/>
          <w:iCs w:val="1"/>
          <w:color w:val="auto"/>
        </w:rPr>
        <w:t>Earnings Per Share</w:t>
      </w:r>
    </w:p>
    <w:p>
      <w:pPr>
        <w:spacing w:after="0" w:line="121"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calculation of basic earnings per share excludes any dilutive effect of stock options, while diluted earnings per share includes the dilutive effect of stock options. For the years ended December 31, 2023, 2022 and 2021 there were no dilutive shares excluded from the calculation.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Stock Based Compensation</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Compensation expense for share-based awards is recognized based on the grant date fair value of those awards. Stock based compensation expense includes an estimate for pre-vesting forfeitures and is recognized over the requisite service periods of the awards on a straight-line basis, which is generally commensurate with the vesting term. Non-cash compensation expense recognized during the years ended December 31, 2023, 2022, and 2021 was $22,649, $23,136 and $37,368, respectively. The $22,649 expensed during the year ended December 31, 2023 consists of (i) $4,855 related to stock options and the employee stock purchase plan, (ii) $11,677 related to stock grants made under the Company’s performance-based stock incentive program in 2023,</w:t>
      </w:r>
    </w:p>
    <w:p>
      <w:pPr>
        <w:spacing w:after="0" w:line="3" w:lineRule="exact"/>
        <w:rPr>
          <w:sz w:val="20"/>
          <w:szCs w:val="20"/>
          <w:color w:val="auto"/>
        </w:rPr>
      </w:pPr>
    </w:p>
    <w:p>
      <w:pPr>
        <w:jc w:val="both"/>
        <w:ind w:right="20" w:firstLine="8"/>
        <w:spacing w:after="0" w:line="260" w:lineRule="auto"/>
        <w:tabs>
          <w:tab w:leader="none" w:pos="33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$5,347 related to LTIP Units issued to the Company's executive officers, (iv) $55 related to non-performance restricted stock awards and (v) $715 related to restricted stock awards to directors. See Note 15 for information on the assumptions used to calculate the fair value of stock-based compensation.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Cash and Cash Equivalents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considers all highly-liquid investments with original maturities of three months or less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Credit Losses</w:t>
      </w:r>
    </w:p>
    <w:p>
      <w:pPr>
        <w:spacing w:after="0" w:line="121"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Company estimates credit losses on financial instruments based on amounts expected to be collected. The allowance for doubtful accounts is estimated based on historical collections, accounts receivable aging, economic indicators, and expected future trends.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Foreign Currency Translation</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Local currencies generally are considered the functional currencies outside the United States. Assets and liabilities for operations in local-currency environments are translated at year-end exchange rates. Income and expense items are translated at average rates of exchange prevailing during the year. Foreign currency translation adjustments are recorded as a component of other comprehensive income (loss) in the Consolidated Statements of Income and Comprehensive Income and as a component of accumulated comprehensive income (loss) in the Consolidated Statements of Stockholders’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Asset Retirement Obligations</w:t>
      </w:r>
    </w:p>
    <w:p>
      <w:pPr>
        <w:spacing w:after="0" w:line="121"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is required to record the fair value of obligations associated with the retirement of tangible long-lived assets in the period in which it is incurred. The liability is capitalized as part of the related long-lived asset’s carrying amount. Adjustments are made to the asset retirement obligation liability to reflect changes in the estimates of the retirement period and amount of expected cash flows, with an offsetting adjustment made to the related long-lived tangible asset. The significant assumptions used in estimating the Company's asset retirement obligations include the retirement period, cost of asset dismantlement, credit-adjusted risk-free interest rates, inflation and market risk. Over time, accretion of the liability is recognized as an operating expense and the capitalized cost is depreciated over the expected useful life of the related asset. The Company’s asset retirement obligations relate primarily to the dismantlement, removal, site reclamation and similar activities of its leased properties.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Use of Estimates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Comprehensive Income</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Total comprehensive income is presented in the Consolidated Statements of Income and Comprehensive Income and the components of accumulated comprehensive income (loss) are presented in the Consolidated Statements of Stockholders’ Equity. Comprehensive income is composed of foreign currency translation effects.</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(t)</w:t>
      </w:r>
      <w:r>
        <w:rPr>
          <w:sz w:val="20"/>
          <w:szCs w:val="20"/>
          <w:color w:val="auto"/>
        </w:rPr>
        <w:tab/>
      </w:r>
      <w:r>
        <w:rPr>
          <w:rFonts w:ascii="Times New Roman" w:cs="Times New Roman" w:eastAsia="Times New Roman" w:hAnsi="Times New Roman"/>
          <w:sz w:val="17"/>
          <w:szCs w:val="17"/>
          <w:b w:val="1"/>
          <w:bCs w:val="1"/>
          <w:i w:val="1"/>
          <w:iCs w:val="1"/>
          <w:color w:val="auto"/>
        </w:rPr>
        <w:t>Fair Value Measurements</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Company determines the fair value of its financial instruments using the fair value hierarchy, which requires an entity to maximize the use of observable inputs and minimize the use of unobservable inputs when measuring fair value.</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i w:val="1"/>
          <w:iCs w:val="1"/>
          <w:color w:val="auto"/>
        </w:rPr>
        <w:t>(u)</w:t>
        <w:tab/>
        <w:t>Investments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July 12, 2021, Lamar invested $30,000 to acquire a 20% minority interest in Vistar Media, a leading global provider of programmatic technology for the digital out-of-home sector. This investment is accounted for as an equity method investment and is included in other assets on the Consolidated Balance Sheets. For the years ended December 31, 2023, 2022 and 2021, related to this investment, the Company recorded $4,107, $4,284 and $3,384, respectively, in equity in earnings of investee on the Consolidated Statements of Income and Comprehensive Income.</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(v)</w:t>
        <w:tab/>
        <w:t>Subsequent Events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has performed an evaluation of subsequent events through the date on which the financial statements are issued.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117"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Advertising revenues: </w:t>
      </w:r>
      <w:r>
        <w:rPr>
          <w:rFonts w:ascii="Times New Roman" w:cs="Times New Roman" w:eastAsia="Times New Roman" w:hAnsi="Times New Roman"/>
          <w:sz w:val="18"/>
          <w:szCs w:val="18"/>
          <w:color w:val="auto"/>
        </w:rPr>
        <w:t>The majority of our revenues are derived from contracts for advertising space on billboard, logo and transit displays.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Contracts which do not meet the criteria of a lease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are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majority of our advertising space contracts do not meet the definition of a</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Consolidated Statements of Income and Comprehensive Income. During the years ended December 31, 2023 and 2022, we capitalized $26,349 and $25,078, respectively, of costs to fulfill contracts, which is included in other current assets on the Consolidated Balance Sheets, net of expensed costs of $26,041 and $24,546, respectively.</w:t>
      </w:r>
    </w:p>
    <w:p>
      <w:pPr>
        <w:spacing w:after="0" w:line="181"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Our other component of revenue primarily consists of production services which includes creating and printing the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copy. Revenue for production contracts are recognized under ASC 606. Contract revenues for production services are recognized upon satisfaction of the contract which is typically less than one week.</w:t>
      </w:r>
    </w:p>
    <w:p>
      <w:pPr>
        <w:spacing w:after="0" w:line="173"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Arrangements with multiple performance obligations: </w:t>
      </w:r>
      <w:r>
        <w:rPr>
          <w:rFonts w:ascii="Times New Roman" w:cs="Times New Roman" w:eastAsia="Times New Roman" w:hAnsi="Times New Roman"/>
          <w:sz w:val="18"/>
          <w:szCs w:val="18"/>
          <w:color w:val="auto"/>
        </w:rPr>
        <w:t>Our contracts with customers may include multiple performance obligations.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we allocate revenue to each performance obligation based on the relative standalone selling price. We determine standalone selling prices based on the prices charged to customers using expected cost plus margin.</w:t>
      </w:r>
    </w:p>
    <w:p>
      <w:pPr>
        <w:spacing w:after="0" w:line="173"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revenues: </w:t>
      </w:r>
      <w:r>
        <w:rPr>
          <w:rFonts w:ascii="Times New Roman" w:cs="Times New Roman" w:eastAsia="Times New Roman" w:hAnsi="Times New Roman"/>
          <w:sz w:val="18"/>
          <w:szCs w:val="18"/>
          <w:color w:val="auto"/>
        </w:rPr>
        <w:t>We record deferred revenues when cash payments are received or due in advance of our performance obligation. The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17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Practical expedients and exemptions: </w:t>
      </w:r>
      <w:r>
        <w:rPr>
          <w:rFonts w:ascii="Times New Roman" w:cs="Times New Roman" w:eastAsia="Times New Roman" w:hAnsi="Times New Roman"/>
          <w:sz w:val="18"/>
          <w:szCs w:val="18"/>
          <w:color w:val="auto"/>
        </w:rPr>
        <w:t>The Company is utilizing the following practical expedients and exemptions from ASC 606. We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sales commissions when incurred because the amortization period is one year or less. These costs are recorded within direct advertising expense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our disaggregated revenue by source for the years ended December 31, 2023, 2022 and 2021.</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Advertising</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1,877,823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1,613,554</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 Advertising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78,180</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 Advertising</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95,667</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2,110,987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2,032,140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1,787,401</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Year Ended December 31, 2023</w:t>
      </w:r>
    </w:p>
    <w:p>
      <w:pPr>
        <w:spacing w:after="0" w:line="1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completed several acquisitions of outdoor advertising assets for a total purchase price of $138,961.</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these acquisitions was accounted for under the acquisition method of accounting, and, accordingly, the accompanying consolidated financial statements include the results of operations of each acquired entity from the date of acquisition. The acquisition purchase price has been allocated to assets acquired and liabilities assumed based on fair market value estimates at the dates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LAMAR ADVERTISING COMPANY</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992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AND SUBSIDIARIES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992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992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share and per share data)</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756"/>
        </w:trPr>
        <w:tc>
          <w:tcPr>
            <w:tcW w:w="9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allocation of the purchase price in the above transactions.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4"/>
        </w:trPr>
        <w:tc>
          <w:tcPr>
            <w:tcW w:w="9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9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30,837</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Site locations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90,152</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11,061</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acquisition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11,016</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w:t>
            </w:r>
          </w:p>
        </w:tc>
      </w:tr>
      <w:tr>
        <w:trPr>
          <w:trHeight w:val="248"/>
        </w:trPr>
        <w:tc>
          <w:tcPr>
            <w:tcW w:w="9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Total acquired intangible assets for the year ended December 31, 2023 were $101,937, of which ($50) was assigned to goodwill relating to the finalization of the fair value allocation of the assets acquired and liabilities assumed from Fairway Outdoor and Standard Outdoor in the business combination completed December 9, 2022. Goodwill is not amortized for financial statement purposes and no goodwill related to 2023 acquisitions is expected to be deductible for tax purposes. The acquired intangible assets have a weighted average useful life of approximately 14 years. The intangible assets include customer lists and contracts of $11,061 (7 year weighted average useful life) and site locations of $90,152 (15 year weighted average useful life). The aggregate amortization expense related to the 2023 acquisitions for the year ended December 31, 2023 was $3,330.</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we finalized our fair value allocation of the assets acquired and liabilities assumed from Fairway Outdoor and Standard Outdoor in the business combination completed December 9, 2022. The changes to our updated fair value allocation of this business combination were considered immaterial and recorded during the year ended December 31, 2023.</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financial information for the Company gives effect to the 2023 and 2022 acquisitions as if they had occurred on January 1, 2022. These pro forma results do not purport to be indicative of the results of operations which actually would have resulted had the acquisitions occurred on such date or to project the Company’s results of operations for any future period.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9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16"/>
                <w:szCs w:val="16"/>
                <w:color w:val="auto"/>
              </w:rPr>
            </w:pPr>
          </w:p>
        </w:tc>
      </w:tr>
      <w:tr>
        <w:trPr>
          <w:trHeight w:val="236"/>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2,117,677</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2,074,229</w:t>
            </w: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490,936</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430,515</w:t>
            </w: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4.82</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34"/>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4.81</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Year Ended December 31, 2022</w:t>
      </w:r>
    </w:p>
    <w:p>
      <w:pPr>
        <w:spacing w:after="0" w:line="11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completed several acquisitions of outdoor advertising assets for a total purchase price of $479,766, net of cash acquired of $6,904. Included within this total purchase price were the acquisitions of Burkhart Advertising Inc. for an aggregate purchase price of $130,000 as well as Fairway Outdoor and Standard Outdoor for an aggregate purchase price of $92,650.</w:t>
      </w:r>
    </w:p>
    <w:p>
      <w:pPr>
        <w:spacing w:after="0" w:line="176"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Each of these acquisitions was accounted for under the acquisition method of accounting, and, accordingly, the accompanying consolidated financial statements include the results of operations of each acquired entity from the date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acquisition. The acquisition purchase price has been allocated to assets acquired and liabilities assumed based on fair market value estimates at the dates of acquisition.</w:t>
      </w:r>
    </w:p>
    <w:p>
      <w:pPr>
        <w:spacing w:after="0" w:line="16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As of December 31, 2022, our fair value allocation of the assets acquired and liabilities assumed from Fairway Outdoor and Standard Outdoor in the business combination completed December 9, 2022 was considered preliminary and subject to revision, which could result in adjustments to this allocation. The aggregate purchase price of this business combination was $92,650. In order to develop our preliminary fair values, the Company utilized asset information received from the acquired company and fair value allocation benchmarks from similar completed transactions. Our preliminary allocation of these assets includes property, plant and equipment, intangibles and goodwill of $34,066, $28,130 and $30,458, respectively. As discussed above, we finalized this fair value allocation during 2023.</w:t>
      </w:r>
    </w:p>
    <w:p>
      <w:pPr>
        <w:spacing w:after="0" w:line="18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allocation of the purchase price in the above transactions, which includes the preliminary values for a business combination completed on December 9, 2022.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9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87,312</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99,003</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Site locations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246,288</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43,339</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acquisition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(12,677)</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79,960</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(68,867)</w:t>
            </w:r>
          </w:p>
        </w:tc>
      </w:tr>
      <w:tr>
        <w:trPr>
          <w:trHeight w:val="248"/>
        </w:trPr>
        <w:tc>
          <w:tcPr>
            <w:tcW w:w="9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479,766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Total acquired intangible assets for the year ended December 31, 2022 were $391,861, of which $99,003 was assigned to goodwill. Goodwill is not amortized for financial statement purposes and $456 of goodwill related to 2022 acquisitions is expected to be deductible for tax purposes. The acquired intangible assets have a weighted average useful life of approximately 14 years. The intangible assets include customer lists and contracts of $43,339 (7 year weighted average useful life) and site locations of $246,288 (15 year weighted average useful life). The aggregate amortization expense related to the 2022 acquisitions for the year ended December 31, 2022 was approximately $14,605.</w:t>
      </w:r>
    </w:p>
    <w:p>
      <w:pPr>
        <w:spacing w:after="0" w:line="18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financial information for the Company gives effect to the 2022 and 2021 acquisitions as if they had occurred on January 1, 2021. These pro forma results do not purport to be indicative of the results of operations which actually would have resulted had the acquisitions occurred on such date or to project the Company's results of operations for any future period.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9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16"/>
                <w:szCs w:val="16"/>
                <w:color w:val="auto"/>
              </w:rPr>
            </w:pPr>
          </w:p>
        </w:tc>
      </w:tr>
      <w:tr>
        <w:trPr>
          <w:trHeight w:val="236"/>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2,063,800</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1,879,002</w:t>
            </w:r>
          </w:p>
        </w:tc>
      </w:tr>
      <w:tr>
        <w:trPr>
          <w:trHeight w:val="22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429,726</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373,476</w:t>
            </w: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4.23</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34"/>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4.23</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Non-cash Financing and Investing Activities</w:t>
      </w:r>
    </w:p>
    <w:p>
      <w:pPr>
        <w:spacing w:after="0" w:line="121"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there were no significant non-cash investing activities or significant non-cash financing activities.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Major categories of property, plant and equipment at December 31, 2023 and 2022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Estimated Life</w:t>
            </w:r>
          </w:p>
        </w:tc>
        <w:tc>
          <w:tcPr>
            <w:tcW w:w="140" w:type="dxa"/>
            <w:vAlign w:val="bottom"/>
          </w:tcPr>
          <w:p>
            <w:pPr>
              <w:spacing w:after="0"/>
              <w:rPr>
                <w:sz w:val="13"/>
                <w:szCs w:val="13"/>
                <w:color w:val="auto"/>
              </w:rPr>
            </w:pPr>
          </w:p>
        </w:tc>
        <w:tc>
          <w:tcPr>
            <w:tcW w:w="11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459,370</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10 — 39</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220,468</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structures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5 — 15</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3,285,636</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Automotive and other equipment</w:t>
            </w: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3 — 7</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143,672</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4,274,831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4,109,146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2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20" w:type="dxa"/>
            <w:vAlign w:val="bottom"/>
            <w:gridSpan w:val="6"/>
          </w:tcPr>
          <w:p>
            <w:pPr>
              <w:ind w:left="580"/>
              <w:spacing w:after="0"/>
              <w:rPr>
                <w:sz w:val="20"/>
                <w:szCs w:val="20"/>
                <w:color w:val="auto"/>
              </w:rPr>
            </w:pPr>
            <w:r>
              <w:rPr>
                <w:rFonts w:ascii="Times New Roman" w:cs="Times New Roman" w:eastAsia="Times New Roman" w:hAnsi="Times New Roman"/>
                <w:sz w:val="18"/>
                <w:szCs w:val="18"/>
                <w:color w:val="auto"/>
              </w:rPr>
              <w:t>The following is a summary of intangible assets at December 31, 2023 and 2022: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200" w:type="dxa"/>
            <w:vAlign w:val="bottom"/>
          </w:tcPr>
          <w:p>
            <w:pPr>
              <w:spacing w:after="0"/>
              <w:rPr>
                <w:sz w:val="24"/>
                <w:szCs w:val="24"/>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24"/>
                <w:szCs w:val="24"/>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42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40" w:type="dxa"/>
            <w:vAlign w:val="bottom"/>
          </w:tcPr>
          <w:p>
            <w:pPr>
              <w:spacing w:after="0"/>
              <w:rPr>
                <w:sz w:val="13"/>
                <w:szCs w:val="13"/>
                <w:color w:val="auto"/>
              </w:rPr>
            </w:pPr>
          </w:p>
        </w:tc>
        <w:tc>
          <w:tcPr>
            <w:tcW w:w="12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160" w:type="dxa"/>
            <w:vAlign w:val="bottom"/>
          </w:tcPr>
          <w:p>
            <w:pPr>
              <w:jc w:val="center"/>
              <w:ind w:right="94"/>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5"/>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 — 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731,156</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614,840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 — 15</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65,647</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Site locations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2,955,324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1,891,078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2,864,854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1,781,164</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 — 15</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40,392</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2,639,584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3,708,668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2,502,043</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2,288,807</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2,288,805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changes in the gross carrying amount of goodwill for the years ended December 31, 2023 and 2022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6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2,189,962</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5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99,003</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 adjustments and other</w:t>
            </w:r>
          </w:p>
        </w:tc>
        <w:tc>
          <w:tcPr>
            <w:tcW w:w="58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58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2,288,805</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 adjustments and other</w:t>
            </w:r>
          </w:p>
        </w:tc>
        <w:tc>
          <w:tcPr>
            <w:tcW w:w="58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8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2,288,807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800" w:type="dxa"/>
            <w:vAlign w:val="bottom"/>
            <w:vMerge w:val="restart"/>
          </w:tcPr>
          <w:p>
            <w:pPr>
              <w:jc w:val="right"/>
              <w:ind w:right="411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120" w:type="dxa"/>
            <w:vAlign w:val="bottom"/>
          </w:tcPr>
          <w:p>
            <w:pPr>
              <w:spacing w:after="0"/>
              <w:rPr>
                <w:sz w:val="24"/>
                <w:szCs w:val="24"/>
                <w:color w:val="auto"/>
              </w:rPr>
            </w:pPr>
          </w:p>
        </w:tc>
        <w:tc>
          <w:tcPr>
            <w:tcW w:w="5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5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December 31, 2023, 2022 and 2021 was $140,033, $134,256 and $114,319, respectively. The following is a summary of the estimated amortization expense for future years: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136,705</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133,235</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125,223</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121,230</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114,693</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540,348</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1,171,434</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is party to various operating leases for production facilities, vehicles and sites upon which advertising structures are built, including our billboard land leases, leases of logo structures and leases of transit advertising space. The leases expire at various dates, have varying options to renew and cancel, and may contain escalation provisions. We expense our non-variable lease payments ratably over the lease term. Also, certain of our leases contain variable lease payments based on percentage of revenue or consumer price index or other inflation-based indices. The variable lease costs are expensed in the period incurred. Due to our election not to reassess conclusions about lease identification, as part of the adoption of ASC 842, our transit agreements were accounted for as leases on January 1, 2019. As we enter into new or renew current transit agreements, those agreements will not likely meet the criteria of a lease under ASC 842, therefore they will no longer be accounted for as a lease.</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Financing lease right of use assets are amortized over the life of the lease which is recorded in depreciation and amortization on the Consolidated Statements of Income and Comprehensive Income. Interest related to financing lease liabilities is recorded in interest expense on the Consolidated Statements of Income and Comprehensive Income.</w:t>
      </w:r>
    </w:p>
    <w:p>
      <w:pPr>
        <w:spacing w:after="0" w:line="17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key estimates for our leases include (1) the discount rate used to discount the unpaid lease payment to present value and (2) lease term. Our leases generally do not include a readily determinable implicit rate, therefore, using a portfolio approach, we determine our collateralized incremental borrowing rate to discount the lease payment based on the information available at lease commencement. Our lease terms include the noncancellable period of the lease plus any additional periods covered by either a Company option to extend (or not to terminate) the lease that the Company is reasonably certain to exercise, or an option to extend the lease controlled by the lessor. The Company has determined we are not reasonably certain to exercise renewals or termination options, and as a result we use the lease’s initial stated term as the lease term for our lease population.</w:t>
      </w:r>
    </w:p>
    <w:p>
      <w:pPr>
        <w:spacing w:after="0" w:line="187"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we had base operating lease costs of $311,640 and variable operating lease costs of $60,147, for a total operating lease cost of $371,787. During the year ended December 31, 2022, we had base operating lease costs of $306,825 and variable operating lease costs of $59,651, for a total operating lease cost of $366,476. During the year ended December 31, 2021, we had base operating lease costs of $290,036 and variable lease costs of $51,628, for a total operating lease cost of $341,664. Our operating lease costs are recorded in direct advertising expenses (exclusive of depreciation and amortization). Also, for the years ended December 31, 2023, 2022 and 2021, we recorded a (gain) loss of ($295), ($824) and $241 respectively, in gain on disposition of assets related to the amendment and termination of lease agreements. Cash payments of $341,741, $307,581 and $296,460 were made reducing our operating lease liabilities for the years ended December 31, 2023, 2022 and 2021, respectively, and are included in cash flows provided by operating activities in the Consolidated Statements of Cash Flows.</w:t>
      </w:r>
    </w:p>
    <w:p>
      <w:pPr>
        <w:spacing w:after="0" w:line="19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elected the short-term lease exemption which applies to certain of our vehicle agreements. This election allows the Company to not recognize lease right of use assets or lease liabilities for agreements with a term of twelve months or less. We recorded $10,189, $7,478 and $6,184 in direct advertising expenses (exclusive of depreciation and amortization) for these agreements during the years ended December 31, 2023, 2022 and 2021,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operating leases have a weighted-average remaining lease term of 12.4 years. The weighted-average discount rate of our operating leases is 5.0%. During the years ended December 31, 2023 and 2022, we obtained $24,999 and $79,095, respectively, of leased assets in exchange for new operating lease liabilities, which includes liabilities obtained through acquisitions. Lease terminations during the year resulted in a $10,635 and $5,090 reduction to operating lease liabilities for the years ended December 31, 2023 and 2022,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is a summary of the maturities of our operating lease liabilities as of December 31, 2023:</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22"/>
        </w:trPr>
        <w:tc>
          <w:tcPr>
            <w:tcW w:w="9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261,788</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194,702</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168,285</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144,511</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122,107</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896,888</w:t>
            </w: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1,788,281</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(502,428)</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1,285,853</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2023 and 2022, we obtained no new leased assets in exchange for new financing lease liabilities. Our financing leases have a weighted-average remaining lease term of 3.9 years and a weighted-average discount rate of 3.1%. For the years ended December 31, 2023, 2022 and 2021, amortization expense of $2,853 was recorded within depreciation and amortization and interest expense of $504, $544 and $585, was recorded within interest expense, respectively, on the Consolidated Statements of Income and Comprehensive Income in relation to these financing lease liabilities. Cash payments of $1,331 were made reducing our financing lease liabilities for the years ended December 31, 2023, 2022 and 2021 and are included in cash flows used in financing activities in the Consolidated Statements of Cash Flows.</w:t>
      </w:r>
    </w:p>
    <w:p>
      <w:pPr>
        <w:spacing w:after="0" w:line="185"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 xml:space="preserve">Due to our election not to reassess conclusions about lease identification as part of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our transit agreements were accounted for as leases on January 1, 2019. As we enter into new or renew current transit agreements, those agreements do not meet the criteria of a lease under ASC 842, therefore they are no longer accounted for as a lease. For the years ended December 31, 2023, 2022 and 2021, non-lease variable transit payments were $87,688, $78,877 and $47,054, respectively. These transit expenses are recorded in direct advertising expenses (exclusive of depreciation and amortization) on the Consolidated Statements of Income and Comprehensive Income.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accrued expenses at December 31, 2023 and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4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24,601</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23,360</w:t>
            </w:r>
          </w:p>
        </w:tc>
      </w:tr>
      <w:tr>
        <w:trPr>
          <w:trHeight w:val="23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Insurance benefits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10,008</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variable lease and contract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28,117</w:t>
            </w:r>
          </w:p>
        </w:tc>
      </w:tr>
      <w:tr>
        <w:trPr>
          <w:trHeight w:val="23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12,216</w:t>
            </w:r>
          </w:p>
        </w:tc>
      </w:tr>
      <w:tr>
        <w:trPr>
          <w:trHeight w:val="230"/>
        </w:trPr>
        <w:tc>
          <w:tcPr>
            <w:tcW w:w="8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12,858</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19,291</w:t>
            </w:r>
          </w:p>
        </w:tc>
      </w:tr>
      <w:tr>
        <w:trPr>
          <w:trHeight w:val="248"/>
        </w:trPr>
        <w:tc>
          <w:tcPr>
            <w:tcW w:w="84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107,195</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117,593</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Long-term debt consists of the following at December 31, 2023 and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1"/>
                <w:szCs w:val="11"/>
                <w:color w:val="auto"/>
              </w:rPr>
            </w:pPr>
          </w:p>
        </w:tc>
        <w:tc>
          <w:tcPr>
            <w:tcW w:w="1180" w:type="dxa"/>
            <w:vAlign w:val="bottom"/>
          </w:tcPr>
          <w:p>
            <w:pPr>
              <w:jc w:val="center"/>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9"/>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1,010,956</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249,620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595,077</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543,774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543,841</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396,225</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3,370,372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3,341,127</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(250,018)</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3,119,974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3,091,109</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7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1"/>
                <w:szCs w:val="11"/>
                <w:color w:val="auto"/>
              </w:rPr>
            </w:pPr>
          </w:p>
        </w:tc>
        <w:tc>
          <w:tcPr>
            <w:tcW w:w="1180" w:type="dxa"/>
            <w:vAlign w:val="bottom"/>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6"/>
                <w:szCs w:val="16"/>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8"/>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985,799</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249,407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594,000</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543,018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542,978</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395,590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3,345,420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3,312,805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(249,785)</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3,095,042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3,063,020</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Long-term debt contractual maturities are as follows: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22"/>
                <w:szCs w:val="22"/>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9"/>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599,456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595,967</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660,996</w:t>
            </w:r>
          </w:p>
        </w:tc>
        <w:tc>
          <w:tcPr>
            <w:tcW w:w="0" w:type="dxa"/>
            <w:vAlign w:val="bottom"/>
          </w:tcPr>
          <w:p>
            <w:pPr>
              <w:spacing w:after="0"/>
              <w:rPr>
                <w:sz w:val="1"/>
                <w:szCs w:val="1"/>
                <w:color w:val="auto"/>
              </w:rPr>
            </w:pP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1,499,543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1,483,867</w:t>
            </w: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Credit Facility</w:t>
      </w:r>
    </w:p>
    <w:p>
      <w:pPr>
        <w:spacing w:after="0" w:line="11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existing senior credit facility. The Fourth Amended and Restated Credit Agreement amended and restated the Third Amended and Restated Credit Agreement dated as of May 15, 2017, as amended (the “Third Amended and Restated Credit Agreement”).</w:t>
      </w:r>
    </w:p>
    <w:p>
      <w:pPr>
        <w:spacing w:after="0" w:line="162"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color w:val="auto"/>
        </w:rPr>
        <w:t>The senior credit facility, as established by the Fourth Amended and Restated Credit Agreement (the “senior credit facility”), consists of (i) a $750,000 senior secured revolving credit facility which will mature on July 31, 2028, subject to certain conditions (see description of Amendment No. 4 below) (the “revolving credit facility”), (ii) a $600,000 senior secured Term B loan facility (the “Term B loans”) which will mature on February 6, 2027,</w:t>
      </w:r>
    </w:p>
    <w:p>
      <w:pPr>
        <w:spacing w:after="0" w:line="1" w:lineRule="exact"/>
        <w:rPr>
          <w:sz w:val="20"/>
          <w:szCs w:val="20"/>
          <w:color w:val="auto"/>
        </w:rPr>
      </w:pPr>
    </w:p>
    <w:p>
      <w:pPr>
        <w:jc w:val="both"/>
        <w:ind w:firstLine="8"/>
        <w:spacing w:after="0" w:line="252"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$350,000 senior secured Term A loan facility (the "Term A loans") which will mature on February 6, 2025, and (iv) 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 borrowings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w:t>
      </w:r>
    </w:p>
    <w:p>
      <w:pPr>
        <w:spacing w:after="0" w:line="188"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Term B loans mature on February 6, 2027 with no required amortization payments. The Term B loans bear interest at rates based on the Term Secured Overnight Financing Rate ("Term SOFR") plus a credit spread adjustment of 0.10% (Term SOFR plus such credit spread adjustment, the "Adjusted Term SOFR Rate") or the Adjusted Base Rate, at Lamar Media’s option. Term B loans bearing interest at a rate based on Term SOFR bear interest at a rate per annum equal to the Adjusted Term SOFR Rate plus 1.50%. Term B loans bearing interest at a rate based on the Adjusted Base Rate bear interest at a rate per annum equal to the Adjusted Base Rate plus 0.50%.</w:t>
      </w:r>
    </w:p>
    <w:p>
      <w:pPr>
        <w:spacing w:after="0" w:line="183"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87"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will mature on February 6, 2025 with no required amortization payments prior to maturity and bear interest at rates based on the Term SOFR ("Term SOFR Term A loans") or the Adjusted Base Rate ("Base Rate Term A loans"), at Lamar Media's option. Term SOFR Term A loans bear interest at a rate per annum equal to the Adjusted Term SOFR Rate plus 1.50% (or the Adjusted Term SOFR Rate plus 1.25% at any time the Total Debt Ratio is less than or equal to 3.25 to 1). Base Rate Term A loans bear interest at a rate per annum equal to the Adjusted Base Rate plus 0.50% (or the Adjusted Base Rate plus 0.25% at any time the total debt ratio is less than or equal to 3.25 to 1). The covenants, events of default and other terms of the senior credit facility apply to the Term A loans. Lamar Media borrowed all $350,000 in Term A loans on July 29, 2022. The entire amount of the Term A loans will be payable at maturity. Proceeds from the Term A loans were used to repay outstanding balances on the revolving credit facility and a portion of the outstanding balance on the Accounts Receivable Securitization Program.</w:t>
      </w:r>
    </w:p>
    <w:p>
      <w:pPr>
        <w:spacing w:after="0" w:line="19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 Restated Credit Agreement. All other material terms and conditions of the Fourth Amended and Restated Credit Agreement remain unchanged by Amendment No. 3.</w:t>
      </w:r>
    </w:p>
    <w:p>
      <w:pPr>
        <w:spacing w:after="0" w:line="18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On July 31, 2023, Lamar Media entered into Amendment No. 4 ("Amendment No. 4"), to the Fourth Amended and Restated Credit Agreement with certain of Lamar Media's subsidiaries as guarantors, JPMorgan Chase Bank, N.A. as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administrative agent and the lenders party thereto. Amendment No. 4 extends the maturity date of Lamar Media's $750,000 revolving credit facility such that the revolving credit facility matures July 31, 2028; provided, that, if on the date (a "Springing Maturity Test Date") that is 91 days prior to either the then scheduled maturity date of Lamar Media's Term B loans (which is currently February 6, 2027) or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Term B loans or the 3 3/4% Notes (as applicable), the revolving credit facility will mature on such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188"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Amendment No. 4 also establishes a $75,000 swingline as a sublimit of the revolving credit facility, which allows Lamar Media to borrow revolving loans on a same-day basis, in an aggregate outstanding principal amount of up to $75,000. In addition, Amendment No. 4 amends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18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December 31, 2023, there were $70,000 in outstanding borrowings under the revolving credit facility. Availability under the revolving credit facility is reduced by the amount of any letters of credit outstanding. Lamar Media had $8,834 in letters of credit outstanding as of December 31, 2023 resulting in $671,166 of availability under the revolving credit facility. Revolving credit loans may be requested under the revolving credit facility at any time prior to its maturity on July 31, 2028.</w:t>
      </w:r>
    </w:p>
    <w:p>
      <w:pPr>
        <w:spacing w:after="0" w:line="180"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terms of Lamar Media’s senior credit facility and the indentures relating to Lamar Media’s outstanding notes restrict, among other things, the ability of Lamar Advertising and Lamar Media to:</w:t>
      </w:r>
    </w:p>
    <w:p>
      <w:pPr>
        <w:spacing w:after="0" w:line="54" w:lineRule="exact"/>
        <w:rPr>
          <w:sz w:val="20"/>
          <w:szCs w:val="20"/>
          <w:color w:val="auto"/>
        </w:rPr>
      </w:pPr>
    </w:p>
    <w:p>
      <w:pPr>
        <w:ind w:left="1140" w:hanging="565"/>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repay debt;</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22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also restricted under the terms of these agreements. Under the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Advertising and Lamar Media were in compliance with all of the terms of their indentures and the senior credit facility provisions during the periods presented.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Program</w:t>
      </w:r>
    </w:p>
    <w:p>
      <w:pPr>
        <w:spacing w:after="0" w:line="1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December 18, 2018, Lamar Media entered into a $175,000 Receivable Financing Agreement (the "Receivable Financing Agreement") with its wholly-owned special purpose entities, Lamar QRS Receivables, LLC and Lamar TRS Receivables, LLC (the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18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June 24, 2022, Lamar Media and the Special Purpose Subsidiaries entered into the Sixth Amendment (the "Sixth Amendment") to the Receivables Financing Agreement. The Sixth Amendment increased the Accounts Receivable Securitization Program from $175,000 to $250,000 and extended the maturity date of the Accounts Receivable Securitization Program to July 21, 2025. Additionally, the Sixth Amendment provides for the replacement of LIBOR-based interest rate mechanics with Term SOFR based interest rate mechanics for the Accounts Receivable Securitization Program.</w:t>
      </w:r>
    </w:p>
    <w:p>
      <w:pPr>
        <w:spacing w:after="0" w:line="18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December 31, 2023, there was $250,000 outstanding aggregate borrowings under the Accounts Receivable Securitization Program. Lamar Media had no additional availability for borrowing under the Accounts Receivable Securitization Program as of December 31, 2023. The commitment fees based on the amount of unused commitments under the Accounts Receivable Securitization Program were immaterial during the year ended December 31, 2023.</w:t>
      </w:r>
    </w:p>
    <w:p>
      <w:pPr>
        <w:spacing w:after="0" w:line="18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Accounts Receivable Securitization Program will mature on July 21, 2025.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7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Consolidated Balance Sheets, (ii) our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Consolidated Statements of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 3/4% Senior Notes</w:t>
      </w:r>
    </w:p>
    <w:p>
      <w:pPr>
        <w:spacing w:after="0" w:line="11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On January 28, 2016, Lamar Media completed an institutional private placement of $400,000 aggregate principal amount of 5 3/4% Senior Notes due 2026 (the “Original 5 3/4 % Notes”). The institutional private placement resulted in net proceeds to Lamar Media of approximately $394,500.</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February 1, 2019, Lamar Media completed an institutional private placement of an additional $250,000 aggregate principal amount under its 5 3/4% Notes (the “Additional 5 3/4% Notes”, and together with the Original 5 3/4% Notes, the "5 3/4% Notes"). Other than with respect to the date of issuance, issue price and CUSIP number, the Additional 5 3/4% Notes have the same terms as the Original 5 3/4% Notes. The net proceeds after underwriting fees and expenses, was approximately $251,500.</w:t>
      </w:r>
    </w:p>
    <w:p>
      <w:pPr>
        <w:spacing w:after="0" w:line="18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On February 3, 2021, Lamar Media redeemed in full all $650,000 aggregate principal amount 5 3/4% Notes. The 5 3/4% Notes redemption was completed using the proceeds received from the 3 5/8% Notes offering completed on January 22, 2021 (as described below), together with cash on hand and borrowings under the revolving credit facility and Accounts Receivable Securitization Program. The 5 3/4% Notes were redeemed at a redemption price equal to 102.875% of the aggregate principal amount of the outstanding notes, plus accrued and unpaid interest to (but not including) the redemption date. During the year ended December 31, 2021, the Company recorded a loss on debt extinguishment of approximately $21,604 related to the note redemption, of which $18,700 was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Senior Notes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18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At any time prior to February 15, 2025, Lamar Media may redeem some or all of the 4% Notes at a price equal to 100% of the aggregate principal amount, plus accrued and unpaid interest thereon and a make-whole premium. 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3/4% Senior Notes</w:t>
      </w:r>
    </w:p>
    <w:p>
      <w:pPr>
        <w:spacing w:after="0" w:line="11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7/8% Senior Notes</w:t>
      </w:r>
    </w:p>
    <w:p>
      <w:pPr>
        <w:spacing w:after="0" w:line="11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6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At any time prior to January 15, 2024, Lamar Media may redeem some or all of the 4 7/8% Notes at a price equal to 100% of the aggregate principal amount, plus accrued and unpaid interest thereon and a make-whole premium. 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5/8% Senior Notes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the 3 5/8% Notes, at any time and from time to time, at a price equal to 103.625% of the aggregate principal amount so redeemed, plus accrued and unpaid interest thereon, with the net cash proceeds of certain public equity offerings completed before January 15, 2024 provided that following the redemption, at least 60% of the 3 5/8% Notes that were originally issued remain outstanding and any such redemption occurs within 120 days following the closing of any such public equity offering. At any time prior to January 15, 2026, Lamar Media may redeem some or all of the 3 5/8% Notes at a price equal to 100% of the aggregate principal amount, plus accrued and unpaid interest thereon and a make-whole premium. On or after January 15, 2026, Lamar Media may redeem</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Repurchase Program</w:t>
      </w:r>
    </w:p>
    <w:p>
      <w:pPr>
        <w:spacing w:after="0" w:line="1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March 16, 2020, the Company’s Board of Directors authorized Lamar Media to repurchase up to $250,000 outstanding senior or senior subordinated notes and other indebtedness outstanding from time to time under its Fourth Amended and Restated Credit Agreement. On February 23, 2023, the Board of Directors authorized the extension of the repurchase program through September 30, 2024. There were no repurchases under the program as of December 31,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(10)Asset Retirement Obligation</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asset retirement obligation includes the costs associated with the removal of its structures, resurfacing of the land and retirement cost, if applicable, related to the Company’s outdoor advertising portfolio. The following table reflects information related to our asset retirement obligations: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269,367</w:t>
            </w:r>
          </w:p>
        </w:tc>
      </w:tr>
      <w:tr>
        <w:trPr>
          <w:trHeight w:val="229"/>
        </w:trPr>
        <w:tc>
          <w:tcPr>
            <w:tcW w:w="9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w:t>
            </w:r>
          </w:p>
        </w:tc>
      </w:tr>
      <w:tr>
        <w:trPr>
          <w:trHeight w:val="230"/>
        </w:trPr>
        <w:tc>
          <w:tcPr>
            <w:tcW w:w="9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Revision in estimates</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110,321</w:t>
            </w:r>
          </w:p>
        </w:tc>
      </w:tr>
      <w:tr>
        <w:trPr>
          <w:trHeight w:val="229"/>
        </w:trPr>
        <w:tc>
          <w:tcPr>
            <w:tcW w:w="9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expense</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w:t>
            </w:r>
          </w:p>
        </w:tc>
      </w:tr>
      <w:tr>
        <w:trPr>
          <w:trHeight w:val="230"/>
        </w:trPr>
        <w:tc>
          <w:tcPr>
            <w:tcW w:w="9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Liabilities settled</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w:t>
            </w:r>
          </w:p>
        </w:tc>
      </w:tr>
      <w:tr>
        <w:trPr>
          <w:trHeight w:val="223"/>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390,442</w:t>
            </w:r>
          </w:p>
        </w:tc>
      </w:tr>
      <w:tr>
        <w:trPr>
          <w:trHeight w:val="230"/>
        </w:trPr>
        <w:tc>
          <w:tcPr>
            <w:tcW w:w="9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r>
      <w:tr>
        <w:trPr>
          <w:trHeight w:val="230"/>
        </w:trPr>
        <w:tc>
          <w:tcPr>
            <w:tcW w:w="9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Revision in estimates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r>
      <w:tr>
        <w:trPr>
          <w:trHeight w:val="230"/>
        </w:trPr>
        <w:tc>
          <w:tcPr>
            <w:tcW w:w="9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Accretion expense</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r>
      <w:tr>
        <w:trPr>
          <w:trHeight w:val="229"/>
        </w:trPr>
        <w:tc>
          <w:tcPr>
            <w:tcW w:w="9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Liabilities settled</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w:t>
            </w:r>
          </w:p>
        </w:tc>
      </w:tr>
      <w:tr>
        <w:trPr>
          <w:trHeight w:val="248"/>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397,991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Revision in estimates in December 31, 2022 of $110,321 reflects changes in cost estimates to remove structures and resurface land for structures that reside on leased land in the Company's outdoor advertising portfolio.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(11)Depreciation and Amortization</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includes all categories of depreciation and amortization on a separate line in its Consolidated Statements of Income and Comprehensive Income. The amounts of depreciation and amortization expense excluded from the following operating expenses in its Consolidated Statements of Income and Comprehensive Income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273,297</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330,357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253,850</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r>
      <w:tr>
        <w:trPr>
          <w:trHeight w:val="23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12,753</w:t>
            </w:r>
          </w:p>
        </w:tc>
      </w:tr>
      <w:tr>
        <w:trPr>
          <w:trHeight w:val="223"/>
        </w:trPr>
        <w:tc>
          <w:tcPr>
            <w:tcW w:w="70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293,423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349,449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271,294</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(12)Income Taxes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Commencing January 1, 2014, the Company began operating as a REIT for U.S. income tax purposes. Since operating as a REIT, the Company filed, and intends to continue to file, as a REIT, and its TRSs filed, and intend to continue to file, as C corporations. The Company also files tax returns in various states and countries. The Company’s state tax returns reflect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different combinations of the Company’s subsidiaries and are dependent on the connection each subsidiary has with a particular state. The following information pertains to the Company’s income taxes on a consolidated basis.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Income tax expense consists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70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federal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0" w:type="dxa"/>
            <w:vAlign w:val="bottom"/>
          </w:tcPr>
          <w:p>
            <w:pPr>
              <w:spacing w:after="0"/>
              <w:rPr>
                <w:sz w:val="1"/>
                <w:szCs w:val="1"/>
                <w:color w:val="auto"/>
              </w:rPr>
            </w:pPr>
          </w:p>
        </w:tc>
      </w:tr>
      <w:tr>
        <w:trPr>
          <w:trHeight w:val="20"/>
        </w:trPr>
        <w:tc>
          <w:tcPr>
            <w:tcW w:w="70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U.S. federal</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Year ended December 31, 2021</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federal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0" w:type="dxa"/>
            <w:vAlign w:val="bottom"/>
          </w:tcPr>
          <w:p>
            <w:pPr>
              <w:spacing w:after="0"/>
              <w:rPr>
                <w:sz w:val="1"/>
                <w:szCs w:val="1"/>
                <w:color w:val="auto"/>
              </w:rPr>
            </w:pPr>
          </w:p>
        </w:tc>
      </w:tr>
      <w:tr>
        <w:trPr>
          <w:trHeight w:val="20"/>
        </w:trPr>
        <w:tc>
          <w:tcPr>
            <w:tcW w:w="70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had income taxes payable of $36 and $4,104, respectively, which was recorded within accrued expenses on the Consolidated Balance Sheets.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U.S. and foreign components of earnings before income taxes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0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509,040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446,395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395,800</w:t>
            </w:r>
          </w:p>
        </w:tc>
      </w:tr>
      <w:tr>
        <w:trPr>
          <w:trHeight w:val="229"/>
        </w:trPr>
        <w:tc>
          <w:tcPr>
            <w:tcW w:w="70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w:t>
            </w:r>
          </w:p>
        </w:tc>
      </w:tr>
      <w:tr>
        <w:trPr>
          <w:trHeight w:val="248"/>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506,618</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456,099</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397,346</w:t>
            </w:r>
          </w:p>
        </w:tc>
      </w:tr>
      <w:tr>
        <w:trPr>
          <w:trHeight w:val="20"/>
        </w:trPr>
        <w:tc>
          <w:tcPr>
            <w:tcW w:w="70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 reconciliation of significant differences between the reported amount of income tax expense and the expected amount of income tax expense that would result from applying the U.S. federal statutory income tax rate of 21 percent to income before taxes for the 2023, 2022 and 2021 tax years is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U.S. federal statutory rate</w:t>
            </w:r>
          </w:p>
        </w:tc>
        <w:tc>
          <w:tcPr>
            <w:tcW w:w="20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Tax adjustment related to REIT</w:t>
            </w:r>
            <w:r>
              <w:rPr>
                <w:rFonts w:ascii="Times New Roman" w:cs="Times New Roman" w:eastAsia="Times New Roman" w:hAnsi="Times New Roman"/>
                <w:sz w:val="26"/>
                <w:szCs w:val="26"/>
                <w:color w:val="auto"/>
                <w:vertAlign w:val="superscript"/>
              </w:rPr>
              <w:t>(a)</w:t>
            </w: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benefit</w:t>
            </w:r>
          </w:p>
        </w:tc>
        <w:tc>
          <w:tcPr>
            <w:tcW w:w="2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 expenses not deductible for tax purposes</w:t>
            </w: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Valuation allowance</w:t>
            </w:r>
            <w:r>
              <w:rPr>
                <w:rFonts w:ascii="Times New Roman" w:cs="Times New Roman" w:eastAsia="Times New Roman" w:hAnsi="Times New Roman"/>
                <w:sz w:val="26"/>
                <w:szCs w:val="26"/>
                <w:color w:val="auto"/>
                <w:vertAlign w:val="superscript"/>
              </w:rPr>
              <w:t>(b)</w:t>
            </w: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Undistributed earnings of foreign subsidiaries</w:t>
            </w:r>
            <w:r>
              <w:rPr>
                <w:rFonts w:ascii="Times New Roman" w:cs="Times New Roman" w:eastAsia="Times New Roman" w:hAnsi="Times New Roman"/>
                <w:sz w:val="26"/>
                <w:szCs w:val="26"/>
                <w:color w:val="auto"/>
                <w:vertAlign w:val="superscript"/>
              </w:rPr>
              <w:t>(c)</w:t>
            </w:r>
          </w:p>
        </w:tc>
        <w:tc>
          <w:tcPr>
            <w:tcW w:w="2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7"/>
                <w:szCs w:val="17"/>
                <w:color w:val="auto"/>
              </w:rPr>
              <w:t>Other differences, net</w:t>
            </w:r>
            <w:r>
              <w:rPr>
                <w:rFonts w:ascii="Times New Roman" w:cs="Times New Roman" w:eastAsia="Times New Roman" w:hAnsi="Times New Roman"/>
                <w:sz w:val="26"/>
                <w:szCs w:val="26"/>
                <w:color w:val="auto"/>
                <w:vertAlign w:val="superscript"/>
              </w:rPr>
              <w:t>(d)</w:t>
            </w:r>
          </w:p>
        </w:tc>
        <w:tc>
          <w:tcPr>
            <w:tcW w:w="2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0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5"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dividend paid deduction of $107,137, $106,129 and $85,087 for the tax years ended December 31, 2023, 2022 and 2021, respectively.</w:t>
      </w:r>
    </w:p>
    <w:p>
      <w:pPr>
        <w:spacing w:after="0" w:line="59" w:lineRule="exact"/>
        <w:rPr>
          <w:rFonts w:ascii="Times New Roman" w:cs="Times New Roman" w:eastAsia="Times New Roman" w:hAnsi="Times New Roman"/>
          <w:sz w:val="16"/>
          <w:szCs w:val="16"/>
          <w:color w:val="auto"/>
        </w:rPr>
      </w:pPr>
    </w:p>
    <w:p>
      <w:pPr>
        <w:ind w:left="340" w:hanging="332"/>
        <w:spacing w:after="0" w:line="290"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2023, 2022 and 2021, a non-cash valuation allowance of $875, ($14,984) and ($1,564), respectively, was recorded to income tax expense due to our limited ability to utilize Puerto Rico and Canada deferred tax assets in future years.</w:t>
      </w:r>
    </w:p>
    <w:p>
      <w:pPr>
        <w:ind w:left="340" w:right="20" w:hanging="332"/>
        <w:spacing w:after="0" w:line="290" w:lineRule="auto"/>
        <w:tabs>
          <w:tab w:leader="none" w:pos="36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does not assert that the undistributed earnings of our Canadian subsidiaries will be permanently reinvested. For the years ended December 31, 2023, 2022 and 2021, we recognized a deferred tax (benefit) expense of ($95), ($84) and $292, respectively, for future foreign withholding taxes related to undistributed earnings.</w:t>
      </w:r>
    </w:p>
    <w:p>
      <w:pPr>
        <w:jc w:val="both"/>
        <w:ind w:left="340" w:hanging="332"/>
        <w:spacing w:after="0" w:line="263" w:lineRule="auto"/>
        <w:tabs>
          <w:tab w:leader="none" w:pos="39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Section 1031.01(b)(10) of the 2011 Puerto Rico Code, net operating losses and the tax basis of any other assets shall be reduced for forgiveness of debt to the extent by which the taxpayer is insolvent. As a result, a non-cash expense of $15,201 was recorded to income tax expense for the reduction of Puerto Rico deferred tax assets for the year ended December 31, 2022. The Puerto Rico income tax withholding rate applicable on the accrued interest of the debt is 29%. As a result, a cash expense of $5,068 was recorded to income tax expense.</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tax effect of temporary differences that give rise to significant portions of the deferred tax assets and liabilities are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credit carry forwards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Charitable contributions carry forward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w:t>
            </w: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r>
      <w:tr>
        <w:trPr>
          <w:trHeight w:val="223"/>
        </w:trPr>
        <w:tc>
          <w:tcPr>
            <w:tcW w:w="8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 not deducted for tax purposes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r>
      <w:tr>
        <w:trPr>
          <w:trHeight w:val="230"/>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Undistributed earnings of foreign subsidiaries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23"/>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(12,072)</w:t>
            </w:r>
          </w:p>
        </w:tc>
      </w:tr>
      <w:tr>
        <w:trPr>
          <w:trHeight w:val="223"/>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(9,651)</w:t>
            </w:r>
          </w:p>
        </w:tc>
      </w:tr>
      <w:tr>
        <w:trPr>
          <w:trHeight w:val="21"/>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2023, we have approximately $45,589 of U.S. net operating loss carry forwards to offset future taxable income. Of this amount, $12,399 is subject to Internal Revenue Code §382 limitation but will be available to be fully utilized by no later than 2027. These carry forwards expire between 2030 through 2037. In addition, we have $1,205 of various credits available to offset future U.S. federal income tax.</w:t>
      </w:r>
    </w:p>
    <w:p>
      <w:pPr>
        <w:spacing w:after="0" w:line="17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As of December 31, 2023, we have approximately $1,313,978 of state net operating loss carry forwards before valuation allowances. These state net operating losses are available to reduce future taxable income and expire at various times and amounts. In addition, we have $64 of various credits available to offset future state income tax. There was no valuation allowance related to state net operating losses as of December 31, 2023 and 2022. There was no net change in the total state valuation allowance for the year ended December 31, 2023 and a net decrease in the total state valuation allowance of $334 for the year ended December 31, 2022.</w:t>
      </w:r>
    </w:p>
    <w:p>
      <w:pPr>
        <w:spacing w:after="0" w:line="18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of December 31, 2023, we had approximately $4,512 of Canadian net operating loss carry forwards before valuation allowances. These Canadian net operating losses are available to offset future taxable income. These carry forwards expire between 2040 and 2043.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2023, we had approximately $9,092 of Puerto Rico net operating loss carry forwards before valuation allowances. These Puerto Rico net operating losses are available to offset future taxable income. These carry forwards expire in 2032 and 2033. In addition, we have $688 of alternative minimum tax credits available to offset future Puerto Rico income tax.</w:t>
      </w:r>
    </w:p>
    <w:p>
      <w:pPr>
        <w:spacing w:after="0" w:line="176"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in those jurisdictions during the periods in which those temporary differences become deductible. Management considers the scheduled reversal of deferred tax liabilities (including the impact of available carry back and carry forward periods), projected future taxable income, and tax-planning strategies in making this assessment. In order to fully realize the deferred tax assets, the Company will need to generate future taxable income before the expiration of the carry forwards governed by the tax code. Based on the current level of pretax earnings, the Company will not generate the minimum amount of future taxable income to support the realization of the deferred tax assets. As a result, management has determined that a valuation allowance related to Puerto Rico and Canada net operating loss carry forwards and other deferred tax assets is necessary. The valuation allowance for these deferred tax assets as of December 31, 2023 and 2022 was $5,333 and $4,435, respectively. The net change in the total valuation allowance for the years ended December 31, 2023 and 2022 was an increase (decrease) of $898 and ($14,664), respectively. The amount of the deferred tax asset considered realizable, however, could be adjusted in the near term if estimates of future taxable income during the carry forward period increase.</w:t>
      </w:r>
    </w:p>
    <w:p>
      <w:pPr>
        <w:spacing w:after="0" w:line="19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has accumulated undistributed earnings generated by our foreign subsidiaries of approximately $15,277. Management does not designate these earnings as permanently reinvested and has recognized a deferred tax liability of approximately $764 related to foreign withholding taxes on these earnings. We have recognized a current year tax benefit of $95 related to 2023 earnings.</w:t>
      </w:r>
    </w:p>
    <w:p>
      <w:pPr>
        <w:spacing w:after="0" w:line="174" w:lineRule="exact"/>
        <w:rPr>
          <w:sz w:val="20"/>
          <w:szCs w:val="20"/>
          <w:color w:val="auto"/>
        </w:rPr>
      </w:pPr>
    </w:p>
    <w:p>
      <w:pPr>
        <w:jc w:val="both"/>
        <w:ind w:right="20" w:firstLine="567"/>
        <w:spacing w:after="0" w:line="284" w:lineRule="auto"/>
        <w:rPr>
          <w:sz w:val="20"/>
          <w:szCs w:val="20"/>
          <w:color w:val="auto"/>
        </w:rPr>
      </w:pPr>
      <w:r>
        <w:rPr>
          <w:rFonts w:ascii="Times New Roman" w:cs="Times New Roman" w:eastAsia="Times New Roman" w:hAnsi="Times New Roman"/>
          <w:sz w:val="18"/>
          <w:szCs w:val="18"/>
          <w:color w:val="auto"/>
        </w:rPr>
        <w:t xml:space="preserve">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provide for uncertain tax positions, and the related interest, and adjust recognized tax benefits and accrued interest accordingly. A reconciliation of the beginning and ending amount of unrecognized tax benefits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w:t>
            </w:r>
          </w:p>
        </w:tc>
      </w:tr>
      <w:tr>
        <w:trPr>
          <w:trHeight w:val="20"/>
        </w:trPr>
        <w:tc>
          <w:tcPr>
            <w:tcW w:w="9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benefits at December 31, 2023 is $4,432 of tax benefits that, if recognized in future periods, would impact our effective tax rate. During the years ended December 31, 2023 and 2022, we recognized interest and penalties of $76 and $212, respectively, as a component of income tax expense in connection with our liabilities related to uncertain tax positions.</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Within the next twelve months, we expect to decrease our unrecognized tax benefits by approximately $1,314 as a result of the expiration of statute of limitations.</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U.S. and nearly all states. In addition, the Company is subject to income taxes in Canada and the Commonwealth of Puerto Rico. We are no longer subject to U.S federal income tax examinations by tax authorities for years prior to 2020, or for any U.S. state income tax audit prior to 2017. With respect to Canada and Puerto Rico, we are no longer subject to income tax audits for years before 2020 and 2019,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(13)Related Party Transactions</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Affiliates, as used within these statements, are persons or entities that are affiliated with Lamar Advertising Company or its subsidiaries through common ownership and directorate control.</w:t>
      </w:r>
    </w:p>
    <w:p>
      <w:pPr>
        <w:spacing w:after="0" w:line="162"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RTC Holdings, LLC (“RTC”), a telecommunications company, is 100% owned by entities owned by members of the Reilly family. Entities owned by Sean E. Reilly, President and Chief Executive Officer of the Company; Kevin P. Reilly, Jr., Executive Chairman of the Board of Directors; and members of their respective immediate families hold a majority stake in RTC of approximately 89%. The Reilly Family, LLC, which is owned by Sean E. Reilly, Kevin P. Reilly, Jr., members of our Board of Directors Anna Reilly and Wendell Reilly, and entities owned by each of them and members of their respective immediate families, holds the remaining minority stake in RTC of approximately 11%. On May 31, 2019, RTC acquired EATELCORP, LLC (“EATEL”) and its subsidiaries. EATEL provides phone and internet services to consumers and businesses in Louisiana. EATEL also provides data back-up and recovery services to businesses. During the years ended December 31, 2023 and 2022, the Company was a customer of EATEL for data back-up and recovery services. The aggregate amount paid by the Company to EATEL for such services was $84 and $228 for the years ended December 31, 2023 and 2022, respectively. The Company was also contracted by EATEL to provide advertising services in the aggregate amount of $206 and $154 for the years ended December 31, 2023 and 2022, respectively.</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had $274 and $158 receivables from employees or executive officers at December 31, 2023 and 2022, respectively.</w:t>
      </w:r>
    </w:p>
    <w:p>
      <w:pPr>
        <w:spacing w:after="0" w:line="22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July 12, 2021, Lamar invested $30,000 to acquire a 20% minority interest in Vistar Media, a leading global developer of programmatic technology for the digital out-of-home sector. For the years ended December 31, 2023, 2022 and 2021, the Company recognized revenue of $12,050, $13,074 and $10,586, respectively, from advertisements generated through Vistar's programmatic technology platform. We also incurred expenses of $1,134, $1,167 and $880 related to these advertisements for the years ended December 31, 2023, 2022 and 2021,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(14)Stockholders’ Equity</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On July 16, 1999, the Board of Directors designated 5,720 shares of the 1,000,000 shares of previously undesignated preferred stock, par value $.001, as Series AA preferred stock, which shares were subsequently exchanged on a one for one basis in the REIT conversion. The Series AA preferred stock ranks senior to the Class A common stock and Class B common stock with respect to dividends and upon liquidation. Holders of Series AA preferred stock are entitled to receive, on a pari passu basis, dividends at the rate of $15.95 per share per quarter when, as and if declared by the Board of Directors. The Series AA preferred stock is entitled to receive, on a pari passu basis, $638 plus a further amount equal to any dividend accrued and unpaid to the date of distribution before any payments are made or assets distributed to the Class A common stock or Class B stock upon voluntary or involuntary liquidation, dissolution or winding up of the Company. The liquidation value of the outstanding Series AA preferred stock at December 31, 2023 was $3,649. The Series AA preferred stock is entitled to one vote per share.</w:t>
      </w:r>
    </w:p>
    <w:p>
      <w:pPr>
        <w:spacing w:after="0" w:line="192"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All of the outstanding shares of common stock are fully paid and nonassessable. In the event of the liquidation or dissolution of the Company, following any required distribution to the holders of outstanding shares of preferred stock, the holders of common stock are entitled to share pro rata in any balance of the corporate assets available for distribution to them. The Company may pay dividends if, when and as declared by the Board of Directors from funds legally available therefore, subject to the restrictions set forth in the Company’s existing indentures and the senior credit facility. Subject to the preferential rights of the holders of any class of preferred stock, holders of shares of common stock are entitled to receive such dividends as may be declared by the Company’s Board of Directors out of funds legally available for such purpose. No dividend may be declared or paid in cash or property on any share of either class of common stock unless simultaneously the same dividend is declared or paid on each share of the other class of common stock, provided that, in the event of stock dividends, holders of a specific class of common stock shall be entitled to receive only additional shares of such class.</w:t>
      </w:r>
    </w:p>
    <w:p>
      <w:pPr>
        <w:spacing w:after="0" w:line="19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rights of the Class A and Class B common stock are equal in all respects, except holders of Class B common stock have ten votes per share on all matters in which the holders of common stock are entitled to vote and holders of Class A common stock have one vote per share on such matters. The Class B common stock will convert automatically into Class 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upon the sale or transfer to persons other than permitted transferees (as defined in the Company’s certificate of incorporation, as amended).</w:t>
      </w:r>
    </w:p>
    <w:p>
      <w:pPr>
        <w:spacing w:after="0" w:line="225"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June 21, 2021, the Company entered into an equity distribution agreement (the "2021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$400,000, through the Sales Agents as either agents or principals.</w:t>
      </w:r>
    </w:p>
    <w:p>
      <w:pPr>
        <w:spacing w:after="0" w:line="18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2021 Sales Agreement and may at any time suspend solicitations and offers under the 2021 Sales Agreement.</w:t>
      </w:r>
    </w:p>
    <w:p>
      <w:pPr>
        <w:spacing w:after="0" w:line="183"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As of December 31, 2023, no shares of our Class A common stock have been sold under the 2021 Sales Agreement and accordingly $400,000 remained available to be sold under the 2021 Sales Agreement as of December 31, 2023.</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June 21, 2021, the Company filed an automatically effective shelf registration statement that allows Lamar Advertising to offer and sell an indeterminate amount of additional shares of its Class A common stock. As of December 31, 2023, the Company did not issue any shares under this shelf registration.</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March 16, 2020, the Company’s Board of Directors authorized the repurchase of up to $250,000 of the Company’s Class A common stock. On February 23, 2023, the Board of Directors authorized the extension of the repurchase program through September 30, 2024. There were no repurchases under the program as of December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(15)Stock Compensation Plans</w:t>
      </w:r>
    </w:p>
    <w:p>
      <w:pPr>
        <w:spacing w:after="0" w:line="119"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Incentive Plan. </w:t>
      </w:r>
      <w:r>
        <w:rPr>
          <w:rFonts w:ascii="Times New Roman" w:cs="Times New Roman" w:eastAsia="Times New Roman" w:hAnsi="Times New Roman"/>
          <w:sz w:val="18"/>
          <w:szCs w:val="18"/>
          <w:color w:val="auto"/>
        </w:rPr>
        <w:t>Lamar’s 1996 Equity Incentive Plan, as amended, (the “1996 Plan”) has reserved 17.5 million shares of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for issuance to directors and employees, including shares underlying granted options and common stock reserved for issuance under its performance-based incentive and LTIP Unit programs. Options granted under the 1996 Plan expire ten years from the grant date with vesting terms ranging from three to five years which primarily includes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8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 xml:space="preserve">In February 2013, the 1996 Plan was amended to eliminate the provision that limited the amount of Class A common stock, including shares retained from an award, that could be withheld to satisfy tax withholding obligations to the minimum tax obligations required by law (except with respect to option awards).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Company is required to classify the awards affected by the amendment as liability-classified awards at fair value each period prior to their settlement. As of December 31, 2023 and 2022, the Company recorded a liability, in accrued expenses, of $7,936 and $12,216, respectively, related to its equity incentive awards affected by this amendment.</w:t>
      </w:r>
    </w:p>
    <w:p>
      <w:pPr>
        <w:spacing w:after="0" w:line="18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use a Black-Scholes-Merton option pricing model to estimate the fair value of share-based awards. The Black-Scholes-Merton option pricing model incorporates various highly subjective assumptions, including expected term and expected volatility. We have reviewed our historical pattern of option exercises and have determined that meaningful differences in option exercise activity existed among vesting schedules. Therefore, for all stock options granted after January 1, 2006, we have categorized these awards into two groups of vesting 1) 5-year cliff vest and 2) 4-year graded vest, for valuation purposes. We have determined there were no meaningful differences in employee activity under our ESPP due to the nature of the plan.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estimate the expected term of options granted using an implied life derived from the results of a hypothetical mid-point settlement scenario, which incorporates our historical exercise, expiration and post-vesting employment termination patterns, while accommodating for partial life cycle effects. We believe these estimates will approximate future behavior.</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estimate the expected volatility of our Class A common stock at the grant date using a blend of 90% historical volatility of our Class A common stock and 10% implied volatility of publicly traded options with maturities greater than six months on our Class A common stock as of the option grant date. Our decision to use a blend of historical and implied volatility was based upon the volume of actively traded options on our common stock and our belief that historical volatility alone may not be completely representative of future stock price trends.</w:t>
      </w:r>
    </w:p>
    <w:p>
      <w:pPr>
        <w:spacing w:after="0" w:line="18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Our risk-free interest rate assumption is determined using the Federal Reserve nominal rates for U.S. Treasury zero-coupon bonds with maturities similar to those of the expected term of the award being valued. We assumed an expected dividend yield of 5%.</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estimate option forfeitures at the time of grant and periodically revise those estimates in subsequent periods if actual forfeitures differ from those estimates. We record stock based compensation expense only for those awards expected to vest using an estimated forfeiture rate based on our historical forfeiture data.</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option-pricing model with the following weighted-average assumptions used: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Year</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Risk Free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0" w:type="dxa"/>
            <w:vAlign w:val="bottom"/>
          </w:tcPr>
          <w:p>
            <w:pPr>
              <w:spacing w:after="0"/>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Volatility</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Lives</w:t>
            </w:r>
          </w:p>
        </w:tc>
        <w:tc>
          <w:tcPr>
            <w:tcW w:w="0" w:type="dxa"/>
            <w:vAlign w:val="bottom"/>
          </w:tcPr>
          <w:p>
            <w:pPr>
              <w:spacing w:after="0"/>
              <w:rPr>
                <w:sz w:val="1"/>
                <w:szCs w:val="1"/>
                <w:color w:val="auto"/>
              </w:rPr>
            </w:pPr>
          </w:p>
        </w:tc>
      </w:tr>
      <w:tr>
        <w:trPr>
          <w:trHeight w:val="229"/>
        </w:trPr>
        <w:tc>
          <w:tcPr>
            <w:tcW w:w="55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Information regarding stock options under the 1996 Plan for the year ended December 31, 2023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7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7140" w:type="dxa"/>
            <w:vAlign w:val="bottom"/>
          </w:tcPr>
          <w:p>
            <w:pPr>
              <w:spacing w:after="0"/>
              <w:rPr>
                <w:sz w:val="11"/>
                <w:szCs w:val="11"/>
                <w:color w:val="auto"/>
              </w:rPr>
            </w:pPr>
          </w:p>
        </w:tc>
        <w:tc>
          <w:tcPr>
            <w:tcW w:w="1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90"/>
        </w:trPr>
        <w:tc>
          <w:tcPr>
            <w:tcW w:w="7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23"/>
        </w:trPr>
        <w:tc>
          <w:tcPr>
            <w:tcW w:w="7140" w:type="dxa"/>
            <w:vAlign w:val="bottom"/>
            <w:tcBorders>
              <w:bottom w:val="single" w:sz="8" w:color="CFF0F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beginning of year</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410,900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Expired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end of year</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0"/>
        </w:trPr>
        <w:tc>
          <w:tcPr>
            <w:tcW w:w="714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At December 31, 2023 there was $2,784 of unrecognized compensation cost related to stock options granted which is expected to be recognized over a weighted-average period of 1.72 years.</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Shares available for future stock option, LTIP Units and restricted share grants to employees and directors under existing plans were 1,701,476 at December 31, 2023. The aggregate intrinsic value of options outstanding as of December 31, 2023 was $8,941 and the aggregate intrinsic value of options exercisable was $7,248. Total intrinsic value of options exercised was $1,830 for the year ended December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Information regarding LTIP Units under the 1996 Plan for the year ended December 31, 2023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300" w:type="dxa"/>
            <w:vAlign w:val="bottom"/>
          </w:tcPr>
          <w:p>
            <w:pPr>
              <w:spacing w:after="0"/>
              <w:rPr>
                <w:sz w:val="12"/>
                <w:szCs w:val="12"/>
                <w:color w:val="auto"/>
              </w:rPr>
            </w:pPr>
          </w:p>
        </w:tc>
        <w:tc>
          <w:tcPr>
            <w:tcW w:w="15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28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6"/>
        </w:trPr>
        <w:tc>
          <w:tcPr>
            <w:tcW w:w="830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8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beginning of year</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0" w:type="dxa"/>
            <w:vAlign w:val="bottom"/>
          </w:tcPr>
          <w:p>
            <w:pPr>
              <w:spacing w:after="0"/>
              <w:rPr>
                <w:sz w:val="1"/>
                <w:szCs w:val="1"/>
                <w:color w:val="auto"/>
              </w:rPr>
            </w:pPr>
          </w:p>
        </w:tc>
      </w:tr>
      <w:tr>
        <w:trPr>
          <w:trHeight w:val="229"/>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end of year</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176,000</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0" w:type="dxa"/>
            <w:vAlign w:val="bottom"/>
          </w:tcPr>
          <w:p>
            <w:pPr>
              <w:spacing w:after="0"/>
              <w:rPr>
                <w:sz w:val="1"/>
                <w:szCs w:val="1"/>
                <w:color w:val="auto"/>
              </w:rPr>
            </w:pPr>
          </w:p>
        </w:tc>
      </w:tr>
      <w:tr>
        <w:trPr>
          <w:trHeight w:val="45"/>
        </w:trPr>
        <w:tc>
          <w:tcPr>
            <w:tcW w:w="830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8300" w:type="dxa"/>
            <w:vAlign w:val="bottom"/>
            <w:tcBorders>
              <w:top w:val="single" w:sz="8" w:color="CCEEFF"/>
              <w:bottom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at end of year</w:t>
            </w:r>
          </w:p>
        </w:tc>
        <w:tc>
          <w:tcPr>
            <w:tcW w:w="14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88.49</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At December 31, 2023 there was $603 of unrecognized compensation cost related to LITP Units granted which is expected to be recognized in the first half of 2024.</w:t>
      </w:r>
    </w:p>
    <w:p>
      <w:pPr>
        <w:spacing w:after="0" w:line="16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fair value of LTIP Units granted and vested as of December 31, 2023 was $9,021 and $7,787, respectively, based on the weighted average grant date fair value per unit.</w:t>
      </w:r>
    </w:p>
    <w:p>
      <w:pPr>
        <w:spacing w:after="0" w:line="160"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Purchase Plan. </w:t>
      </w:r>
      <w:r>
        <w:rPr>
          <w:rFonts w:ascii="Times New Roman" w:cs="Times New Roman" w:eastAsia="Times New Roman" w:hAnsi="Times New Roman"/>
          <w:sz w:val="18"/>
          <w:szCs w:val="18"/>
          <w:color w:val="212529"/>
        </w:rPr>
        <w:t>On May 30, 2019, our shareholders approved Lamar Advertising’s 2019 Employee Stock Purchase Plan (the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ESPP”). The number of shares of Class A common stock available for issuance under the 2019 ESPP was automatically increased by 87,327 shares on January 1, 2023 pursuant to the automatic increase provisions of the 2019 ESPP.</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2019 ESPP share activity for the year ended December 31,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3"/>
        </w:trPr>
        <w:tc>
          <w:tcPr>
            <w:tcW w:w="992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January 1, 2023</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301,971</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shares reserved under 2019 ESPP</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87,327</w:t>
            </w:r>
          </w:p>
        </w:tc>
      </w:tr>
      <w:tr>
        <w:trPr>
          <w:trHeight w:val="23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(147,006)</w:t>
            </w: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December 31, 2023</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242,292</w:t>
            </w:r>
          </w:p>
        </w:tc>
      </w:tr>
      <w:tr>
        <w:trPr>
          <w:trHeight w:val="21"/>
        </w:trPr>
        <w:tc>
          <w:tcPr>
            <w:tcW w:w="9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Performance-based compensation. </w:t>
      </w:r>
      <w:r>
        <w:rPr>
          <w:rFonts w:ascii="Times New Roman" w:cs="Times New Roman" w:eastAsia="Times New Roman" w:hAnsi="Times New Roman"/>
          <w:sz w:val="18"/>
          <w:szCs w:val="18"/>
          <w:color w:val="auto"/>
        </w:rPr>
        <w:t>Unrestricted shares of our Class A common stock may be awarded to key officers, employees and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1996 Plan based on certain Company performance measures for fiscal year 2023. The number of shares to be issued, if any, are generally dependent on the level of achievement of these performance measures as determined by the Company’s Compensation Committee based on our 2023 results and are issued in the first half of 2024. The shares subject to these awards generally can range from a minimum of 0% to a maximum of 100% of the target number of shares depending on the level at which the goals are attained. Based on the Company’s performance measures achieved through December 31, 2023, the Company recorded $11,677, $11,545 and $29,324 as stock-based compensation expense related to these agreements for the years ended December 31, 2023, 2022 and 2021, respectively.</w:t>
      </w:r>
    </w:p>
    <w:p>
      <w:pPr>
        <w:spacing w:after="0" w:line="183"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LTIP Units. </w:t>
      </w:r>
      <w:r>
        <w:rPr>
          <w:rFonts w:ascii="Times New Roman" w:cs="Times New Roman" w:eastAsia="Times New Roman" w:hAnsi="Times New Roman"/>
          <w:sz w:val="18"/>
          <w:szCs w:val="18"/>
          <w:color w:val="auto"/>
        </w:rPr>
        <w:t>In addition to performance-based compensation, the Company may issue LTIP Units of the OP, a subsidiary of the Company,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employees and directors under the 1996 Plan. Such LTIP Units are subject to vesting and forfeiture conditions based on performance criteria approved by the Compensation Committee, which mirrors the performance criteria applicable to the Company's performance-based compensation, as described above. LTIP Units are a class of units intended to qualify as "profits interests" of the OP. The LTIP Units convert into Common Units of the OP upon the occurrence of certain events. Common Units are redeemable by the holder for shares of the Company's Class A common stock after a holding period of twelve months, or may be paid out in cash at the option of the general partner of the OP. As of December 31, 2023, the OP issued a total of 176,000 LTIP Units to the Company's executive officers, of which 88,000 LTIP units have vested. For the years ended December 31, 2023 and 2022, the Company recorded $5,347 and $5,897, respectively, as stock-based compensation expense related to these LTIP Units.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(16)Benefit Plans</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 sponsors a partially self-insured group health insurance program. The Company is obligated to pay all claims under the program, which are in excess of premiums, up to program limits. The Company is also self-insured with respect to its income disability benefits and against casualty losses on advertising structures. Amounts for expected losses, including a provision for losses incurred but not reported, is included in accrued expenses in the accompanying consolidated financial statements. As of December 31, 2023, the Company maintained $5,537 in letters of credit with a bank to meet requirements of the Company’s worker’s compensation and general liability insurance carrier.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Savings and Profit Sharing Plan</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 sponsors The Lamar Corporation Savings and Profit Sharing Plan covering eligible employees who have completed one year of service and are at least 21 years of age. The Company has the option to match 50% of employees’ contributions up to 5% of eligible compensation. Employees can contribute up to 100% of compensation. Full vesting on the Company’s matched contributions occurs after three years for contributions made after January 1, 2002. Annually, at the Company’s discretion, an additional profit sharing contribution may be made on behalf of each eligible employee. The Company matched contributions of $7,265, $6,780 and $5,811 for the years ended December 31, 2023, 2022 and 2021,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21"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sponsors a Deferred Compensation Plan for the benefit of certain of its board-elected officers who meet specific age and years of service and other criteria. Officers that have attained the age of 30 and have a minimum of 10 years of service to the Company and satisfy additional eligibility guidelines are eligible for annual contributions to the plan generally ranging from $3 to $8, depending on the employee’s length of service. The Company’s contributions to the plan are maintained in a rabbi trust and, accordingly, the assets and liabilities of the plan are reflected in the balance sheet of the Company in other assets and other liabilities. Upon termination, death or disability, participating employees are eligible to receive an amount equal to the fair market value of the assets in the employee’s deferred compensation account. For the years ended December 31, 2023, 2022 and 2021, the Company contributed $1,880, $1,637 and $1,540, respectively.</w:t>
      </w:r>
    </w:p>
    <w:p>
      <w:pPr>
        <w:spacing w:after="0" w:line="18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On December 8, 2005, the Company’s Board of Directors approved an amendment to the Lamar Deferred Compensation Plan in order to (1) to comply with the requirements of Section 409A of the Internal Revenue Code (“Section 409A”) applicable to deferred compensation and (2) to reflect changes in the administration of the plan. The Company’s Board of Directors also approved the adoption of a grantor trust pursuant to which amounts may be set aside, but remain subject to claims of the Company’s creditors, for payments of liabilities under the new plan, including amounts contributed under the old plan. The plan was further amended in August 2007 to make certain amendments to reflect Section 409A regulations issued on April 10, 2007. An additional clarifying amendment was made to the plan in December 2013.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(17)Commitment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1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off balance sheet commitments consist of guaranteed minimum payments to local transit municipalities and airport authorities for agreements which entitle us to rent advertising space to customers, in airports and on buses, benches or shelters. Also included are other contractual agreements that occur in the ordinary course of business which do not meet the criteria of a lease under ASC 842. The following is a summary of the minimum payments related to these agreements.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49,520</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43,533</w:t>
            </w:r>
          </w:p>
        </w:tc>
      </w:tr>
      <w:tr>
        <w:trPr>
          <w:trHeight w:val="23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19,855</w:t>
            </w:r>
          </w:p>
        </w:tc>
      </w:tr>
      <w:tr>
        <w:trPr>
          <w:trHeight w:val="229"/>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w:t>
            </w:r>
          </w:p>
        </w:tc>
      </w:tr>
      <w:tr>
        <w:trPr>
          <w:trHeight w:val="234"/>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19"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Company is involved in various claims and legal actions arising in the ordinary course of business. In the opinion of management, the ultimate disposition of these matters will not have a material adverse effect on the Company’s consolidated financial position, results of operations, or liquidity.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(18)Distribution Restrictions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restricted under both the terms of the indentures relating to Lamar Media’s outstanding notes and by the terms of the senior credit facility. As of December 31, 2023 and 2022, Lamar Media was permitted under the terms of its outstanding senior subordinated and senior notes to make transfers to Lamar Advertising in the form of cash dividends, loans or advances in amounts up to $4,438,406 and $4,187,593, respectively.</w:t>
      </w:r>
    </w:p>
    <w:p>
      <w:pPr>
        <w:spacing w:after="0" w:line="18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As of December 31, 2023, the senior credit facility allows Lamar Media to make transfers to Lamar Advertising in any taxable year up to the amount of Lamar Advertising’s taxable income (without any deduction for dividends paid). In addition, as of December 31, 2023, transfers to Lamar Advertising are permitted under the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December 31, 2023 and 2022, the total debt ratio was less than 7.0 to 1 and Lamar Media’s secured debt ratio was less than 4.5 to 1, and the available cumulative credit was $3,188,886 and $2,938,073,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(19)Fair Value of Financial Instruments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At December 31, 2023 and 2022,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Investments and initial recognition of asset retirement obligations are reported at fair values. Fair values for investments held at cost are not readily available, but are estimated to approximate fair value. The estimated fair value of the Company’s long-term debt (including current maturities) was $3,206,117, which is less than both the gross and carrying amount of $3,370,372 as of December 31, 2023. The majority of the fair value is determined using observed prices of publicly traded debt (level 1 in the fair value hierarchy) and the remaining is valued based on quoted prices for similar debt (level 2 in the fair value hierarchy).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(20)Information about Geographic Areas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Revenues from external customers attributable to foreign countries totaled $30,568, $29,465 and $24,354 for the years ended December 31, 2023, 2022 and 2021, respectively. Net carrying value of long-lived assets located in foreign countries totaled $13,930 and $11,763 as of December 31, 2023 and 2022, respectively. All other revenues from external customers and long-lived assets relate to domestic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New Accounting Pronouncements</w:t>
      </w:r>
    </w:p>
    <w:p>
      <w:pPr>
        <w:spacing w:after="0" w:line="227"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which provides guidance on the recognition and measurement of contract assets and contract liabilities acquired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At the acquisition date, the acquirer should account for the related revenue contracts as if the acquirer had originated the contracts. The guidance also provides certain practical expedients for acquirers when recognizing and measuring acquired contract assets and contract liabilities from revenue contracts in a business combination. This guidance is effective for public entities as of December 15, 2022. The adoption of this guidance did not have a material impact on the Company's consolidated financial statements.</w:t>
      </w:r>
    </w:p>
    <w:p>
      <w:pPr>
        <w:spacing w:after="0" w:line="18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Companies to disclose disaggregated information related to the effective tax rate reconciliation and income taxes paid. This guidance is effective for public entities as of December 15, 2024. We do not anticipate the adoption of this guidance will have a material impact on the Company's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37"/>
        </w:trPr>
        <w:tc>
          <w:tcPr>
            <w:tcW w:w="5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4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3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ind w:right="376"/>
              <w:spacing w:after="0" w:line="137"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3"/>
        </w:trPr>
        <w:tc>
          <w:tcPr>
            <w:tcW w:w="56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120" w:type="dxa"/>
            <w:vAlign w:val="bottom"/>
            <w:shd w:val="clear" w:color="auto" w:fill="CFF0FC"/>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20" w:type="dxa"/>
            <w:vAlign w:val="bottom"/>
            <w:shd w:val="clear" w:color="auto" w:fill="CFF0FC"/>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20" w:type="dxa"/>
            <w:vAlign w:val="bottom"/>
            <w:shd w:val="clear" w:color="auto" w:fill="CFF0FC"/>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14,946</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Real Estate and Accumulated Depreciation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r>
              <w:rPr>
                <w:rFonts w:ascii="Times New Roman" w:cs="Times New Roman" w:eastAsia="Times New Roman" w:hAnsi="Times New Roman"/>
                <w:sz w:val="23"/>
                <w:szCs w:val="23"/>
                <w:b w:val="1"/>
                <w:bCs w:val="1"/>
                <w:color w:val="auto"/>
                <w:vertAlign w:val="superscript"/>
              </w:rPr>
              <w:t>(1)</w:t>
            </w:r>
          </w:p>
        </w:tc>
        <w:tc>
          <w:tcPr>
            <w:tcW w:w="1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Encumbrances</w:t>
            </w:r>
          </w:p>
        </w:tc>
        <w:tc>
          <w:tcPr>
            <w:tcW w:w="148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Initial Cost</w:t>
            </w:r>
            <w:r>
              <w:rPr>
                <w:rFonts w:ascii="Times New Roman" w:cs="Times New Roman" w:eastAsia="Times New Roman" w:hAnsi="Times New Roman"/>
                <w:sz w:val="23"/>
                <w:szCs w:val="23"/>
                <w:b w:val="1"/>
                <w:bCs w:val="1"/>
                <w:color w:val="auto"/>
                <w:vertAlign w:val="superscript"/>
              </w:rPr>
              <w:t>(2)</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203"/>
        </w:trPr>
        <w:tc>
          <w:tcPr>
            <w:tcW w:w="184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2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5"/>
              </w:rPr>
              <w:t>Amount</w:t>
            </w:r>
            <w:r>
              <w:rPr>
                <w:rFonts w:ascii="Times New Roman" w:cs="Times New Roman" w:eastAsia="Times New Roman" w:hAnsi="Times New Roman"/>
                <w:sz w:val="23"/>
                <w:szCs w:val="23"/>
                <w:b w:val="1"/>
                <w:bCs w:val="1"/>
                <w:color w:val="auto"/>
                <w:w w:val="95"/>
                <w:vertAlign w:val="superscript"/>
              </w:rPr>
              <w:t>(3)</w:t>
            </w:r>
          </w:p>
        </w:tc>
        <w:tc>
          <w:tcPr>
            <w:tcW w:w="18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363,496 Displays</w:t>
            </w:r>
          </w:p>
        </w:tc>
        <w:tc>
          <w:tcPr>
            <w:tcW w:w="100" w:type="dxa"/>
            <w:vAlign w:val="bottom"/>
          </w:tcPr>
          <w:p>
            <w:pPr>
              <w:spacing w:after="0"/>
              <w:rPr>
                <w:sz w:val="19"/>
                <w:szCs w:val="19"/>
                <w:color w:val="auto"/>
              </w:rPr>
            </w:pPr>
          </w:p>
        </w:tc>
        <w:tc>
          <w:tcPr>
            <w:tcW w:w="126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3,883,556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(2,529,560)</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120" w:type="dxa"/>
            <w:vAlign w:val="bottom"/>
          </w:tcPr>
          <w:p>
            <w:pPr>
              <w:spacing w:after="0"/>
              <w:rPr>
                <w:sz w:val="19"/>
                <w:szCs w:val="19"/>
                <w:color w:val="auto"/>
              </w:rPr>
            </w:pPr>
          </w:p>
        </w:tc>
        <w:tc>
          <w:tcPr>
            <w:tcW w:w="12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9"/>
              </w:rPr>
              <w:t>5 to 20 years</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single asset exceeded 5% of the total gross carrying amount at December 31, 2023</w:t>
      </w:r>
    </w:p>
    <w:p>
      <w:pPr>
        <w:spacing w:after="0" w:line="7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is omitted, as it would be impracticable to compile such information on a site-by-site basis</w:t>
      </w:r>
    </w:p>
    <w:p>
      <w:pPr>
        <w:spacing w:after="0" w:line="5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sites under construction</w:t>
      </w:r>
    </w:p>
    <w:p>
      <w:pPr>
        <w:spacing w:after="0" w:line="217"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for the Company’s real estate assets, which consists of advertising displays and the related accumulated depreciation.</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06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real estate assets:</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3,745,006</w:t>
            </w: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3,439,618</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3,293,778</w:t>
            </w:r>
          </w:p>
        </w:tc>
      </w:tr>
      <w:tr>
        <w:trPr>
          <w:trHeight w:val="230"/>
        </w:trPr>
        <w:tc>
          <w:tcPr>
            <w:tcW w:w="706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Capital expenditures on new advertising displays</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85,972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45,427</w:t>
            </w:r>
          </w:p>
        </w:tc>
      </w:tr>
      <w:tr>
        <w:trPr>
          <w:trHeight w:val="22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 on improvements/redevelopments of new/existing advertising displays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21,287</w:t>
            </w:r>
          </w:p>
        </w:tc>
      </w:tr>
      <w:tr>
        <w:trPr>
          <w:trHeight w:val="230"/>
        </w:trPr>
        <w:tc>
          <w:tcPr>
            <w:tcW w:w="706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Capital expenditures other recurring</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141,030</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88,697</w:t>
            </w:r>
          </w:p>
        </w:tc>
      </w:tr>
      <w:tr>
        <w:trPr>
          <w:trHeight w:val="229"/>
        </w:trPr>
        <w:tc>
          <w:tcPr>
            <w:tcW w:w="7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Land acquisitions</w:t>
            </w:r>
            <w:r>
              <w:rPr>
                <w:rFonts w:ascii="Times New Roman" w:cs="Times New Roman" w:eastAsia="Times New Roman" w:hAnsi="Times New Roman"/>
                <w:sz w:val="23"/>
                <w:szCs w:val="23"/>
                <w:color w:val="auto"/>
                <w:vertAlign w:val="superscript"/>
              </w:rPr>
              <w:t>(6)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17,151</w:t>
            </w:r>
          </w:p>
        </w:tc>
      </w:tr>
      <w:tr>
        <w:trPr>
          <w:trHeight w:val="230"/>
        </w:trPr>
        <w:tc>
          <w:tcPr>
            <w:tcW w:w="706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Acquisition of advertising displays</w:t>
            </w:r>
            <w:r>
              <w:rPr>
                <w:rFonts w:ascii="Times New Roman" w:cs="Times New Roman" w:eastAsia="Times New Roman" w:hAnsi="Times New Roman"/>
                <w:sz w:val="23"/>
                <w:szCs w:val="23"/>
                <w:color w:val="auto"/>
                <w:vertAlign w:val="superscript"/>
              </w:rPr>
              <w:t>(7)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64,223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17,662</w:t>
            </w:r>
          </w:p>
        </w:tc>
      </w:tr>
      <w:tr>
        <w:trPr>
          <w:trHeight w:val="22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sold or written-off</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(44,466)</w:t>
            </w:r>
          </w:p>
        </w:tc>
      </w:tr>
      <w:tr>
        <w:trPr>
          <w:trHeight w:val="230"/>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3,883,556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3,745,006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3,439,618</w:t>
            </w:r>
          </w:p>
        </w:tc>
      </w:tr>
      <w:tr>
        <w:trPr>
          <w:trHeight w:val="20"/>
        </w:trPr>
        <w:tc>
          <w:tcPr>
            <w:tcW w:w="706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70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2,440,956</w:t>
            </w: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2,287,590</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2,192,700</w:t>
            </w:r>
          </w:p>
        </w:tc>
      </w:tr>
      <w:tr>
        <w:trPr>
          <w:trHeight w:val="229"/>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185,820</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126,805</w:t>
            </w:r>
          </w:p>
        </w:tc>
      </w:tr>
      <w:tr>
        <w:trPr>
          <w:trHeight w:val="23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sold or written-off</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(31,971)</w:t>
            </w:r>
          </w:p>
        </w:tc>
      </w:tr>
      <w:tr>
        <w:trPr>
          <w:trHeight w:val="230"/>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2,529,560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2,440,956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2,287,590</w:t>
            </w: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$1,138, $2,367 and $1,541 at December 31, 2023, 2022 and 2021, respectively</w:t>
      </w:r>
    </w:p>
    <w:p>
      <w:pPr>
        <w:spacing w:after="0" w:line="59" w:lineRule="exact"/>
        <w:rPr>
          <w:rFonts w:ascii="Times New Roman" w:cs="Times New Roman" w:eastAsia="Times New Roman" w:hAnsi="Times New Roman"/>
          <w:sz w:val="16"/>
          <w:szCs w:val="16"/>
          <w:color w:val="auto"/>
        </w:rPr>
      </w:pPr>
    </w:p>
    <w:p>
      <w:pPr>
        <w:ind w:left="340" w:hanging="332"/>
        <w:spacing w:after="0" w:line="290" w:lineRule="auto"/>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$1,186, $103,019 and $48,848 at December 31, 2023, 2022 and 2021, respectively, related to the revision in cost estimate included in the calculation of asset retirement obligations</w:t>
      </w:r>
    </w:p>
    <w:p>
      <w:pPr>
        <w:ind w:left="340" w:hanging="332"/>
        <w:spacing w:after="0"/>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preliminary allocation of assets acquired during 2022 and 2021</w:t>
      </w:r>
    </w:p>
    <w:p>
      <w:pPr>
        <w:spacing w:after="0" w:line="5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$3,052, $11,132 and $3,843 at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Opinion on Internal Control Over Financial Reporting </w:t>
            </w:r>
            <w:r>
              <w:rPr>
                <w:rFonts w:ascii="Times New Roman" w:cs="Times New Roman" w:eastAsia="Times New Roman" w:hAnsi="Times New Roman"/>
                <w:sz w:val="18"/>
                <w:szCs w:val="18"/>
                <w:color w:val="000000"/>
              </w:rPr>
              <w:t>(KPMG LLP, Baton</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5"/>
        </w:trPr>
        <w:tc>
          <w:tcPr>
            <w:tcW w:w="8400" w:type="dxa"/>
            <w:vAlign w:val="bottom"/>
            <w:tcBorders>
              <w:top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auto"/>
              </w:rPr>
              <w:t>Rouge, LA, Audit Firm ID: 185)</w:t>
            </w: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52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Opinion on the Consolidated Financial Statements </w:t>
            </w:r>
            <w:r>
              <w:rPr>
                <w:rFonts w:ascii="Times New Roman" w:cs="Times New Roman" w:eastAsia="Times New Roman" w:hAnsi="Times New Roman"/>
                <w:sz w:val="18"/>
                <w:szCs w:val="18"/>
                <w:color w:val="000000"/>
              </w:rPr>
              <w:t>(KPMG LLP, Baton Rouge,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5"/>
        </w:trPr>
        <w:tc>
          <w:tcPr>
            <w:tcW w:w="8160" w:type="dxa"/>
            <w:vAlign w:val="bottom"/>
            <w:tcBorders>
              <w:top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auto"/>
              </w:rPr>
              <w:t>LA, Audit Firm ID: 185)</w:t>
            </w:r>
          </w:p>
        </w:tc>
        <w:tc>
          <w:tcPr>
            <w:tcW w:w="560" w:type="dxa"/>
            <w:vAlign w:val="bottom"/>
            <w:gridSpan w:val="2"/>
          </w:tcPr>
          <w:p>
            <w:pPr>
              <w:spacing w:after="0"/>
              <w:rPr>
                <w:sz w:val="17"/>
                <w:szCs w:val="17"/>
                <w:color w:val="auto"/>
              </w:rPr>
            </w:pPr>
          </w:p>
        </w:tc>
        <w:tc>
          <w:tcPr>
            <w:tcW w:w="18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66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5860" w:type="dxa"/>
            <w:vAlign w:val="bottom"/>
            <w:gridSpan w:val="8"/>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9"/>
        </w:trPr>
        <w:tc>
          <w:tcPr>
            <w:tcW w:w="87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Income and Comprehensive Income for the years ended December 31, 2023, 2022 and 2021</w:t>
            </w:r>
          </w:p>
        </w:tc>
        <w:tc>
          <w:tcPr>
            <w:tcW w:w="1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0"/>
        </w:trPr>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2023, 2022 and 2021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0"/>
        </w:trPr>
        <w:tc>
          <w:tcPr>
            <w:tcW w:w="6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2022 and 2021</w:t>
            </w:r>
          </w:p>
        </w:tc>
        <w:tc>
          <w:tcPr>
            <w:tcW w:w="660" w:type="dxa"/>
            <w:vAlign w:val="bottom"/>
            <w:tcBorders>
              <w:top w:val="single" w:sz="8" w:color="0000FF"/>
            </w:tcBorders>
          </w:tcPr>
          <w:p>
            <w:pPr>
              <w:spacing w:after="0"/>
              <w:rPr>
                <w:sz w:val="18"/>
                <w:szCs w:val="18"/>
                <w:color w:val="auto"/>
              </w:rPr>
            </w:pPr>
          </w:p>
        </w:tc>
        <w:tc>
          <w:tcPr>
            <w:tcW w:w="2940" w:type="dxa"/>
            <w:vAlign w:val="bottom"/>
            <w:gridSpan w:val="5"/>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360" w:type="dxa"/>
            <w:vAlign w:val="bottom"/>
            <w:gridSpan w:val="9"/>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9"/>
        </w:trPr>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 for the years ended December 31, 2023, 2022 and 2021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7680" w:type="dxa"/>
            <w:vAlign w:val="bottom"/>
            <w:gridSpan w:val="6"/>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Schedule III — Schedule of Real Estate and Accumulated Depreciation as of December 31, 2023, 2022 and 2021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management of Lamar Media Corp. is responsible for establishing and maintaining adequate internal control over financial reporting, as such term is defined in Rule 13a-15(f) and 15d-15(f) under the Exchange Act.</w:t>
      </w:r>
    </w:p>
    <w:p>
      <w:pPr>
        <w:spacing w:after="0" w:line="16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Lamar Media Corp.’s management assessed the effectiveness of Lamar Media Corp.’s internal control over financial reporting as of December 31, 2023.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on this assessment, Lamar Media Corp.’s management has concluded that, as of December 31, 2023, Lamar Media Corp.’s internal control over financial reporting is effective based on those criteria. The effectiveness of Lamar Media Corp.’s internal control over financial reporting as of December 31, 2023 has been audited by KPMG LLP, an independent registered public accounting firm, as stated in their report, which is included in Item 8 to this Annual Report.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Media Corp.: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We have audited Lamar Media Corp. and subsidiaries' (the Company)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income and comprehensive income, stockholder’s equity, and cash flows for each of the years in the three-year period ended December 31, 2023, and the related notes and financial statement schedules II to III (collectively, the consolidated financial statements), and our report dated February 23, 2024 expressed an unqualified opinion on those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4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944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KPMG LLP</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Media Corp.: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Lamar Media Corp. and subsidiaries (the Company) as of December 31, 2023 and 2022, the related consolidated statements of income and comprehensive income, stockholder’s equity, and cash flows for each of the years in the three-year period ended December 31, 2023, and the related notes and financial statement schedules II to III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2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23, 2024 expressed an unqualified opinion on the effectiveness of the Company’s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Assessment of the accounting lease term for the portfolio of billboard land leases</w:t>
      </w:r>
    </w:p>
    <w:p>
      <w:pPr>
        <w:spacing w:after="0" w:line="241"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18"/>
          <w:szCs w:val="18"/>
          <w:color w:val="auto"/>
        </w:rPr>
        <w:t xml:space="preserve">As discussed in Note 1 to the consolidated financial statements, which refers to Note 7 to the consolidated financial statements of Lamar Advertising Company, a lessee determines the lease term at the commencement date by identifying the non-cancellable period of the lease and then adding any periods for which it is reasonably certain to exercise a renewal option (or not to exercise a termination option). The Company has approximately 72,350 billboard land leases for which they determined the lease term using a portfolio approach, in accordance with which the negotiated stated initial lease term for each billboard land lease was concluded to be the lease term under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w:t>
      </w:r>
    </w:p>
    <w:p>
      <w:pPr>
        <w:spacing w:after="0" w:line="201" w:lineRule="exact"/>
        <w:rPr>
          <w:sz w:val="20"/>
          <w:szCs w:val="20"/>
          <w:color w:val="auto"/>
        </w:rPr>
      </w:pPr>
    </w:p>
    <w:p>
      <w:pPr>
        <w:jc w:val="both"/>
        <w:ind w:left="660" w:right="20"/>
        <w:spacing w:after="0" w:line="239" w:lineRule="auto"/>
        <w:rPr>
          <w:sz w:val="20"/>
          <w:szCs w:val="20"/>
          <w:color w:val="auto"/>
        </w:rPr>
      </w:pPr>
      <w:r>
        <w:rPr>
          <w:rFonts w:ascii="Times New Roman" w:cs="Times New Roman" w:eastAsia="Times New Roman" w:hAnsi="Times New Roman"/>
          <w:sz w:val="18"/>
          <w:szCs w:val="18"/>
          <w:color w:val="auto"/>
        </w:rPr>
        <w:t>We identified the assessment of the lease term for the portfolio of billboard land leases, which affects the discount rate for the lease as well as the measurement of the lease liability and right of use asset, as a critical audit matter. In the Company’s billboard land leases, the Company typically has both unilateral renewal and termination options. Determining the lease term involved a high degree of subjectivity as to whether the lease term should or should not include renewal periods (including periods after an optional termination date), the evaluation of which required subjective auditor judgment.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60"/>
        <w:spacing w:after="0" w:line="23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billboard land lease process, including controls over the qualifications and experience of individuals negotiating the stated initial lease term, reconciliation of inputs into the system, approval of billboard land lease contracts, and annual evaluation of the renewals and terminations exercised by the Company during the year. We evaluated the competence, capabilities, and objectivity of the Company’s real estate team that negotiates the lease terms and conditions, and whether the team considers economic factors that are consistent with those enumerated in ASC 842 when negotiating the stated initial lease term and associated renewal and termination options. We inspected the Company’s assessment and conclusion about using the portfolio approach for its billboard land leases. We tested a sample of the Company’s billboard land lease population and obtained underlying documentation to evaluate whether the leases entered into are similar in terms of the lease agreement creation process, purpose for the lease (i.e. to host a Company billboard), and lease term considerations. We assessed the impact of billboard land leases with early terminations and renewals beyond the stated initial term to evaluate the Company’s assertion that use of the stated initial lease term as the lease term for its billboard land leases on a portfolio basis was appropriate.</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944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KPMG LLP</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9"/>
        </w:trPr>
        <w:tc>
          <w:tcPr>
            <w:tcW w:w="8440" w:type="dxa"/>
            <w:vAlign w:val="bottom"/>
            <w:shd w:val="clear" w:color="auto" w:fill="CFF0FC"/>
          </w:tcPr>
          <w:p>
            <w:pPr>
              <w:ind w:left="39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44,105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52,119</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Receivables, net of allowance for doubtful accounts of $12,477 and $11,418 as of 2023 and 2022, respectively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285,039</w:t>
            </w:r>
          </w:p>
        </w:tc>
      </w:tr>
      <w:tr>
        <w:trPr>
          <w:trHeight w:val="219"/>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27,392</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26,894</w:t>
            </w:r>
          </w:p>
        </w:tc>
      </w:tr>
      <w:tr>
        <w:trPr>
          <w:trHeight w:val="207"/>
        </w:trPr>
        <w:tc>
          <w:tcPr>
            <w:tcW w:w="84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372,686</w:t>
            </w:r>
          </w:p>
        </w:tc>
        <w:tc>
          <w:tcPr>
            <w:tcW w:w="1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364,052</w:t>
            </w:r>
          </w:p>
        </w:tc>
      </w:tr>
      <w:tr>
        <w:trPr>
          <w:trHeight w:val="212"/>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4,274,831</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4,109,146</w:t>
            </w:r>
          </w:p>
        </w:tc>
      </w:tr>
      <w:tr>
        <w:trPr>
          <w:trHeight w:val="213"/>
        </w:trPr>
        <w:tc>
          <w:tcPr>
            <w:tcW w:w="844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(2,708,361)</w:t>
            </w: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(2,609,447)</w:t>
            </w:r>
          </w:p>
        </w:tc>
      </w:tr>
      <w:tr>
        <w:trPr>
          <w:trHeight w:val="209"/>
        </w:trPr>
        <w:tc>
          <w:tcPr>
            <w:tcW w:w="8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1,566,470</w:t>
            </w:r>
          </w:p>
        </w:tc>
        <w:tc>
          <w:tcPr>
            <w:tcW w:w="1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1,499,699</w:t>
            </w:r>
          </w:p>
        </w:tc>
      </w:tr>
    </w:tbl>
    <w:p>
      <w:pPr>
        <w:spacing w:after="0" w:line="1" w:lineRule="exact"/>
        <w:rPr>
          <w:sz w:val="20"/>
          <w:szCs w:val="20"/>
          <w:color w:val="auto"/>
        </w:rPr>
      </w:pPr>
    </w:p>
    <w:p>
      <w:pPr>
        <w:sectPr>
          <w:pgSz w:w="11900" w:h="16838" w:orient="portrait"/>
          <w:cols w:equalWidth="0" w:num="1">
            <w:col w:w="11200"/>
          </w:cols>
          <w:pgMar w:left="320" w:top="121" w:right="379" w:bottom="1440" w:gutter="0" w:footer="0" w:header="0"/>
        </w:sectPr>
      </w:pPr>
    </w:p>
    <w:p>
      <w:pPr>
        <w:jc w:val="both"/>
        <w:ind w:left="20"/>
        <w:spacing w:after="0" w:line="281" w:lineRule="auto"/>
        <w:rPr>
          <w:sz w:val="20"/>
          <w:szCs w:val="20"/>
          <w:color w:val="auto"/>
        </w:rPr>
      </w:pPr>
      <w:r>
        <w:rPr>
          <w:rFonts w:ascii="Times New Roman" w:cs="Times New Roman" w:eastAsia="Times New Roman" w:hAnsi="Times New Roman"/>
          <w:sz w:val="16"/>
          <w:szCs w:val="16"/>
          <w:color w:val="auto"/>
        </w:rPr>
        <w:t>Operating lease right of use assets Financing lease right of use assets Goodwill (note 3)</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Intangible assets, net (note 3)</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assets</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980" w:type="dxa"/>
        <w:tblCellMar>
          <w:top w:w="0" w:type="dxa"/>
          <w:left w:w="0" w:type="dxa"/>
          <w:bottom w:w="0" w:type="dxa"/>
          <w:right w:w="0" w:type="dxa"/>
        </w:tblCellMar>
      </w:tblPr>
      <w:tr>
        <w:trPr>
          <w:trHeight w:val="210"/>
        </w:trPr>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1,315,433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1,271,631</w:t>
            </w:r>
          </w:p>
        </w:tc>
      </w:tr>
      <w:tr>
        <w:trPr>
          <w:trHeight w:val="216"/>
        </w:trPr>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14,037</w:t>
            </w:r>
          </w:p>
        </w:tc>
      </w:tr>
      <w:tr>
        <w:trPr>
          <w:trHeight w:val="216"/>
        </w:trPr>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2,025,119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2,025,117</w:t>
            </w:r>
          </w:p>
        </w:tc>
      </w:tr>
      <w:tr>
        <w:trPr>
          <w:trHeight w:val="216"/>
        </w:trPr>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1,170,967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1,206,158</w:t>
            </w:r>
          </w:p>
        </w:tc>
      </w:tr>
      <w:tr>
        <w:trPr>
          <w:trHeight w:val="219"/>
        </w:trPr>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85,021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77,778</w:t>
            </w:r>
          </w:p>
        </w:tc>
      </w:tr>
      <w:tr>
        <w:trPr>
          <w:trHeight w:val="207"/>
        </w:trPr>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6,546,880</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6,458,472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-690245</wp:posOffset>
            </wp:positionV>
            <wp:extent cx="710628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-415925</wp:posOffset>
            </wp:positionV>
            <wp:extent cx="7106285"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-141605</wp:posOffset>
            </wp:positionV>
            <wp:extent cx="7106285"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-106045</wp:posOffset>
            </wp:positionV>
            <wp:extent cx="17487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2240" w:space="220"/>
            <w:col w:w="8740"/>
          </w:cols>
          <w:pgMar w:left="320" w:top="121" w:right="37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accounts payable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19,643</w:t>
            </w:r>
          </w:p>
        </w:tc>
      </w:tr>
      <w:tr>
        <w:trPr>
          <w:trHeight w:val="219"/>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Current maturities of long-term debt, net of deferred financing costs of $380 and $593 in 2023 and 2022, respectively (note 5)</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250,018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249,785</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205,838</w:t>
            </w:r>
          </w:p>
        </w:tc>
      </w:tr>
      <w:tr>
        <w:trPr>
          <w:trHeight w:val="219"/>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Current financing lease liabilities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1,331</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(note 4)</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108,724</w:t>
            </w:r>
          </w:p>
        </w:tc>
      </w:tr>
      <w:tr>
        <w:trPr>
          <w:trHeight w:val="219"/>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Deferred income</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126,547</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131,847</w:t>
            </w:r>
          </w:p>
        </w:tc>
      </w:tr>
      <w:tr>
        <w:trPr>
          <w:trHeight w:val="207"/>
        </w:trPr>
        <w:tc>
          <w:tcPr>
            <w:tcW w:w="8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704,166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717,168</w:t>
            </w:r>
          </w:p>
        </w:tc>
      </w:tr>
      <w:tr>
        <w:trPr>
          <w:trHeight w:val="219"/>
        </w:trPr>
        <w:tc>
          <w:tcPr>
            <w:tcW w:w="8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Long-term debt, net of deferred financing costs of $28,865 and $32,022 in 2023 and 2022, respectively (note 5)</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3,091,109</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3,063,020</w:t>
            </w: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1,075,285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1,035,655</w:t>
            </w:r>
          </w:p>
        </w:tc>
      </w:tr>
      <w:tr>
        <w:trPr>
          <w:trHeight w:val="21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14,614</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15,945</w:t>
            </w: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9,651</w:t>
            </w:r>
          </w:p>
        </w:tc>
      </w:tr>
      <w:tr>
        <w:trPr>
          <w:trHeight w:val="21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397,991</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390,442</w:t>
            </w:r>
          </w:p>
        </w:tc>
      </w:tr>
      <w:tr>
        <w:trPr>
          <w:trHeight w:val="213"/>
        </w:trPr>
        <w:tc>
          <w:tcPr>
            <w:tcW w:w="84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41,891</w:t>
            </w: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39,090</w:t>
            </w:r>
          </w:p>
        </w:tc>
      </w:tr>
      <w:tr>
        <w:trPr>
          <w:trHeight w:val="212"/>
        </w:trPr>
        <w:tc>
          <w:tcPr>
            <w:tcW w:w="8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5,337,103</w:t>
            </w:r>
          </w:p>
        </w:tc>
        <w:tc>
          <w:tcPr>
            <w:tcW w:w="1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5,270,971</w:t>
            </w: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9"/>
        </w:trPr>
        <w:tc>
          <w:tcPr>
            <w:tcW w:w="8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Common stock, $0.01 par value, authorized 3,000 shares; 100 shares issued and outstanding at 2023 and 2022</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3,173,789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3,132,178</w:t>
            </w:r>
          </w:p>
        </w:tc>
      </w:tr>
      <w:tr>
        <w:trPr>
          <w:trHeight w:val="219"/>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(1,963,998)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(1,944,018)</w:t>
            </w:r>
          </w:p>
        </w:tc>
      </w:tr>
      <w:tr>
        <w:trPr>
          <w:trHeight w:val="219"/>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4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1,209,777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1,187,501</w:t>
            </w:r>
          </w:p>
        </w:tc>
      </w:tr>
      <w:tr>
        <w:trPr>
          <w:trHeight w:val="235"/>
        </w:trPr>
        <w:tc>
          <w:tcPr>
            <w:tcW w:w="8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6,546,880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6,458,472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7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2,110,987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2,032,140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1,787,401</w:t>
            </w: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576,507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 (exclusive of 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326,636</w:t>
            </w:r>
          </w:p>
        </w:tc>
        <w:tc>
          <w:tcPr>
            <w:tcW w:w="0" w:type="dxa"/>
            <w:vAlign w:val="bottom"/>
          </w:tcPr>
          <w:p>
            <w:pPr>
              <w:spacing w:after="0"/>
              <w:rPr>
                <w:sz w:val="1"/>
                <w:szCs w:val="1"/>
                <w:color w:val="auto"/>
              </w:rPr>
            </w:pPr>
          </w:p>
        </w:tc>
      </w:tr>
      <w:tr>
        <w:trPr>
          <w:trHeight w:val="22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93,074</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271,294</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1,453,637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1,265,396</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522,005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106,384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123,841</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398,164</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attributable to non-controlling interest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388,829</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 attributable to non-controlling interest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controlling interest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496,491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437,635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388,829</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40" w:type="dxa"/>
            <w:vAlign w:val="bottom"/>
          </w:tcPr>
          <w:p>
            <w:pPr>
              <w:spacing w:after="0"/>
              <w:rPr>
                <w:sz w:val="17"/>
                <w:szCs w:val="17"/>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000" w:type="dxa"/>
            <w:vAlign w:val="bottom"/>
            <w:tcBorders>
              <w:top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3,034,357</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(1,842,447)</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1,192,844</w:t>
            </w:r>
          </w:p>
        </w:tc>
        <w:tc>
          <w:tcPr>
            <w:tcW w:w="0" w:type="dxa"/>
            <w:vAlign w:val="bottom"/>
          </w:tcPr>
          <w:p>
            <w:pPr>
              <w:spacing w:after="0"/>
              <w:rPr>
                <w:sz w:val="1"/>
                <w:szCs w:val="1"/>
                <w:color w:val="auto"/>
              </w:rPr>
            </w:pPr>
          </w:p>
        </w:tc>
      </w:tr>
      <w:tr>
        <w:trPr>
          <w:trHeight w:val="229"/>
        </w:trPr>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37,548</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37,548</w:t>
            </w:r>
          </w:p>
        </w:tc>
        <w:tc>
          <w:tcPr>
            <w:tcW w:w="0" w:type="dxa"/>
            <w:vAlign w:val="bottom"/>
          </w:tcPr>
          <w:p>
            <w:pPr>
              <w:spacing w:after="0"/>
              <w:rPr>
                <w:sz w:val="1"/>
                <w:szCs w:val="1"/>
                <w:color w:val="auto"/>
              </w:rPr>
            </w:pPr>
          </w:p>
        </w:tc>
      </w:tr>
      <w:tr>
        <w:trPr>
          <w:trHeight w:val="229"/>
        </w:trPr>
        <w:tc>
          <w:tcPr>
            <w:tcW w:w="2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0" w:type="dxa"/>
            <w:vAlign w:val="bottom"/>
          </w:tcPr>
          <w:p>
            <w:pPr>
              <w:spacing w:after="0"/>
              <w:rPr>
                <w:sz w:val="1"/>
                <w:szCs w:val="1"/>
                <w:color w:val="auto"/>
              </w:rPr>
            </w:pPr>
          </w:p>
        </w:tc>
      </w:tr>
      <w:tr>
        <w:trPr>
          <w:trHeight w:val="229"/>
        </w:trPr>
        <w:tc>
          <w:tcPr>
            <w:tcW w:w="2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(410,875)</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(410,875)</w:t>
            </w:r>
          </w:p>
        </w:tc>
        <w:tc>
          <w:tcPr>
            <w:tcW w:w="0" w:type="dxa"/>
            <w:vAlign w:val="bottom"/>
          </w:tcPr>
          <w:p>
            <w:pPr>
              <w:spacing w:after="0"/>
              <w:rPr>
                <w:sz w:val="1"/>
                <w:szCs w:val="1"/>
                <w:color w:val="auto"/>
              </w:rPr>
            </w:pPr>
          </w:p>
        </w:tc>
      </w:tr>
      <w:tr>
        <w:trPr>
          <w:trHeight w:val="223"/>
        </w:trPr>
        <w:tc>
          <w:tcPr>
            <w:tcW w:w="28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3,071,905</w:t>
            </w:r>
          </w:p>
        </w:tc>
        <w:tc>
          <w:tcPr>
            <w:tcW w:w="100" w:type="dxa"/>
            <w:vAlign w:val="bottom"/>
            <w:tcBorders>
              <w:bottom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Borders>
              <w:bottom w:val="single" w:sz="8" w:color="CFF0FC"/>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(1,864,414)</w:t>
            </w:r>
          </w:p>
        </w:tc>
        <w:tc>
          <w:tcPr>
            <w:tcW w:w="120" w:type="dxa"/>
            <w:vAlign w:val="bottom"/>
            <w:tcBorders>
              <w:bottom w:val="single" w:sz="8" w:color="CFF0FC"/>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1,208,346</w:t>
            </w:r>
          </w:p>
        </w:tc>
        <w:tc>
          <w:tcPr>
            <w:tcW w:w="0" w:type="dxa"/>
            <w:vAlign w:val="bottom"/>
          </w:tcPr>
          <w:p>
            <w:pPr>
              <w:spacing w:after="0"/>
              <w:rPr>
                <w:sz w:val="1"/>
                <w:szCs w:val="1"/>
                <w:color w:val="auto"/>
              </w:rPr>
            </w:pPr>
          </w:p>
        </w:tc>
      </w:tr>
      <w:tr>
        <w:trPr>
          <w:trHeight w:val="223"/>
        </w:trPr>
        <w:tc>
          <w:tcPr>
            <w:tcW w:w="2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60,273</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60,273</w:t>
            </w:r>
          </w:p>
        </w:tc>
        <w:tc>
          <w:tcPr>
            <w:tcW w:w="0" w:type="dxa"/>
            <w:vAlign w:val="bottom"/>
          </w:tcPr>
          <w:p>
            <w:pPr>
              <w:spacing w:after="0"/>
              <w:rPr>
                <w:sz w:val="1"/>
                <w:szCs w:val="1"/>
                <w:color w:val="auto"/>
              </w:rPr>
            </w:pPr>
          </w:p>
        </w:tc>
      </w:tr>
      <w:tr>
        <w:trPr>
          <w:trHeight w:val="230"/>
        </w:trPr>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29"/>
        </w:trPr>
        <w:tc>
          <w:tcPr>
            <w:tcW w:w="2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0" w:type="dxa"/>
            <w:vAlign w:val="bottom"/>
          </w:tcPr>
          <w:p>
            <w:pPr>
              <w:spacing w:after="0"/>
              <w:rPr>
                <w:sz w:val="1"/>
                <w:szCs w:val="1"/>
                <w:color w:val="auto"/>
              </w:rPr>
            </w:pPr>
          </w:p>
        </w:tc>
      </w:tr>
      <w:tr>
        <w:trPr>
          <w:trHeight w:val="230"/>
        </w:trPr>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(518,753)</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(518,753)</w:t>
            </w:r>
          </w:p>
        </w:tc>
        <w:tc>
          <w:tcPr>
            <w:tcW w:w="0" w:type="dxa"/>
            <w:vAlign w:val="bottom"/>
          </w:tcPr>
          <w:p>
            <w:pPr>
              <w:spacing w:after="0"/>
              <w:rPr>
                <w:sz w:val="1"/>
                <w:szCs w:val="1"/>
                <w:color w:val="auto"/>
              </w:rPr>
            </w:pPr>
          </w:p>
        </w:tc>
      </w:tr>
      <w:tr>
        <w:trPr>
          <w:trHeight w:val="223"/>
        </w:trPr>
        <w:tc>
          <w:tcPr>
            <w:tcW w:w="28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00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3,132,178</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(1,944,018)</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1,187,501</w:t>
            </w:r>
          </w:p>
        </w:tc>
        <w:tc>
          <w:tcPr>
            <w:tcW w:w="0" w:type="dxa"/>
            <w:vAlign w:val="bottom"/>
          </w:tcPr>
          <w:p>
            <w:pPr>
              <w:spacing w:after="0"/>
              <w:rPr>
                <w:sz w:val="1"/>
                <w:szCs w:val="1"/>
                <w:color w:val="auto"/>
              </w:rPr>
            </w:pPr>
          </w:p>
        </w:tc>
      </w:tr>
      <w:tr>
        <w:trPr>
          <w:trHeight w:val="223"/>
        </w:trPr>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42,627</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Reallocation of capital</w:t>
            </w:r>
          </w:p>
        </w:tc>
        <w:tc>
          <w:tcPr>
            <w:tcW w:w="10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29"/>
        </w:trPr>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496,260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497,333</w:t>
            </w:r>
          </w:p>
        </w:tc>
        <w:tc>
          <w:tcPr>
            <w:tcW w:w="0" w:type="dxa"/>
            <w:vAlign w:val="bottom"/>
          </w:tcPr>
          <w:p>
            <w:pPr>
              <w:spacing w:after="0"/>
              <w:rPr>
                <w:sz w:val="1"/>
                <w:szCs w:val="1"/>
                <w:color w:val="auto"/>
              </w:rPr>
            </w:pPr>
          </w:p>
        </w:tc>
      </w:tr>
      <w:tr>
        <w:trPr>
          <w:trHeight w:val="229"/>
        </w:trPr>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(516,240)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(517,296)</w:t>
            </w:r>
          </w:p>
        </w:tc>
        <w:tc>
          <w:tcPr>
            <w:tcW w:w="0" w:type="dxa"/>
            <w:vAlign w:val="bottom"/>
          </w:tcPr>
          <w:p>
            <w:pPr>
              <w:spacing w:after="0"/>
              <w:rPr>
                <w:sz w:val="1"/>
                <w:szCs w:val="1"/>
                <w:color w:val="auto"/>
              </w:rPr>
            </w:pPr>
          </w:p>
        </w:tc>
      </w:tr>
      <w:tr>
        <w:trPr>
          <w:trHeight w:val="248"/>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3,173,789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(1,963,998)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1,209,777</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497,333</w:t>
            </w:r>
          </w:p>
        </w:tc>
        <w:tc>
          <w:tcPr>
            <w:tcW w:w="100" w:type="dxa"/>
            <w:vAlign w:val="bottom"/>
          </w:tcPr>
          <w:p>
            <w:pPr>
              <w:spacing w:after="0"/>
              <w:rPr>
                <w:sz w:val="14"/>
                <w:szCs w:val="14"/>
                <w:color w:val="auto"/>
              </w:rPr>
            </w:pPr>
          </w:p>
        </w:tc>
        <w:tc>
          <w:tcPr>
            <w:tcW w:w="800" w:type="dxa"/>
            <w:vAlign w:val="bottom"/>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439,149</w:t>
            </w:r>
          </w:p>
        </w:tc>
        <w:tc>
          <w:tcPr>
            <w:tcW w:w="12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388,908</w:t>
            </w:r>
          </w:p>
        </w:tc>
      </w:tr>
      <w:tr>
        <w:trPr>
          <w:trHeight w:val="181"/>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293,423</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349,449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271,294</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Non-cash compensation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22,649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23,136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37,368</w:t>
            </w: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Amortization included in interest expense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5,877</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Gain on disposition of assets and investments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(15,721)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(2,115)</w:t>
            </w: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21,604</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Equity in earnings of investee</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(3,384)</w:t>
            </w:r>
          </w:p>
        </w:tc>
      </w:tr>
      <w:tr>
        <w:trPr>
          <w:trHeight w:val="170"/>
        </w:trPr>
        <w:tc>
          <w:tcPr>
            <w:tcW w:w="70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Deferred income tax expense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1,574</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Provision for doubtful accounts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12,737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4,527</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(Increase) decrease in: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Receivables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(28,744)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(22,511)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(24,684)</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Prepaid expenses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(5,493)</w:t>
            </w: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Other assets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(3,363)</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5,030</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(Decrease) increase in: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Trade accounts payable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Accrued expenses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9,553</w:t>
            </w: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3,819</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Other liabilities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(39,154)</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(47,110)</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r>
      <w:tr>
        <w:trPr>
          <w:trHeight w:val="163"/>
        </w:trPr>
        <w:tc>
          <w:tcPr>
            <w:tcW w:w="7020" w:type="dxa"/>
            <w:vAlign w:val="bottom"/>
            <w:tcBorders>
              <w:bottom w:val="single" w:sz="8" w:color="CCEEFF"/>
            </w:tcBorders>
          </w:tcPr>
          <w:p>
            <w:pPr>
              <w:ind w:left="680"/>
              <w:spacing w:after="0" w:line="144" w:lineRule="exact"/>
              <w:rPr>
                <w:sz w:val="20"/>
                <w:szCs w:val="20"/>
                <w:color w:val="auto"/>
              </w:rPr>
            </w:pPr>
            <w:r>
              <w:rPr>
                <w:rFonts w:ascii="Times New Roman" w:cs="Times New Roman" w:eastAsia="Times New Roman" w:hAnsi="Times New Roman"/>
                <w:sz w:val="13"/>
                <w:szCs w:val="13"/>
                <w:color w:val="auto"/>
              </w:rPr>
              <w:t>Cash flows provided by operating activities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756,310</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739,866</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715,546</w:t>
            </w:r>
          </w:p>
        </w:tc>
      </w:tr>
      <w:tr>
        <w:trPr>
          <w:trHeight w:val="16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Capital expenditures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(178,271)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(167,078)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(126,090)</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Acquisitions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(138,961)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(479,766)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(312,257)</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Payment for investments in equity securities</w:t>
            </w:r>
          </w:p>
        </w:tc>
        <w:tc>
          <w:tcPr>
            <w:tcW w:w="7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Decrease in notes receivable</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70"/>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Proceeds from disposition of assets and investments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7,051</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15,649</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6,480</w:t>
            </w:r>
          </w:p>
        </w:tc>
      </w:tr>
      <w:tr>
        <w:trPr>
          <w:trHeight w:val="175"/>
        </w:trPr>
        <w:tc>
          <w:tcPr>
            <w:tcW w:w="7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Cash flows used in investing activities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(310,119)</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(619,071)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(461,760)</w:t>
            </w:r>
          </w:p>
        </w:tc>
      </w:tr>
      <w:tr>
        <w:trPr>
          <w:trHeight w:val="150"/>
        </w:trPr>
        <w:tc>
          <w:tcPr>
            <w:tcW w:w="70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received from revolving credit facility</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403,000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445,000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200,000</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Payments on revolving credit facility</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(378,000)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(575,000)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Principal payments on long-term debt</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Principal payments on financing leases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received from senior credit facility term loans</w:t>
            </w:r>
          </w:p>
        </w:tc>
        <w:tc>
          <w:tcPr>
            <w:tcW w:w="7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received from accounts receivable securitization program</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114,900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265,000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Payments on accounts receivable securitization program</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(114,900)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(190,000)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(127,500)</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Debt issuance costs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(8,823)</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received from note offering</w:t>
            </w:r>
          </w:p>
        </w:tc>
        <w:tc>
          <w:tcPr>
            <w:tcW w:w="7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550,000</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Redemption of senior notes and senior subordinated notes</w:t>
            </w:r>
          </w:p>
        </w:tc>
        <w:tc>
          <w:tcPr>
            <w:tcW w:w="7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(668,688)</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Dividends to parent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(516,240)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(518,753)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(410,875)</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Contributions from parent</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42,627</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60,273</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37,548</w:t>
            </w:r>
          </w:p>
        </w:tc>
      </w:tr>
      <w:tr>
        <w:trPr>
          <w:trHeight w:val="163"/>
        </w:trPr>
        <w:tc>
          <w:tcPr>
            <w:tcW w:w="7020" w:type="dxa"/>
            <w:vAlign w:val="bottom"/>
            <w:tcBorders>
              <w:bottom w:val="single" w:sz="8" w:color="CCEEFF"/>
            </w:tcBorders>
          </w:tcPr>
          <w:p>
            <w:pPr>
              <w:ind w:left="680"/>
              <w:spacing w:after="0" w:line="144" w:lineRule="exact"/>
              <w:rPr>
                <w:sz w:val="20"/>
                <w:szCs w:val="20"/>
                <w:color w:val="auto"/>
              </w:rPr>
            </w:pPr>
            <w:r>
              <w:rPr>
                <w:rFonts w:ascii="Times New Roman" w:cs="Times New Roman" w:eastAsia="Times New Roman" w:hAnsi="Times New Roman"/>
                <w:sz w:val="13"/>
                <w:szCs w:val="13"/>
                <w:color w:val="auto"/>
              </w:rPr>
              <w:t>Cash flows used in financing activities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(454,332)</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(167,573)</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(275,648)</w:t>
            </w:r>
          </w:p>
        </w:tc>
      </w:tr>
      <w:tr>
        <w:trPr>
          <w:trHeight w:val="17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in cash and cash equivalents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63"/>
        </w:trPr>
        <w:tc>
          <w:tcPr>
            <w:tcW w:w="7020" w:type="dxa"/>
            <w:vAlign w:val="bottom"/>
          </w:tcPr>
          <w:p>
            <w:pPr>
              <w:ind w:left="680"/>
              <w:spacing w:after="0" w:line="144" w:lineRule="exact"/>
              <w:rPr>
                <w:sz w:val="20"/>
                <w:szCs w:val="20"/>
                <w:color w:val="auto"/>
              </w:rPr>
            </w:pPr>
            <w:r>
              <w:rPr>
                <w:rFonts w:ascii="Times New Roman" w:cs="Times New Roman" w:eastAsia="Times New Roman" w:hAnsi="Times New Roman"/>
                <w:sz w:val="13"/>
                <w:szCs w:val="13"/>
                <w:color w:val="auto"/>
              </w:rPr>
              <w:t>Net decrease in cash and cash equivalents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(47,169)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(21,781)</w:t>
            </w:r>
          </w:p>
        </w:tc>
      </w:tr>
      <w:tr>
        <w:trPr>
          <w:trHeight w:val="18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52,119</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99,288</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121,069</w:t>
            </w:r>
          </w:p>
        </w:tc>
      </w:tr>
      <w:tr>
        <w:trPr>
          <w:trHeight w:val="163"/>
        </w:trPr>
        <w:tc>
          <w:tcPr>
            <w:tcW w:w="70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Cash and cash equivalents at end of period</w:t>
            </w:r>
          </w:p>
        </w:tc>
        <w:tc>
          <w:tcPr>
            <w:tcW w:w="78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44,105</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52,119</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99,288</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8"/>
        </w:trPr>
        <w:tc>
          <w:tcPr>
            <w:tcW w:w="70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Supplemental disclosures of cash flow information:</w:t>
            </w: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70"/>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interest</w:t>
            </w:r>
          </w:p>
        </w:tc>
        <w:tc>
          <w:tcPr>
            <w:tcW w:w="78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168,011</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120,000</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112,080</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4"/>
        </w:trPr>
        <w:tc>
          <w:tcPr>
            <w:tcW w:w="7020" w:type="dxa"/>
            <w:vAlign w:val="bottom"/>
            <w:tcBorders>
              <w:bottom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Cash paid for state and federal income taxes</w:t>
            </w:r>
          </w:p>
        </w:tc>
        <w:tc>
          <w:tcPr>
            <w:tcW w:w="78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11,432</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16,325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Nature of Business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Media Corp. (“Lamar Media”) is a wholly owned subsidiary of Lamar Advertising Company. Lamar Media is engaged in the outdoor advertising business operating approximately 160,400 outdoor advertising displays in 45 states and Canada. Lamar Media’s operating strategy is to be the leading provider of outdoor advertising services in the markets it serves.</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In addition, Lamar Media operates a logo sign business in 23 states throughout the United States as well as the province of Ontario, Canada. Logo signs are erected pursuant to state-awarded service contracts on public rights-of-way near highway exits and deliver brand name information on available gas, food, lodging and camping services. Included in the Company’s logo sign business are tourism signing contracts. The Company provides transit advertising in airport terminals, on bus shelters, benches and buses in the markets it serves.</w:t>
      </w:r>
    </w:p>
    <w:p>
      <w:pPr>
        <w:spacing w:after="0" w:line="18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On July 1, 2022, Lamar Media entered into the Amended and Restated Limited Partnership Agreement (the "Partnership Agreement") of Lamar Advertising Limited Partnership (the "OP") as the initial limited partner, along with its wholly owned subsidiary, Lamar Advertising General Partner, LLC, as the general partner of the OP (the "General Partner"). Lamar Media formed the OP and contributed all of its assets to the OP in connection with the Company's reorganization (the "Reorganization") as a specific type of REIT known as an Umbrella Partnership Real Estate Investment Trust ("UPREIT"). The Company completed the Reorganization to facilitate tax-deferred contributions of properties to the OP in exchange for limited partnership interests in the OP. The Reorganization did not have a material impact on our consolidated financial statements.</w:t>
      </w:r>
    </w:p>
    <w:p>
      <w:pPr>
        <w:spacing w:after="0" w:line="18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Certain footnotes are not provided for the accompanying financial statements as the information in notes 2, 3, 5, 7, 10, 11, 12, 13, 14, 15, 16, 17, 18, 19, 20 and 21 and portions of note 1 to the consolidated financial statements of Lamar Advertising Company included elsewhere in this filing are substantially equivalent to that required for the consolidated financial statements of Lamar Media Corp. Earnings per share data is not provided for the operating results of Lamar Media Corp. as it is a wholly owned subsidiary of Lamar Advertising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Principles of Consolidation</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Lamar Media, its subsidiary, Lamar Advertising Limited Partnership, and Lamar Advertising Limited Partnerships' wholly owned subsidiaries, The Lamar Company, L.L.C., Lamar Central Outdoor, LLC, Lamar TRS Holdings, LLC, Lamar Advertising Southwest, Inc., Interstate Logos, L.L.C., Lamar Obie Company, LLC, Lamar Canadian Outdoor Company, Lamar Advertising of Puerto Rico, Inc., Lamar QRS Receivables, LLC, Fairway Media Group, LCC, Ashby Street Outdoor Holdings, LLC and their majority-owned subsidiaries. All inter-company transactions and balances have been eliminated in consolidation.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Non-cash Financing and Investing Activities</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There were no significant non-cash investing activities or significant non-cash financing activities during the years ended December 31, 2023, 2022 and 2021.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Other Intangible Assets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intangible assets at December 31, 2023 and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tcPr>
          <w:p>
            <w:pPr>
              <w:spacing w:after="0"/>
              <w:rPr>
                <w:sz w:val="16"/>
                <w:szCs w:val="16"/>
                <w:color w:val="auto"/>
              </w:rPr>
            </w:pPr>
          </w:p>
        </w:tc>
      </w:tr>
      <w:tr>
        <w:trPr>
          <w:trHeight w:val="23"/>
        </w:trPr>
        <w:tc>
          <w:tcPr>
            <w:tcW w:w="4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6"/>
        </w:trPr>
        <w:tc>
          <w:tcPr>
            <w:tcW w:w="4200" w:type="dxa"/>
            <w:vAlign w:val="bottom"/>
          </w:tcPr>
          <w:p>
            <w:pPr>
              <w:spacing w:after="0"/>
              <w:rPr>
                <w:sz w:val="13"/>
                <w:szCs w:val="13"/>
                <w:color w:val="auto"/>
              </w:rPr>
            </w:pPr>
          </w:p>
        </w:tc>
        <w:tc>
          <w:tcPr>
            <w:tcW w:w="1560" w:type="dxa"/>
            <w:vAlign w:val="bottom"/>
            <w:gridSpan w:val="3"/>
          </w:tcPr>
          <w:p>
            <w:pPr>
              <w:jc w:val="right"/>
              <w:ind w:right="370"/>
              <w:spacing w:after="0" w:line="155" w:lineRule="exact"/>
              <w:rPr>
                <w:sz w:val="20"/>
                <w:szCs w:val="20"/>
                <w:color w:val="auto"/>
              </w:rPr>
            </w:pPr>
            <w:r>
              <w:rPr>
                <w:rFonts w:ascii="Times New Roman" w:cs="Times New Roman" w:eastAsia="Times New Roman" w:hAnsi="Times New Roman"/>
                <w:sz w:val="14"/>
                <w:szCs w:val="14"/>
                <w:b w:val="1"/>
                <w:bCs w:val="1"/>
                <w:color w:val="auto"/>
              </w:rPr>
              <w:t>Estimated Life</w:t>
            </w:r>
          </w:p>
        </w:tc>
        <w:tc>
          <w:tcPr>
            <w:tcW w:w="12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140" w:type="dxa"/>
            <w:vAlign w:val="bottom"/>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160" w:type="dxa"/>
            <w:vAlign w:val="bottom"/>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96"/>
        </w:trPr>
        <w:tc>
          <w:tcPr>
            <w:tcW w:w="4200" w:type="dxa"/>
            <w:vAlign w:val="bottom"/>
          </w:tcPr>
          <w:p>
            <w:pPr>
              <w:spacing w:after="0"/>
              <w:rPr>
                <w:sz w:val="17"/>
                <w:szCs w:val="17"/>
                <w:color w:val="auto"/>
              </w:rPr>
            </w:pPr>
          </w:p>
        </w:tc>
        <w:tc>
          <w:tcPr>
            <w:tcW w:w="1560" w:type="dxa"/>
            <w:vAlign w:val="bottom"/>
            <w:gridSpan w:val="3"/>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16"/>
        </w:trPr>
        <w:tc>
          <w:tcPr>
            <w:tcW w:w="4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640,635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614,840</w:t>
            </w:r>
          </w:p>
        </w:tc>
      </w:tr>
      <w:tr>
        <w:trPr>
          <w:trHeight w:val="229"/>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71,599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65,647</w:t>
            </w: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Site locations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2,955,324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1,891,078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2,864,854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1,781,164</w:t>
            </w:r>
          </w:p>
        </w:tc>
      </w:tr>
      <w:tr>
        <w:trPr>
          <w:trHeight w:val="229"/>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41,338</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51,619</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40,314</w:t>
            </w:r>
          </w:p>
        </w:tc>
      </w:tr>
      <w:tr>
        <w:trPr>
          <w:trHeight w:val="223"/>
        </w:trPr>
        <w:tc>
          <w:tcPr>
            <w:tcW w:w="4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3,810,473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2,639,506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3,708,123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2,501,965</w:t>
            </w: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4"/>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2,277,786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2,277,784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252,667</w:t>
            </w:r>
          </w:p>
        </w:tc>
      </w:tr>
    </w:tbl>
    <w:p>
      <w:pPr>
        <w:spacing w:after="0" w:line="2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changes in the gross carrying amount of goodwill for the years ended December 31, 2023 and 2022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2,178,941</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99,003</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 adjustments and other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2,277,784</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 adjustments and other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2,277,786</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Accrued Expenses</w:t>
            </w: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8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is a summary of accrued expenses at December 31, 2023 and 2022:</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85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21,903</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24,601</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23,360</w:t>
            </w:r>
          </w:p>
        </w:tc>
        <w:tc>
          <w:tcPr>
            <w:tcW w:w="0" w:type="dxa"/>
            <w:vAlign w:val="bottom"/>
          </w:tcPr>
          <w:p>
            <w:pPr>
              <w:spacing w:after="0"/>
              <w:rPr>
                <w:sz w:val="1"/>
                <w:szCs w:val="1"/>
                <w:color w:val="auto"/>
              </w:rPr>
            </w:pPr>
          </w:p>
        </w:tc>
      </w:tr>
      <w:tr>
        <w:trPr>
          <w:trHeight w:val="230"/>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variable lease and contract expense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30,375</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28,117</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0" w:type="dxa"/>
            <w:vAlign w:val="bottom"/>
          </w:tcPr>
          <w:p>
            <w:pPr>
              <w:spacing w:after="0"/>
              <w:rPr>
                <w:sz w:val="1"/>
                <w:szCs w:val="1"/>
                <w:color w:val="auto"/>
              </w:rPr>
            </w:pPr>
          </w:p>
        </w:tc>
      </w:tr>
      <w:tr>
        <w:trPr>
          <w:trHeight w:val="230"/>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20,430</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97,464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108,724</w:t>
            </w:r>
          </w:p>
        </w:tc>
        <w:tc>
          <w:tcPr>
            <w:tcW w:w="0" w:type="dxa"/>
            <w:vAlign w:val="bottom"/>
          </w:tcPr>
          <w:p>
            <w:pPr>
              <w:spacing w:after="0"/>
              <w:rPr>
                <w:sz w:val="1"/>
                <w:szCs w:val="1"/>
                <w:color w:val="auto"/>
              </w:rPr>
            </w:pPr>
          </w:p>
        </w:tc>
      </w:tr>
      <w:tr>
        <w:trPr>
          <w:trHeight w:val="20"/>
        </w:trPr>
        <w:tc>
          <w:tcPr>
            <w:tcW w:w="85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8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Long-term Debt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Long-term debt consists of the following at December 31, 2023 and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13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20" w:type="dxa"/>
            <w:vAlign w:val="bottom"/>
            <w:tcBorders>
              <w:top w:val="single" w:sz="8" w:color="auto"/>
            </w:tcBorders>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Deferred financing</w:t>
            </w:r>
          </w:p>
        </w:tc>
        <w:tc>
          <w:tcPr>
            <w:tcW w:w="134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Debt, net of deferred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6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9"/>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20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1,019,222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2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2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2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3,370,372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0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20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3,119,974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28,865</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8"/>
        </w:trPr>
        <w:tc>
          <w:tcPr>
            <w:tcW w:w="4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13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20" w:type="dxa"/>
            <w:vAlign w:val="bottom"/>
            <w:tcBorders>
              <w:top w:val="single" w:sz="8" w:color="auto"/>
            </w:tcBorders>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Deferred financing</w:t>
            </w:r>
          </w:p>
        </w:tc>
        <w:tc>
          <w:tcPr>
            <w:tcW w:w="134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Debt, net of deferred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6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9"/>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20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993,970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2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2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2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3,345,420</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3,312,805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0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20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3,095,042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32,022</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Long-term debt contractual maturities are as follows:</w:t>
            </w:r>
          </w:p>
        </w:tc>
        <w:tc>
          <w:tcPr>
            <w:tcW w:w="2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496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9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Deferred financing</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Debt, net of deferred</w:t>
            </w:r>
          </w:p>
        </w:tc>
        <w:tc>
          <w:tcPr>
            <w:tcW w:w="0" w:type="dxa"/>
            <w:vAlign w:val="bottom"/>
          </w:tcPr>
          <w:p>
            <w:pPr>
              <w:spacing w:after="0"/>
              <w:rPr>
                <w:sz w:val="1"/>
                <w:szCs w:val="1"/>
                <w:color w:val="auto"/>
              </w:rPr>
            </w:pPr>
          </w:p>
        </w:tc>
      </w:tr>
      <w:tr>
        <w:trPr>
          <w:trHeight w:val="194"/>
        </w:trPr>
        <w:tc>
          <w:tcPr>
            <w:tcW w:w="49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6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600,420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599,568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595,967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670,000</w:t>
            </w:r>
          </w:p>
        </w:tc>
        <w:tc>
          <w:tcPr>
            <w:tcW w:w="10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9,004</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Later years</w:t>
            </w:r>
          </w:p>
        </w:tc>
        <w:tc>
          <w:tcPr>
            <w:tcW w:w="2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1,499,543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1,483,867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5"/>
        </w:trPr>
        <w:tc>
          <w:tcPr>
            <w:tcW w:w="4960" w:type="dxa"/>
            <w:vAlign w:val="bottom"/>
          </w:tcPr>
          <w:p>
            <w:pPr>
              <w:spacing w:after="0"/>
              <w:rPr>
                <w:sz w:val="24"/>
                <w:szCs w:val="24"/>
                <w:color w:val="auto"/>
              </w:rPr>
            </w:pPr>
          </w:p>
        </w:tc>
        <w:tc>
          <w:tcPr>
            <w:tcW w:w="20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92</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121"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Affiliates, as used within these statements, are persons or entities that are affiliated with Lamar Media Corp. or its subsidiaries through common ownership and directorate control.</w:t>
      </w:r>
    </w:p>
    <w:p>
      <w:pPr>
        <w:spacing w:after="0" w:line="162"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there was a payable to Lamar Advertising Company, its parent, in the amount of $1,009 and $1,871, respectively.</w:t>
      </w:r>
    </w:p>
    <w:p>
      <w:pPr>
        <w:spacing w:after="0" w:line="162"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Effective December 31, 2023 and 2022, Lamar Advertising Company contributed $42,627 and $60,273, respectively, to Lamar Media which resulted in an increase in Lamar Media’s additional paid-in capital.</w:t>
      </w:r>
    </w:p>
    <w:p>
      <w:pPr>
        <w:spacing w:after="0" w:line="266" w:lineRule="exact"/>
        <w:rPr>
          <w:sz w:val="20"/>
          <w:szCs w:val="20"/>
          <w:color w:val="auto"/>
        </w:rPr>
      </w:pPr>
    </w:p>
    <w:p>
      <w:pPr>
        <w:ind w:left="400" w:hanging="392"/>
        <w:spacing w:after="0"/>
        <w:tabs>
          <w:tab w:leader="none" w:pos="4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Summarized Financial Information of Subsidiaries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Separate condensed consolidating financial information for Lamar Media, subsidiary guarantors and non-guarantor subsidiaries are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condensed consolidating financial information. The following condensed consolidating financial information should be read in conjunction with the accompanying consolidated financial statements and notes. The condensed consolidating financial information is provided as an alternative to providing separate financial statements for guarantor subsidiaries. Separate financial statements of Lamar Media’s subsidiary guarantors are not included because the guarantees are full and unconditional and the subsidiary guarantors are 100% owned and jointly and severally liable for Lamar Media’s outstanding publicly issued notes. The accounts for all companies reflected herein are presented using the equity method of accounting for investments in subsidiaries.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 as of December 31,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2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33,875</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1,548,946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1,566,470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and goodwill,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3,179,107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3,196,086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4,596,516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349,680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249,662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(5,099,653)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4,630,391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6,388,141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628,001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(5,099,653)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6,546,880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387,408</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271,533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704,166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3,089,874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1,050,330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285,929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424,532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343,253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3,421,028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1,863,505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639,741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1,209,363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4,524,636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(4,512,482)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4,630,391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6,388,141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628,001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(5,099,653)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6,546,880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9"/>
              </w:rPr>
              <w:t>93</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 as of December 31,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4"/>
        </w:trPr>
        <w:tc>
          <w:tcPr>
            <w:tcW w:w="4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2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39,829</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1,483,395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1,499,699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and goodwill,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3,214,284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4,514,221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325,052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250,056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(4,997,514)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4,554,050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6,311,812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590,124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(4,997,514)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421,569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272,239</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3,061,385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418,163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301,957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3,366,549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1,866,752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5,270,971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4,445,060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(4,450,718)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4,554,050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6,311,812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590,124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(4,997,514)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9"/>
              </w:rPr>
              <w:t>94</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42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Statement of Income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2,069,600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2,110,987</w:t>
            </w: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Direct advertising expenses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696,799</w:t>
            </w:r>
          </w:p>
        </w:tc>
        <w:tc>
          <w:tcPr>
            <w:tcW w:w="0" w:type="dxa"/>
            <w:vAlign w:val="bottom"/>
          </w:tcPr>
          <w:p>
            <w:pPr>
              <w:spacing w:after="0"/>
              <w:rPr>
                <w:sz w:val="1"/>
                <w:szCs w:val="1"/>
                <w:color w:val="auto"/>
              </w:rPr>
            </w:pPr>
          </w:p>
        </w:tc>
      </w:tr>
      <w:tr>
        <w:trPr>
          <w:trHeight w:val="229"/>
        </w:trPr>
        <w:tc>
          <w:tcPr>
            <w:tcW w:w="422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344,780</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105,528</w:t>
            </w: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293,423</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1,392,389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1,435,056</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675,931</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172,397</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496,260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682,841</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(655,864)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507,115</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tax expense</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496,260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673,330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(16,393)</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(655,864)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497,333</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Earnings attributable to non-controlling interest</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496,260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672,943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(655,864)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496,260</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Statement of Comprehensive Income</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496,260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673,330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497,333</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496,260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673,330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(655,864)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497,564</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attributable to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155"/>
        </w:trPr>
        <w:tc>
          <w:tcPr>
            <w:tcW w:w="42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Comprehensive income (loss) attributable to controlling</w:t>
            </w: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496,260</w:t>
            </w:r>
          </w:p>
        </w:tc>
        <w:tc>
          <w:tcPr>
            <w:tcW w:w="12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672,943</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(16,848)</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(655,864)</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496,491</w:t>
            </w:r>
          </w:p>
        </w:tc>
        <w:tc>
          <w:tcPr>
            <w:tcW w:w="0" w:type="dxa"/>
            <w:vAlign w:val="bottom"/>
          </w:tcPr>
          <w:p>
            <w:pPr>
              <w:spacing w:after="0"/>
              <w:rPr>
                <w:sz w:val="1"/>
                <w:szCs w:val="1"/>
                <w:color w:val="auto"/>
              </w:rPr>
            </w:pPr>
          </w:p>
        </w:tc>
      </w:tr>
      <w:tr>
        <w:trPr>
          <w:trHeight w:val="221"/>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42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2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1,992,900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2,032,140</w:t>
            </w: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Direct advertising expenses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667,288</w:t>
            </w:r>
          </w:p>
        </w:tc>
        <w:tc>
          <w:tcPr>
            <w:tcW w:w="0" w:type="dxa"/>
            <w:vAlign w:val="bottom"/>
          </w:tcPr>
          <w:p>
            <w:pPr>
              <w:spacing w:after="0"/>
              <w:rPr>
                <w:sz w:val="1"/>
                <w:szCs w:val="1"/>
                <w:color w:val="auto"/>
              </w:rPr>
            </w:pPr>
          </w:p>
        </w:tc>
      </w:tr>
      <w:tr>
        <w:trPr>
          <w:trHeight w:val="229"/>
        </w:trPr>
        <w:tc>
          <w:tcPr>
            <w:tcW w:w="422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350,623</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101,998</w:t>
            </w: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349,449</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1,425,150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31,036</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1,453,637</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578,503</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126,217</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572,596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456,601</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tax expense</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0" w:type="dxa"/>
            <w:vAlign w:val="bottom"/>
          </w:tcPr>
          <w:p>
            <w:pPr>
              <w:spacing w:after="0"/>
              <w:rPr>
                <w:sz w:val="1"/>
                <w:szCs w:val="1"/>
                <w:color w:val="auto"/>
              </w:rPr>
            </w:pPr>
          </w:p>
        </w:tc>
      </w:tr>
      <w:tr>
        <w:trPr>
          <w:trHeight w:val="24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4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437,635</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42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2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1,752,106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1,787,401</w:t>
            </w: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Direct advertising expenses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576,507</w:t>
            </w:r>
          </w:p>
        </w:tc>
        <w:tc>
          <w:tcPr>
            <w:tcW w:w="0" w:type="dxa"/>
            <w:vAlign w:val="bottom"/>
          </w:tcPr>
          <w:p>
            <w:pPr>
              <w:spacing w:after="0"/>
              <w:rPr>
                <w:sz w:val="1"/>
                <w:szCs w:val="1"/>
                <w:color w:val="auto"/>
              </w:rPr>
            </w:pPr>
          </w:p>
        </w:tc>
      </w:tr>
      <w:tr>
        <w:trPr>
          <w:trHeight w:val="229"/>
        </w:trPr>
        <w:tc>
          <w:tcPr>
            <w:tcW w:w="422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326,636</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93,074</w:t>
            </w: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271,294</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1,231,886</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35,270</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1,265,396</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522,005</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105,621</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 (benefit)</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523,648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(515,288)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398,164</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tax expense (benefit)</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514,092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(515,288)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CEEFF"/>
          </w:tcPr>
          <w:p>
            <w:pPr>
              <w:ind w:left="700"/>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514,092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514,092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(515,288)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388,829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(benefit) reflected in each column does not include any tax effect of the equity in earnings from subsidiaries.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 for the Year Ended December 31,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6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Corp.</w:t>
            </w:r>
          </w:p>
        </w:tc>
        <w:tc>
          <w:tcPr>
            <w:tcW w:w="16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924,435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(733,292)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756,310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 and investments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 decrease in intercompany notes receivable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notes receivable</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(154,550)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(305,101)</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154,550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received from revolving credit facility</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on revolving credit facility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payments on financing leases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on accounts receivable securitization program</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Proceeds received from accounts receivable securitization</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program</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Intercompany loan (payments) proceeds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(to) from parent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Contributions from (to) parent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(619,899)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578,742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Effect of exchange rate changes in cash and cash equivalents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 for the Year Ended December 31,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6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Corp.</w:t>
            </w: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4"/>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875,208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739,866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(479,766)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 and investments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(increase) in intercompany notes receivable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notes receivable</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(398,240)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(638,865)</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398,240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received from revolving credit facility</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on revolving credit facility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payments on financing leases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received from senior credit facility term loans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Proceeds received from accounts receivable securitization</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program</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on accounts receivable securitization program</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Intercompany loan (payments) proceeds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(to) from parent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(to) parent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479,766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(239,827)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(238,552)</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303,763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exchange rate changes in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 for the Year Ended December 31,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6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5"/>
        </w:trPr>
        <w:tc>
          <w:tcPr>
            <w:tcW w:w="4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Corp.</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849,072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(708,341)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715,546</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(312,257)</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(119,728)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(126,090)</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for investments in equity securities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 and investments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(increase) in intercompany notes receivable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in notes receivable</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(455,398)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290,281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(461,760)</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received from revolving credit facility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on revolving credit facility</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financing leases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175"/>
        </w:trPr>
        <w:tc>
          <w:tcPr>
            <w:tcW w:w="47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Proceeds received from accounts receivable securitization</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program</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on accounts receivable securitization program</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received from note offering</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Redemption of senior notes and senior subordinated notes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(668,688)</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Intercompany loan (payments) proceeds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Contributions from (to) parent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37,548</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(to) from parent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(708,341)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(410,875)</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(325,400)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(391,912)</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418,060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(275,648)</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exchange rate changes in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(21,781)</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121,069</w:t>
            </w: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91,023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99,288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Charged to Costs</w:t>
            </w:r>
          </w:p>
        </w:tc>
        <w:tc>
          <w:tcPr>
            <w:tcW w:w="13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Balance at End of</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Expenses</w:t>
            </w: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6"/>
        </w:trPr>
        <w:tc>
          <w:tcPr>
            <w:tcW w:w="56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120" w:type="dxa"/>
            <w:vAlign w:val="bottom"/>
            <w:shd w:val="clear" w:color="auto" w:fill="CFF0FC"/>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20" w:type="dxa"/>
            <w:vAlign w:val="bottom"/>
            <w:shd w:val="clear" w:color="auto" w:fill="CFF0FC"/>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14,946</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Real Estate and Accumulated Depreciation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r>
              <w:rPr>
                <w:rFonts w:ascii="Times New Roman" w:cs="Times New Roman" w:eastAsia="Times New Roman" w:hAnsi="Times New Roman"/>
                <w:sz w:val="23"/>
                <w:szCs w:val="23"/>
                <w:b w:val="1"/>
                <w:bCs w:val="1"/>
                <w:color w:val="auto"/>
                <w:vertAlign w:val="superscript"/>
              </w:rPr>
              <w:t>(1)</w:t>
            </w: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Encumbrances</w:t>
            </w:r>
          </w:p>
        </w:tc>
        <w:tc>
          <w:tcPr>
            <w:tcW w:w="1480" w:type="dxa"/>
            <w:vAlign w:val="bottom"/>
            <w:gridSpan w:val="3"/>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Initial Cost</w:t>
            </w:r>
            <w:r>
              <w:rPr>
                <w:rFonts w:ascii="Times New Roman" w:cs="Times New Roman" w:eastAsia="Times New Roman" w:hAnsi="Times New Roman"/>
                <w:sz w:val="23"/>
                <w:szCs w:val="23"/>
                <w:b w:val="1"/>
                <w:bCs w:val="1"/>
                <w:color w:val="auto"/>
                <w:vertAlign w:val="superscript"/>
              </w:rPr>
              <w:t>(2)</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Construction Date</w:t>
            </w: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12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203"/>
        </w:trPr>
        <w:tc>
          <w:tcPr>
            <w:tcW w:w="184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2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5"/>
              </w:rPr>
              <w:t>Amount</w:t>
            </w:r>
            <w:r>
              <w:rPr>
                <w:rFonts w:ascii="Times New Roman" w:cs="Times New Roman" w:eastAsia="Times New Roman" w:hAnsi="Times New Roman"/>
                <w:sz w:val="23"/>
                <w:szCs w:val="23"/>
                <w:b w:val="1"/>
                <w:bCs w:val="1"/>
                <w:color w:val="auto"/>
                <w:w w:val="95"/>
                <w:vertAlign w:val="superscript"/>
              </w:rPr>
              <w:t>(3)</w:t>
            </w:r>
          </w:p>
        </w:tc>
        <w:tc>
          <w:tcPr>
            <w:tcW w:w="18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36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363,496 Displays</w:t>
            </w:r>
          </w:p>
        </w:tc>
        <w:tc>
          <w:tcPr>
            <w:tcW w:w="120" w:type="dxa"/>
            <w:vAlign w:val="bottom"/>
          </w:tcPr>
          <w:p>
            <w:pPr>
              <w:spacing w:after="0"/>
              <w:rPr>
                <w:sz w:val="19"/>
                <w:szCs w:val="19"/>
                <w:color w:val="auto"/>
              </w:rPr>
            </w:pPr>
          </w:p>
        </w:tc>
        <w:tc>
          <w:tcPr>
            <w:tcW w:w="124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3,883,556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(2,529,560)</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120" w:type="dxa"/>
            <w:vAlign w:val="bottom"/>
          </w:tcPr>
          <w:p>
            <w:pPr>
              <w:spacing w:after="0"/>
              <w:rPr>
                <w:sz w:val="19"/>
                <w:szCs w:val="19"/>
                <w:color w:val="auto"/>
              </w:rPr>
            </w:pPr>
          </w:p>
        </w:tc>
        <w:tc>
          <w:tcPr>
            <w:tcW w:w="12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9"/>
              </w:rPr>
              <w:t>5 to 20 years</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single asset exceeded 5% of the total gross carrying amount at December 31, 2023</w:t>
      </w:r>
    </w:p>
    <w:p>
      <w:pPr>
        <w:spacing w:after="0" w:line="7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is omitted, as it would be impracticable to compile such information on a site-by-site basis</w:t>
      </w:r>
    </w:p>
    <w:p>
      <w:pPr>
        <w:spacing w:after="0" w:line="5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sites under construction</w:t>
      </w:r>
    </w:p>
    <w:p>
      <w:pPr>
        <w:spacing w:after="0" w:line="217" w:lineRule="exact"/>
        <w:rPr>
          <w:sz w:val="20"/>
          <w:szCs w:val="20"/>
          <w:color w:val="auto"/>
        </w:rPr>
      </w:pPr>
    </w:p>
    <w:p>
      <w:pPr>
        <w:ind w:firstLine="81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for the Company’s real estate assets, which consists of advertising displays and the related accumulated depreciation.</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06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real estate assets:</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3,745,006</w:t>
            </w: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3,439,618</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3,293,778</w:t>
            </w:r>
          </w:p>
        </w:tc>
      </w:tr>
      <w:tr>
        <w:trPr>
          <w:trHeight w:val="230"/>
        </w:trPr>
        <w:tc>
          <w:tcPr>
            <w:tcW w:w="706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Capital expenditures on new advertising displays</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85,972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45,427</w:t>
            </w:r>
          </w:p>
        </w:tc>
      </w:tr>
      <w:tr>
        <w:trPr>
          <w:trHeight w:val="22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 on improvements/redevelopments of new/existing advertising displays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21,287</w:t>
            </w:r>
          </w:p>
        </w:tc>
      </w:tr>
      <w:tr>
        <w:trPr>
          <w:trHeight w:val="230"/>
        </w:trPr>
        <w:tc>
          <w:tcPr>
            <w:tcW w:w="706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Capital expenditures other recurring</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141,030</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88,697</w:t>
            </w:r>
          </w:p>
        </w:tc>
      </w:tr>
      <w:tr>
        <w:trPr>
          <w:trHeight w:val="229"/>
        </w:trPr>
        <w:tc>
          <w:tcPr>
            <w:tcW w:w="7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Land acquisitions</w:t>
            </w:r>
            <w:r>
              <w:rPr>
                <w:rFonts w:ascii="Times New Roman" w:cs="Times New Roman" w:eastAsia="Times New Roman" w:hAnsi="Times New Roman"/>
                <w:sz w:val="23"/>
                <w:szCs w:val="23"/>
                <w:color w:val="auto"/>
                <w:vertAlign w:val="superscript"/>
              </w:rPr>
              <w:t>(6)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17,151</w:t>
            </w:r>
          </w:p>
        </w:tc>
      </w:tr>
      <w:tr>
        <w:trPr>
          <w:trHeight w:val="229"/>
        </w:trPr>
        <w:tc>
          <w:tcPr>
            <w:tcW w:w="706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Acquisition of advertising displays</w:t>
            </w:r>
            <w:r>
              <w:rPr>
                <w:rFonts w:ascii="Times New Roman" w:cs="Times New Roman" w:eastAsia="Times New Roman" w:hAnsi="Times New Roman"/>
                <w:sz w:val="23"/>
                <w:szCs w:val="23"/>
                <w:color w:val="auto"/>
                <w:vertAlign w:val="superscript"/>
              </w:rPr>
              <w:t>(7)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64,223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17,662</w:t>
            </w:r>
          </w:p>
        </w:tc>
      </w:tr>
      <w:tr>
        <w:trPr>
          <w:trHeight w:val="23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sold or written-off</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(44,466)</w:t>
            </w:r>
          </w:p>
        </w:tc>
      </w:tr>
      <w:tr>
        <w:trPr>
          <w:trHeight w:val="230"/>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3,883,556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3,745,006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3,439,618</w:t>
            </w:r>
          </w:p>
        </w:tc>
      </w:tr>
      <w:tr>
        <w:trPr>
          <w:trHeight w:val="20"/>
        </w:trPr>
        <w:tc>
          <w:tcPr>
            <w:tcW w:w="706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70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2,440,956</w:t>
            </w: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2,287,590</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2,192,700</w:t>
            </w:r>
          </w:p>
        </w:tc>
      </w:tr>
      <w:tr>
        <w:trPr>
          <w:trHeight w:val="229"/>
        </w:trPr>
        <w:tc>
          <w:tcPr>
            <w:tcW w:w="70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185,820</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126,805</w:t>
            </w:r>
          </w:p>
        </w:tc>
      </w:tr>
      <w:tr>
        <w:trPr>
          <w:trHeight w:val="23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 sold or written-off</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(31,971)</w:t>
            </w:r>
          </w:p>
        </w:tc>
      </w:tr>
      <w:tr>
        <w:trPr>
          <w:trHeight w:val="230"/>
        </w:trPr>
        <w:tc>
          <w:tcPr>
            <w:tcW w:w="70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 exchange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2,529,560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2,440,956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2,287,590</w:t>
            </w: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$1,138, $2,367 and $1,541 at December 31, 2023, 2022 and 2021, respectively</w:t>
      </w:r>
    </w:p>
    <w:p>
      <w:pPr>
        <w:spacing w:after="0" w:line="59" w:lineRule="exact"/>
        <w:rPr>
          <w:rFonts w:ascii="Times New Roman" w:cs="Times New Roman" w:eastAsia="Times New Roman" w:hAnsi="Times New Roman"/>
          <w:sz w:val="16"/>
          <w:szCs w:val="16"/>
          <w:color w:val="auto"/>
        </w:rPr>
      </w:pPr>
    </w:p>
    <w:p>
      <w:pPr>
        <w:ind w:left="340" w:hanging="332"/>
        <w:spacing w:after="0" w:line="290" w:lineRule="auto"/>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$1,186, $103,019 and $48,848 at December 31, 2023, 2022 and 2021, respectively, related to the revision in cost estimate included in the calculation of asset retirement obligations</w:t>
      </w:r>
    </w:p>
    <w:p>
      <w:pPr>
        <w:ind w:left="340" w:hanging="332"/>
        <w:spacing w:after="0"/>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preliminary allocation of assets acquired during 2022 and 2021</w:t>
      </w:r>
    </w:p>
    <w:p>
      <w:pPr>
        <w:spacing w:after="0" w:line="5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$3,052, $11,132 and $3,843 at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900"/>
        <w:spacing w:after="0" w:line="440"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 Lamar Advertising Company</w:t>
      </w:r>
    </w:p>
    <w:p>
      <w:pPr>
        <w:spacing w:after="0" w:line="1" w:lineRule="exact"/>
        <w:rPr>
          <w:sz w:val="20"/>
          <w:szCs w:val="20"/>
          <w:color w:val="auto"/>
        </w:rPr>
      </w:pPr>
    </w:p>
    <w:p>
      <w:pPr>
        <w:jc w:val="center"/>
        <w:ind w:right="9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9680"/>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jc w:val="center"/>
        <w:ind w:right="9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such term is defined in Rules 13a-15(e) and 15d-15(e) promulgated under the Securities Exchange Act of 1934, as amended. Based on this evaluation, the principal executive officer and principal financial officer of the Company and Lamar Media concluded, as of December 31, 2023, that these disclosure controls and procedures are effective and designed to ensure that the information required to be disclosed in the Company’s and Lamar Media’s reports filed or submitted under the Securities Exchange Act of 1934 is recorded, processed, summarized and reported within the requisite time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Company’s Management Report on Internal Control Over Financial Reporting is set forth on page 45 of this combined Annual Report and is incorporated herein by reference.</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Media’s Management Report on Internal Control Over Financial Reporting is set forth on page 82 of this combined Annual Report and is incorporated herein by reference.</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or Lamar Media’s internal control over financial reporting identified in connection with the evaluation of the Company’s and Lamar Media’s internal controls performed during the fourth fiscal quarter that has materially affected, or is reasonably likely to materially affect, the Company’s or Lamar Media’s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57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jc w:val="center"/>
        <w:ind w:right="8559"/>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right="1779"/>
        <w:spacing w:after="0" w:line="440" w:lineRule="auto"/>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 Lamar Advertising Company</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Lamar Advertising Company’s Proxy Statement for its 2024 Annual Meeting of Stockholders to be filed with the SEC within 120 days after the end of the fiscal year ended December 31, 2023.</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ethics”) that applies to all of our directors, officers and employees. The code of ethics is filed as an exhibit that is incorporated by reference into this Annual Report. In addition, if we make any substantive amendments to the code of ethics or grant any wavier, including any implicit wavier, from a provision of the code to any of our executive officers or directors, we will disclose the nature of such amendment or waiver in a report on Form 8-K.</w:t>
      </w:r>
    </w:p>
    <w:p>
      <w:pPr>
        <w:spacing w:after="0" w:line="28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Lamar Advertising Company’s Proxy Statement for its 2024 Annual Meeting of Stockholders to be filed with the SEC within 120 days after the end of the fiscal year ended December 31, 2023.</w:t>
      </w:r>
    </w:p>
    <w:p>
      <w:pPr>
        <w:spacing w:after="0" w:line="266" w:lineRule="exact"/>
        <w:rPr>
          <w:sz w:val="20"/>
          <w:szCs w:val="20"/>
          <w:color w:val="auto"/>
        </w:rPr>
      </w:pPr>
    </w:p>
    <w:p>
      <w:pPr>
        <w:ind w:left="940" w:right="420" w:hanging="1295"/>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51"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Lamar Advertising Company’s Proxy Statement for its 2024 Annual Meeting of Stockholders to be filed with the SEC within 120 days after the end of the fiscal year ended December 31, 2023.</w:t>
      </w:r>
    </w:p>
    <w:p>
      <w:pPr>
        <w:spacing w:after="0" w:line="26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Lamar Advertising Company’s Proxy Statement for its 2024 Annual Meeting of Stockholders to be filed with the SEC within 120 days after the end of the fiscal year ended December 31, 2023.</w:t>
      </w:r>
    </w:p>
    <w:p>
      <w:pPr>
        <w:spacing w:after="0" w:line="26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Lamar Advertising Company’s Proxy Statement for its 2024 Annual Meeting of Stockholders to be filed with the SEC within 120 days after the end of the fiscal year ended December 31, 2023.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7" w:lineRule="exact"/>
        <w:rPr>
          <w:sz w:val="20"/>
          <w:szCs w:val="20"/>
          <w:color w:val="auto"/>
        </w:rPr>
      </w:pPr>
    </w:p>
    <w:p>
      <w:pPr>
        <w:ind w:left="860" w:hanging="285"/>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financial statements are listed under Part II, Item 8 of this Annual Report.</w:t>
      </w:r>
    </w:p>
    <w:p>
      <w:pPr>
        <w:spacing w:after="0" w:line="223" w:lineRule="exact"/>
        <w:rPr>
          <w:sz w:val="20"/>
          <w:szCs w:val="20"/>
          <w:color w:val="auto"/>
        </w:rPr>
      </w:pPr>
    </w:p>
    <w:p>
      <w:pPr>
        <w:ind w:left="760" w:hanging="185"/>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financial statement schedules are included under Part II, Item 8 of this Annual Report.</w:t>
      </w:r>
    </w:p>
    <w:p>
      <w:pPr>
        <w:spacing w:after="0" w:line="223" w:lineRule="exact"/>
        <w:rPr>
          <w:sz w:val="20"/>
          <w:szCs w:val="20"/>
          <w:color w:val="auto"/>
        </w:rPr>
      </w:pPr>
    </w:p>
    <w:p>
      <w:pPr>
        <w:ind w:left="760" w:hanging="185"/>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19"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exhibits filed as part of this report are listed on the Exhibit Index immediately preceding the signature page hereto, which Exhibit Index is incorporated herein by reference.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 Exhibits required by Item 601 of Regulation S-K are listed on the Exhibit Index immediately preceding the signature page hereto.</w:t>
      </w:r>
    </w:p>
    <w:p>
      <w:pPr>
        <w:spacing w:after="0" w:line="3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7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257"/>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8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9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METHOD OF FILING</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7"/>
                <w:szCs w:val="17"/>
                <w:color w:val="auto"/>
              </w:rPr>
            </w:pPr>
          </w:p>
        </w:tc>
        <w:tc>
          <w:tcPr>
            <w:tcW w:w="318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1">
            <w:col w:w="11220"/>
          </w:cols>
          <w:pgMar w:left="320" w:top="121" w:right="359" w:bottom="1440" w:gutter="0" w:footer="0" w:header="0"/>
        </w:sectPr>
      </w:pPr>
    </w:p>
    <w:tbl>
      <w:tblPr>
        <w:tblLayout w:type="fixed"/>
        <w:tblInd w:w="2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2(a)</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Agreement and Plan of Merger by and between Lamar Advertising</w:t>
            </w:r>
          </w:p>
        </w:tc>
      </w:tr>
      <w:tr>
        <w:trPr>
          <w:trHeight w:val="176"/>
        </w:trPr>
        <w:tc>
          <w:tcPr>
            <w:tcW w:w="90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Company (the “Company”) and Lamar Advertising REIT</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dated August 27, 2014.</w:t>
            </w:r>
          </w:p>
        </w:tc>
      </w:t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3(a)</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w:t>
            </w:r>
          </w:p>
        </w:tc>
      </w:tr>
      <w:tr>
        <w:trPr>
          <w:trHeight w:val="176"/>
        </w:trPr>
        <w:tc>
          <w:tcPr>
            <w:tcW w:w="90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Company, as filed with the Secretary of the State of Delaware</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effective as of November 18, 2014.</w:t>
            </w:r>
          </w:p>
        </w:tc>
      </w:tr>
      <w:tr>
        <w:trPr>
          <w:trHeight w:val="2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3(b)</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Certificate of Merger, effective as of November 18, 2014.</w:t>
            </w:r>
          </w:p>
        </w:tc>
      </w:tr>
      <w:tr>
        <w:trPr>
          <w:trHeight w:val="59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3(c)</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Amended and Restated Bylaws of the Company, adopted as of</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November 18, 2014.</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3(d)</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Amended and Restated Certificate of Incorporation of Lamar</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Media.</w:t>
            </w:r>
          </w:p>
        </w:tc>
      </w:tr>
      <w:tr>
        <w:trPr>
          <w:trHeight w:val="6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3(e)</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Amended and Restated Bylaws of Lamar Media.</w:t>
            </w:r>
          </w:p>
        </w:tc>
      </w:tr>
      <w:tr>
        <w:trPr>
          <w:trHeight w:val="76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4(a)(1)</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Specimen certificate for the shares of Class A common stock of the</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4(a)(2)</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Specimen certificate for the shares of Class B common stock of the</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4(a)(3)</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Description of Securities Registered Under Section 12 of the</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Exchange Act.</w:t>
            </w:r>
          </w:p>
        </w:tc>
      </w:tr>
      <w:tr>
        <w:trPr>
          <w:trHeight w:val="58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4(b)(1)</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Indenture, dated as of October 30, 2012, among Lamar Media, the</w:t>
            </w:r>
          </w:p>
        </w:tc>
      </w:tr>
      <w:tr>
        <w:trPr>
          <w:trHeight w:val="175"/>
        </w:trPr>
        <w:tc>
          <w:tcPr>
            <w:tcW w:w="90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Guarantors named therein and The Bank of New York Mellon</w:t>
            </w:r>
          </w:p>
        </w:tc>
      </w:tr>
      <w:tr>
        <w:trPr>
          <w:trHeight w:val="184"/>
        </w:trPr>
        <w:tc>
          <w:tcPr>
            <w:tcW w:w="900" w:type="dxa"/>
            <w:vAlign w:val="bottom"/>
          </w:tcPr>
          <w:p>
            <w:pPr>
              <w:spacing w:after="0"/>
              <w:rPr>
                <w:sz w:val="16"/>
                <w:szCs w:val="16"/>
                <w:color w:val="auto"/>
              </w:rPr>
            </w:pPr>
          </w:p>
        </w:tc>
        <w:tc>
          <w:tcPr>
            <w:tcW w:w="5260" w:type="dxa"/>
            <w:vAlign w:val="bottom"/>
          </w:tcPr>
          <w:p>
            <w:pPr>
              <w:ind w:left="400"/>
              <w:spacing w:after="0" w:line="184" w:lineRule="exact"/>
              <w:rPr>
                <w:sz w:val="20"/>
                <w:szCs w:val="20"/>
                <w:color w:val="auto"/>
              </w:rPr>
            </w:pPr>
            <w:r>
              <w:rPr>
                <w:rFonts w:ascii="Times New Roman" w:cs="Times New Roman" w:eastAsia="Times New Roman" w:hAnsi="Times New Roman"/>
                <w:sz w:val="18"/>
                <w:szCs w:val="18"/>
                <w:color w:val="auto"/>
              </w:rPr>
              <w:t>Trust Company, N.A., as Trustee, relating to Lamar Media’s 5%</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Senior Subordinated Notes due 2023.</w:t>
            </w: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4(b)(2)</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5% Senior Subordinated Notes due 2023.</w:t>
            </w:r>
          </w:p>
        </w:tc>
      </w:tr>
      <w:tr>
        <w:trPr>
          <w:trHeight w:val="8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4(b)(3)</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5% Senior Subordinated Exchange Notes due 2023.</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40"/>
        <w:spacing w:after="0" w:line="226"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Previously filed as Exhibit 2.1 to the Company’s Current Report on</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Form 8-K (File No. 0-30242) filed on September 2, 2014 and</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Previously filed as Exhibit 3.1 to the Company’s Current Report on</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Previously filed as Exhibit 3.2 to the Company’s Current Report on</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Previously filed as Exhibit 3.3 to the Company’s Current Report on</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120"/>
        <w:spacing w:after="0" w:line="216"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Previously filed as Exhibit 3.2 to Lamar Media’s Quarterly Report</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on Form 10-Q for the period ended March 31, 2007 (File No. 0-</w:t>
        </w:r>
      </w:hyperlink>
      <w:hyperlink r:id="rId155">
        <w:r>
          <w:rPr>
            <w:rFonts w:ascii="Times New Roman" w:cs="Times New Roman" w:eastAsia="Times New Roman" w:hAnsi="Times New Roman"/>
            <w:sz w:val="18"/>
            <w:szCs w:val="18"/>
            <w:u w:val="single" w:color="auto"/>
            <w:color w:val="0000FF"/>
          </w:rPr>
          <w:t>30242) filed on May 10, 2007 and incorporated herein by</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8"/>
          <w:szCs w:val="18"/>
          <w:u w:val="single" w:color="auto"/>
          <w:color w:val="0000FF"/>
        </w:rPr>
      </w:pPr>
    </w:p>
    <w:p>
      <w:pPr>
        <w:ind w:right="120"/>
        <w:spacing w:after="0" w:line="227" w:lineRule="auto"/>
        <w:rPr>
          <w:rFonts w:ascii="Times New Roman" w:cs="Times New Roman" w:eastAsia="Times New Roman" w:hAnsi="Times New Roman"/>
          <w:sz w:val="17"/>
          <w:szCs w:val="17"/>
          <w:u w:val="single" w:color="auto"/>
          <w:color w:val="0000FF"/>
        </w:rPr>
      </w:pPr>
      <w:hyperlink r:id="rId156">
        <w:r>
          <w:rPr>
            <w:rFonts w:ascii="Times New Roman" w:cs="Times New Roman" w:eastAsia="Times New Roman" w:hAnsi="Times New Roman"/>
            <w:sz w:val="17"/>
            <w:szCs w:val="17"/>
            <w:u w:val="single" w:color="auto"/>
            <w:color w:val="0000FF"/>
          </w:rPr>
          <w:t>Previously filed as Exhibit 3.1 to Lamar Media’s Quarterly Report</w:t>
        </w:r>
      </w:hyperlink>
      <w:r>
        <w:rPr>
          <w:rFonts w:ascii="Times New Roman" w:cs="Times New Roman" w:eastAsia="Times New Roman" w:hAnsi="Times New Roman"/>
          <w:sz w:val="17"/>
          <w:szCs w:val="17"/>
          <w:u w:val="single" w:color="auto"/>
          <w:color w:val="0000FF"/>
        </w:rPr>
        <w:t xml:space="preserve"> </w:t>
      </w:r>
      <w:hyperlink r:id="rId156">
        <w:r>
          <w:rPr>
            <w:rFonts w:ascii="Times New Roman" w:cs="Times New Roman" w:eastAsia="Times New Roman" w:hAnsi="Times New Roman"/>
            <w:sz w:val="17"/>
            <w:szCs w:val="17"/>
            <w:u w:val="single" w:color="auto"/>
            <w:color w:val="0000FF"/>
          </w:rPr>
          <w:t>on Form 10-Q for the period ended September 30, 1999 (File No.</w:t>
        </w:r>
      </w:hyperlink>
    </w:p>
    <w:p>
      <w:pPr>
        <w:spacing w:after="0" w:line="1" w:lineRule="exact"/>
        <w:rPr>
          <w:sz w:val="20"/>
          <w:szCs w:val="20"/>
          <w:color w:val="auto"/>
        </w:rPr>
      </w:pPr>
    </w:p>
    <w:p>
      <w:pPr>
        <w:ind w:right="180"/>
        <w:spacing w:after="0" w:line="233"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1-12407) filed on November 12, 1999 and incorporated herein by</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reference.</w:t>
        </w:r>
      </w:hyperlink>
    </w:p>
    <w:p>
      <w:pPr>
        <w:spacing w:after="0" w:line="51" w:lineRule="exact"/>
        <w:rPr>
          <w:sz w:val="20"/>
          <w:szCs w:val="20"/>
          <w:color w:val="auto"/>
        </w:rPr>
      </w:pPr>
    </w:p>
    <w:p>
      <w:pPr>
        <w:ind w:right="40"/>
        <w:spacing w:after="0" w:line="226"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Previously filed as Exhibit 4.2 to the Company’s Current Report on</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Previously filed as Exhibit 4.3 to the Company’s Current Report on</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280"/>
        <w:spacing w:after="0" w:line="229" w:lineRule="auto"/>
        <w:rPr>
          <w:rFonts w:ascii="Times New Roman" w:cs="Times New Roman" w:eastAsia="Times New Roman" w:hAnsi="Times New Roman"/>
          <w:sz w:val="17"/>
          <w:szCs w:val="17"/>
          <w:u w:val="single" w:color="auto"/>
          <w:color w:val="0000FF"/>
        </w:rPr>
      </w:pPr>
      <w:hyperlink r:id="rId159">
        <w:r>
          <w:rPr>
            <w:rFonts w:ascii="Times New Roman" w:cs="Times New Roman" w:eastAsia="Times New Roman" w:hAnsi="Times New Roman"/>
            <w:sz w:val="17"/>
            <w:szCs w:val="17"/>
            <w:u w:val="single" w:color="auto"/>
            <w:color w:val="0000FF"/>
          </w:rPr>
          <w:t>Previously filed as Exhibit 4(a)(3) to the Company’s Annual</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Reporting on Form 10-K for the year ended December 31, 2019</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(File No. 1-36756) filed on February 20, 2020 and incorporated</w:t>
        </w:r>
      </w:hyperlink>
    </w:p>
    <w:p>
      <w:pPr>
        <w:spacing w:after="0"/>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herein by reference.</w:t>
        </w:r>
      </w:hyperlink>
    </w:p>
    <w:p>
      <w:pPr>
        <w:spacing w:after="0" w:line="57" w:lineRule="exact"/>
        <w:rPr>
          <w:rFonts w:ascii="Times New Roman" w:cs="Times New Roman" w:eastAsia="Times New Roman" w:hAnsi="Times New Roman"/>
          <w:sz w:val="17"/>
          <w:szCs w:val="17"/>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Previously filed as Exhibit 4.1 to the Company’s Current Report on</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Form 8-K (File No. 0-30242) filed on October 31, 2012 and</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40"/>
        <w:spacing w:after="0" w:line="216"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Previously filed with the Indenture dated October 30, 2012, filed as</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Exhibit 4.1 to the Company’s Current Report on Form 8-K (File</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No. 0-30242) filed on October 31, 2012, and incorporated herein</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8"/>
          <w:szCs w:val="18"/>
          <w:u w:val="single" w:color="auto"/>
          <w:color w:val="0000FF"/>
        </w:rPr>
      </w:pPr>
    </w:p>
    <w:p>
      <w:pPr>
        <w:ind w:right="40"/>
        <w:spacing w:after="0" w:line="216"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Previously filed with the Indenture dated October 30, 2012, filed as</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Exhibit 4.1 to the Company’s Current Report on Form 8-K (File</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No. 0-30242) filed on October 31, 2012, and incorporated herein</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80" w:space="160"/>
            <w:col w:w="4880"/>
          </w:cols>
          <w:pgMar w:left="320" w:top="121" w:right="35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78"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4(b)(4)</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30, 2012,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30, 2012,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30, 2012,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May 31, 2013,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January 2, 2014,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4(b)(9)</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July 28, 2015,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4(b)(10)</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14, 2017,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4(b)(11)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14, 2017,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4(b)(12)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bl>
    <w:p>
      <w:pPr>
        <w:ind w:left="1320" w:right="500"/>
        <w:spacing w:after="0" w:line="226" w:lineRule="auto"/>
        <w:rPr>
          <w:sz w:val="20"/>
          <w:szCs w:val="20"/>
          <w:color w:val="auto"/>
        </w:rPr>
      </w:pPr>
      <w:r>
        <w:rPr>
          <w:rFonts w:ascii="Times New Roman" w:cs="Times New Roman" w:eastAsia="Times New Roman" w:hAnsi="Times New Roman"/>
          <w:sz w:val="18"/>
          <w:szCs w:val="18"/>
          <w:color w:val="auto"/>
        </w:rPr>
        <w:t>as of January 22, 2019, relating to Lamar Media’s 5% Senior Subordinated Notes due 2023.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ind w:right="100"/>
        <w:spacing w:after="0" w:line="229" w:lineRule="auto"/>
        <w:rPr>
          <w:rFonts w:ascii="Times New Roman" w:cs="Times New Roman" w:eastAsia="Times New Roman" w:hAnsi="Times New Roman"/>
          <w:sz w:val="17"/>
          <w:szCs w:val="17"/>
          <w:u w:val="single" w:color="auto"/>
          <w:color w:val="0000FF"/>
        </w:rPr>
      </w:pPr>
      <w:hyperlink r:id="rId164">
        <w:r>
          <w:rPr>
            <w:rFonts w:ascii="Times New Roman" w:cs="Times New Roman" w:eastAsia="Times New Roman" w:hAnsi="Times New Roman"/>
            <w:sz w:val="17"/>
            <w:szCs w:val="17"/>
            <w:u w:val="single" w:color="auto"/>
            <w:color w:val="0000FF"/>
          </w:rPr>
          <w:t>Previously filed as Exhibit 4(h)(4) to the Company’s Annual</w:t>
        </w:r>
      </w:hyperlink>
      <w:r>
        <w:rPr>
          <w:rFonts w:ascii="Times New Roman" w:cs="Times New Roman" w:eastAsia="Times New Roman" w:hAnsi="Times New Roman"/>
          <w:sz w:val="17"/>
          <w:szCs w:val="17"/>
          <w:u w:val="single" w:color="auto"/>
          <w:color w:val="0000FF"/>
        </w:rPr>
        <w:t xml:space="preserve"> </w:t>
      </w:r>
      <w:hyperlink r:id="rId164">
        <w:r>
          <w:rPr>
            <w:rFonts w:ascii="Times New Roman" w:cs="Times New Roman" w:eastAsia="Times New Roman" w:hAnsi="Times New Roman"/>
            <w:sz w:val="17"/>
            <w:szCs w:val="17"/>
            <w:u w:val="single" w:color="auto"/>
            <w:color w:val="0000FF"/>
          </w:rPr>
          <w:t>Report on Form 10-K for the year ended December 31, 2012 (File</w:t>
        </w:r>
      </w:hyperlink>
      <w:r>
        <w:rPr>
          <w:rFonts w:ascii="Times New Roman" w:cs="Times New Roman" w:eastAsia="Times New Roman" w:hAnsi="Times New Roman"/>
          <w:sz w:val="17"/>
          <w:szCs w:val="17"/>
          <w:u w:val="single" w:color="auto"/>
          <w:color w:val="0000FF"/>
        </w:rPr>
        <w:t xml:space="preserve"> </w:t>
      </w:r>
      <w:hyperlink r:id="rId164">
        <w:r>
          <w:rPr>
            <w:rFonts w:ascii="Times New Roman" w:cs="Times New Roman" w:eastAsia="Times New Roman" w:hAnsi="Times New Roman"/>
            <w:sz w:val="17"/>
            <w:szCs w:val="17"/>
            <w:u w:val="single" w:color="auto"/>
            <w:color w:val="0000FF"/>
          </w:rPr>
          <w:t>No. 0-30242) filed on February 28, 2013 and incorporated herein</w:t>
        </w:r>
      </w:hyperlink>
    </w:p>
    <w:p>
      <w:pPr>
        <w:spacing w:after="0"/>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65">
        <w:r>
          <w:rPr>
            <w:rFonts w:ascii="Times New Roman" w:cs="Times New Roman" w:eastAsia="Times New Roman" w:hAnsi="Times New Roman"/>
            <w:sz w:val="17"/>
            <w:szCs w:val="17"/>
            <w:u w:val="single" w:color="auto"/>
            <w:color w:val="0000FF"/>
          </w:rPr>
          <w:t>Previously filed as Exhibit 4(h)(5) to the Company’s Annual</w:t>
        </w:r>
      </w:hyperlink>
      <w:r>
        <w:rPr>
          <w:rFonts w:ascii="Times New Roman" w:cs="Times New Roman" w:eastAsia="Times New Roman" w:hAnsi="Times New Roman"/>
          <w:sz w:val="17"/>
          <w:szCs w:val="17"/>
          <w:u w:val="single" w:color="auto"/>
          <w:color w:val="0000FF"/>
        </w:rPr>
        <w:t xml:space="preserve"> </w:t>
      </w:r>
      <w:hyperlink r:id="rId165">
        <w:r>
          <w:rPr>
            <w:rFonts w:ascii="Times New Roman" w:cs="Times New Roman" w:eastAsia="Times New Roman" w:hAnsi="Times New Roman"/>
            <w:sz w:val="17"/>
            <w:szCs w:val="17"/>
            <w:u w:val="single" w:color="auto"/>
            <w:color w:val="0000FF"/>
          </w:rPr>
          <w:t>Report on Form 10-K for the year ended December 31, 2012 (File</w:t>
        </w:r>
      </w:hyperlink>
      <w:r>
        <w:rPr>
          <w:rFonts w:ascii="Times New Roman" w:cs="Times New Roman" w:eastAsia="Times New Roman" w:hAnsi="Times New Roman"/>
          <w:sz w:val="17"/>
          <w:szCs w:val="17"/>
          <w:u w:val="single" w:color="auto"/>
          <w:color w:val="0000FF"/>
        </w:rPr>
        <w:t xml:space="preserve"> </w:t>
      </w:r>
      <w:hyperlink r:id="rId165">
        <w:r>
          <w:rPr>
            <w:rFonts w:ascii="Times New Roman" w:cs="Times New Roman" w:eastAsia="Times New Roman" w:hAnsi="Times New Roman"/>
            <w:sz w:val="17"/>
            <w:szCs w:val="17"/>
            <w:u w:val="single" w:color="auto"/>
            <w:color w:val="0000FF"/>
          </w:rPr>
          <w:t>No. 0-30242) filed on February 28, 2013 and incorporated herein</w:t>
        </w:r>
      </w:hyperlink>
    </w:p>
    <w:p>
      <w:pPr>
        <w:spacing w:after="0"/>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66">
        <w:r>
          <w:rPr>
            <w:rFonts w:ascii="Times New Roman" w:cs="Times New Roman" w:eastAsia="Times New Roman" w:hAnsi="Times New Roman"/>
            <w:sz w:val="17"/>
            <w:szCs w:val="17"/>
            <w:u w:val="single" w:color="auto"/>
            <w:color w:val="0000FF"/>
          </w:rPr>
          <w:t>Previously filed as Exhibit 4(h)(6) to the Company’s Annual</w:t>
        </w:r>
      </w:hyperlink>
      <w:r>
        <w:rPr>
          <w:rFonts w:ascii="Times New Roman" w:cs="Times New Roman" w:eastAsia="Times New Roman" w:hAnsi="Times New Roman"/>
          <w:sz w:val="17"/>
          <w:szCs w:val="17"/>
          <w:u w:val="single" w:color="auto"/>
          <w:color w:val="0000FF"/>
        </w:rPr>
        <w:t xml:space="preserve"> </w:t>
      </w:r>
      <w:hyperlink r:id="rId166">
        <w:r>
          <w:rPr>
            <w:rFonts w:ascii="Times New Roman" w:cs="Times New Roman" w:eastAsia="Times New Roman" w:hAnsi="Times New Roman"/>
            <w:sz w:val="17"/>
            <w:szCs w:val="17"/>
            <w:u w:val="single" w:color="auto"/>
            <w:color w:val="0000FF"/>
          </w:rPr>
          <w:t>Report on Form 10-K for the year ended December 31, 2012 (File</w:t>
        </w:r>
      </w:hyperlink>
      <w:r>
        <w:rPr>
          <w:rFonts w:ascii="Times New Roman" w:cs="Times New Roman" w:eastAsia="Times New Roman" w:hAnsi="Times New Roman"/>
          <w:sz w:val="17"/>
          <w:szCs w:val="17"/>
          <w:u w:val="single" w:color="auto"/>
          <w:color w:val="0000FF"/>
        </w:rPr>
        <w:t xml:space="preserve"> </w:t>
      </w:r>
      <w:hyperlink r:id="rId166">
        <w:r>
          <w:rPr>
            <w:rFonts w:ascii="Times New Roman" w:cs="Times New Roman" w:eastAsia="Times New Roman" w:hAnsi="Times New Roman"/>
            <w:sz w:val="17"/>
            <w:szCs w:val="17"/>
            <w:u w:val="single" w:color="auto"/>
            <w:color w:val="0000FF"/>
          </w:rPr>
          <w:t>No. 0-30242) filed on February 28, 2013 and incorporated herein</w:t>
        </w:r>
      </w:hyperlink>
    </w:p>
    <w:p>
      <w:pPr>
        <w:spacing w:after="0"/>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80"/>
        <w:spacing w:after="0" w:line="216"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Previously filed as Exhibit 4.4 to the Company’s Quarterly Report</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on Form 10-Q for the period ended June 30, 2013 (File No. 0-</w:t>
        </w:r>
      </w:hyperlink>
      <w:hyperlink r:id="rId167">
        <w:r>
          <w:rPr>
            <w:rFonts w:ascii="Times New Roman" w:cs="Times New Roman" w:eastAsia="Times New Roman" w:hAnsi="Times New Roman"/>
            <w:sz w:val="18"/>
            <w:szCs w:val="18"/>
            <w:u w:val="single" w:color="auto"/>
            <w:color w:val="0000FF"/>
          </w:rPr>
          <w:t>30242) filed on August 8, 2013 and incorporated herein by</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8"/>
          <w:szCs w:val="18"/>
          <w:u w:val="single" w:color="auto"/>
          <w:color w:val="0000FF"/>
        </w:rPr>
      </w:pPr>
    </w:p>
    <w:p>
      <w:pPr>
        <w:ind w:right="40"/>
        <w:spacing w:after="0" w:line="239" w:lineRule="auto"/>
        <w:rPr>
          <w:rFonts w:ascii="Times New Roman" w:cs="Times New Roman" w:eastAsia="Times New Roman" w:hAnsi="Times New Roman"/>
          <w:sz w:val="17"/>
          <w:szCs w:val="17"/>
          <w:u w:val="single" w:color="auto"/>
          <w:color w:val="0000FF"/>
        </w:rPr>
      </w:pPr>
      <w:hyperlink r:id="rId168">
        <w:r>
          <w:rPr>
            <w:rFonts w:ascii="Times New Roman" w:cs="Times New Roman" w:eastAsia="Times New Roman" w:hAnsi="Times New Roman"/>
            <w:sz w:val="17"/>
            <w:szCs w:val="17"/>
            <w:u w:val="single" w:color="auto"/>
            <w:color w:val="0000FF"/>
          </w:rPr>
          <w:t>Previously filed as Exhibit 4.5 to the Company’s Quarterly Report</w:t>
        </w:r>
      </w:hyperlink>
      <w:r>
        <w:rPr>
          <w:rFonts w:ascii="Times New Roman" w:cs="Times New Roman" w:eastAsia="Times New Roman" w:hAnsi="Times New Roman"/>
          <w:sz w:val="17"/>
          <w:szCs w:val="17"/>
          <w:u w:val="single" w:color="auto"/>
          <w:color w:val="0000FF"/>
        </w:rPr>
        <w:t xml:space="preserve"> </w:t>
      </w:r>
      <w:hyperlink r:id="rId168">
        <w:r>
          <w:rPr>
            <w:rFonts w:ascii="Times New Roman" w:cs="Times New Roman" w:eastAsia="Times New Roman" w:hAnsi="Times New Roman"/>
            <w:sz w:val="17"/>
            <w:szCs w:val="17"/>
            <w:u w:val="single" w:color="auto"/>
            <w:color w:val="0000FF"/>
          </w:rPr>
          <w:t>on Form 10-Q for the period ended March 31, 2014 (File No. 0-</w:t>
        </w:r>
      </w:hyperlink>
      <w:hyperlink r:id="rId168">
        <w:r>
          <w:rPr>
            <w:rFonts w:ascii="Times New Roman" w:cs="Times New Roman" w:eastAsia="Times New Roman" w:hAnsi="Times New Roman"/>
            <w:sz w:val="17"/>
            <w:szCs w:val="17"/>
            <w:u w:val="single" w:color="auto"/>
            <w:color w:val="0000FF"/>
          </w:rPr>
          <w:t>30242) filed on May 7, 2014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8" w:lineRule="exact"/>
        <w:rPr>
          <w:rFonts w:ascii="Times New Roman" w:cs="Times New Roman" w:eastAsia="Times New Roman" w:hAnsi="Times New Roman"/>
          <w:sz w:val="17"/>
          <w:szCs w:val="17"/>
          <w:u w:val="single" w:color="auto"/>
          <w:color w:val="0000FF"/>
        </w:rPr>
      </w:pPr>
    </w:p>
    <w:p>
      <w:pPr>
        <w:jc w:val="both"/>
        <w:ind w:right="80"/>
        <w:spacing w:after="0" w:line="229" w:lineRule="auto"/>
        <w:rPr>
          <w:rFonts w:ascii="Times New Roman" w:cs="Times New Roman" w:eastAsia="Times New Roman" w:hAnsi="Times New Roman"/>
          <w:sz w:val="17"/>
          <w:szCs w:val="17"/>
          <w:u w:val="single" w:color="auto"/>
          <w:color w:val="0000FF"/>
        </w:rPr>
      </w:pPr>
      <w:hyperlink r:id="rId169">
        <w:r>
          <w:rPr>
            <w:rFonts w:ascii="Times New Roman" w:cs="Times New Roman" w:eastAsia="Times New Roman" w:hAnsi="Times New Roman"/>
            <w:sz w:val="17"/>
            <w:szCs w:val="17"/>
            <w:u w:val="single" w:color="auto"/>
            <w:color w:val="0000FF"/>
          </w:rPr>
          <w:t>Previously filed as Exhibit 4.2 to the Company’s Quarterly Report</w:t>
        </w:r>
      </w:hyperlink>
      <w:r>
        <w:rPr>
          <w:rFonts w:ascii="Times New Roman" w:cs="Times New Roman" w:eastAsia="Times New Roman" w:hAnsi="Times New Roman"/>
          <w:sz w:val="17"/>
          <w:szCs w:val="17"/>
          <w:u w:val="single" w:color="auto"/>
          <w:color w:val="0000FF"/>
        </w:rPr>
        <w:t xml:space="preserve"> </w:t>
      </w:r>
      <w:hyperlink r:id="rId169">
        <w:r>
          <w:rPr>
            <w:rFonts w:ascii="Times New Roman" w:cs="Times New Roman" w:eastAsia="Times New Roman" w:hAnsi="Times New Roman"/>
            <w:sz w:val="17"/>
            <w:szCs w:val="17"/>
            <w:u w:val="single" w:color="auto"/>
            <w:color w:val="0000FF"/>
          </w:rPr>
          <w:t>on Form 10-Q for the period ended September 30, 2015 (File No.</w:t>
        </w:r>
      </w:hyperlink>
      <w:r>
        <w:rPr>
          <w:rFonts w:ascii="Times New Roman" w:cs="Times New Roman" w:eastAsia="Times New Roman" w:hAnsi="Times New Roman"/>
          <w:sz w:val="17"/>
          <w:szCs w:val="17"/>
          <w:u w:val="single" w:color="auto"/>
          <w:color w:val="0000FF"/>
        </w:rPr>
        <w:t xml:space="preserve"> </w:t>
      </w:r>
      <w:hyperlink r:id="rId169">
        <w:r>
          <w:rPr>
            <w:rFonts w:ascii="Times New Roman" w:cs="Times New Roman" w:eastAsia="Times New Roman" w:hAnsi="Times New Roman"/>
            <w:sz w:val="17"/>
            <w:szCs w:val="17"/>
            <w:u w:val="single" w:color="auto"/>
            <w:color w:val="0000FF"/>
          </w:rPr>
          <w:t>1-36756) filed on November 5, 2015 and incorporated herein by</w:t>
        </w:r>
      </w:hyperlink>
    </w:p>
    <w:p>
      <w:pPr>
        <w:spacing w:after="0"/>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70">
        <w:r>
          <w:rPr>
            <w:rFonts w:ascii="Times New Roman" w:cs="Times New Roman" w:eastAsia="Times New Roman" w:hAnsi="Times New Roman"/>
            <w:sz w:val="17"/>
            <w:szCs w:val="17"/>
            <w:u w:val="single" w:color="auto"/>
            <w:color w:val="0000FF"/>
          </w:rPr>
          <w:t>Previously filed as Exhibit 4(c)(10) to the Company’s Annual</w:t>
        </w:r>
      </w:hyperlink>
      <w:r>
        <w:rPr>
          <w:rFonts w:ascii="Times New Roman" w:cs="Times New Roman" w:eastAsia="Times New Roman" w:hAnsi="Times New Roman"/>
          <w:sz w:val="17"/>
          <w:szCs w:val="17"/>
          <w:u w:val="single" w:color="auto"/>
          <w:color w:val="0000FF"/>
        </w:rPr>
        <w:t xml:space="preserve"> </w:t>
      </w:r>
      <w:hyperlink r:id="rId170">
        <w:r>
          <w:rPr>
            <w:rFonts w:ascii="Times New Roman" w:cs="Times New Roman" w:eastAsia="Times New Roman" w:hAnsi="Times New Roman"/>
            <w:sz w:val="17"/>
            <w:szCs w:val="17"/>
            <w:u w:val="single" w:color="auto"/>
            <w:color w:val="0000FF"/>
          </w:rPr>
          <w:t>Report on Form 10-K for the year ended December 31, 2017 (File</w:t>
        </w:r>
      </w:hyperlink>
      <w:r>
        <w:rPr>
          <w:rFonts w:ascii="Times New Roman" w:cs="Times New Roman" w:eastAsia="Times New Roman" w:hAnsi="Times New Roman"/>
          <w:sz w:val="17"/>
          <w:szCs w:val="17"/>
          <w:u w:val="single" w:color="auto"/>
          <w:color w:val="0000FF"/>
        </w:rPr>
        <w:t xml:space="preserve"> </w:t>
      </w:r>
      <w:hyperlink r:id="rId170">
        <w:r>
          <w:rPr>
            <w:rFonts w:ascii="Times New Roman" w:cs="Times New Roman" w:eastAsia="Times New Roman" w:hAnsi="Times New Roman"/>
            <w:sz w:val="17"/>
            <w:szCs w:val="17"/>
            <w:u w:val="single" w:color="auto"/>
            <w:color w:val="0000FF"/>
          </w:rPr>
          <w:t>No. 1-36756) filed on February 27, 2018 and incorporated herein</w:t>
        </w:r>
      </w:hyperlink>
    </w:p>
    <w:p>
      <w:pPr>
        <w:spacing w:after="0"/>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71">
        <w:r>
          <w:rPr>
            <w:rFonts w:ascii="Times New Roman" w:cs="Times New Roman" w:eastAsia="Times New Roman" w:hAnsi="Times New Roman"/>
            <w:sz w:val="17"/>
            <w:szCs w:val="17"/>
            <w:u w:val="single" w:color="auto"/>
            <w:color w:val="0000FF"/>
          </w:rPr>
          <w:t>Previously filed as Exhibit 4(c)(11) to the Company’s Annual</w:t>
        </w:r>
      </w:hyperlink>
      <w:r>
        <w:rPr>
          <w:rFonts w:ascii="Times New Roman" w:cs="Times New Roman" w:eastAsia="Times New Roman" w:hAnsi="Times New Roman"/>
          <w:sz w:val="17"/>
          <w:szCs w:val="17"/>
          <w:u w:val="single" w:color="auto"/>
          <w:color w:val="0000FF"/>
        </w:rPr>
        <w:t xml:space="preserve"> </w:t>
      </w:r>
      <w:hyperlink r:id="rId171">
        <w:r>
          <w:rPr>
            <w:rFonts w:ascii="Times New Roman" w:cs="Times New Roman" w:eastAsia="Times New Roman" w:hAnsi="Times New Roman"/>
            <w:sz w:val="17"/>
            <w:szCs w:val="17"/>
            <w:u w:val="single" w:color="auto"/>
            <w:color w:val="0000FF"/>
          </w:rPr>
          <w:t>Report on Form 10-K for the year ended December 31, 2017 (File</w:t>
        </w:r>
      </w:hyperlink>
      <w:r>
        <w:rPr>
          <w:rFonts w:ascii="Times New Roman" w:cs="Times New Roman" w:eastAsia="Times New Roman" w:hAnsi="Times New Roman"/>
          <w:sz w:val="17"/>
          <w:szCs w:val="17"/>
          <w:u w:val="single" w:color="auto"/>
          <w:color w:val="0000FF"/>
        </w:rPr>
        <w:t xml:space="preserve"> </w:t>
      </w:r>
      <w:hyperlink r:id="rId171">
        <w:r>
          <w:rPr>
            <w:rFonts w:ascii="Times New Roman" w:cs="Times New Roman" w:eastAsia="Times New Roman" w:hAnsi="Times New Roman"/>
            <w:sz w:val="17"/>
            <w:szCs w:val="17"/>
            <w:u w:val="single" w:color="auto"/>
            <w:color w:val="0000FF"/>
          </w:rPr>
          <w:t>No. 1-36756) filed on February 27, 2018 and incorporated herein</w:t>
        </w:r>
      </w:hyperlink>
    </w:p>
    <w:p>
      <w:pPr>
        <w:spacing w:after="0"/>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172">
        <w:r>
          <w:rPr>
            <w:rFonts w:ascii="Times New Roman" w:cs="Times New Roman" w:eastAsia="Times New Roman" w:hAnsi="Times New Roman"/>
            <w:sz w:val="17"/>
            <w:szCs w:val="17"/>
            <w:u w:val="single" w:color="auto"/>
            <w:color w:val="0000FF"/>
          </w:rPr>
          <w:t>Previously filed as Exhibit 4.2 to the Company’s Quarterly Report</w:t>
        </w:r>
      </w:hyperlink>
      <w:r>
        <w:rPr>
          <w:rFonts w:ascii="Times New Roman" w:cs="Times New Roman" w:eastAsia="Times New Roman" w:hAnsi="Times New Roman"/>
          <w:sz w:val="17"/>
          <w:szCs w:val="17"/>
          <w:u w:val="single" w:color="auto"/>
          <w:color w:val="0000FF"/>
        </w:rPr>
        <w:t xml:space="preserve"> </w:t>
      </w:r>
      <w:hyperlink r:id="rId172">
        <w:r>
          <w:rPr>
            <w:rFonts w:ascii="Times New Roman" w:cs="Times New Roman" w:eastAsia="Times New Roman" w:hAnsi="Times New Roman"/>
            <w:sz w:val="17"/>
            <w:szCs w:val="17"/>
            <w:u w:val="single" w:color="auto"/>
            <w:color w:val="0000FF"/>
          </w:rPr>
          <w:t>on Form 10-Q for the period ended March 31, 2019 (File No. 1-</w:t>
        </w:r>
      </w:hyperlink>
      <w:hyperlink r:id="rId172">
        <w:r>
          <w:rPr>
            <w:rFonts w:ascii="Times New Roman" w:cs="Times New Roman" w:eastAsia="Times New Roman" w:hAnsi="Times New Roman"/>
            <w:sz w:val="17"/>
            <w:szCs w:val="17"/>
            <w:u w:val="single" w:color="auto"/>
            <w:color w:val="0000FF"/>
          </w:rPr>
          <w:t>36756) filed on May 2, 2019, and incorporated herein 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4(b)(13)</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January 22, 2019,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4(b)(14)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August 15, 2019,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as of January 10, 2014, between Lamar Media,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Guarantors named therein and The Bank of New York Mellon</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Trust Company, N.A., as Trustee, relating to Lamar Media’s 5</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 Senior Notes due 2024.</w:t>
            </w:r>
          </w:p>
        </w:tc>
        <w:tc>
          <w:tcPr>
            <w:tcW w:w="0" w:type="dxa"/>
            <w:vAlign w:val="bottom"/>
          </w:tcPr>
          <w:p>
            <w:pPr>
              <w:spacing w:after="0"/>
              <w:rPr>
                <w:sz w:val="1"/>
                <w:szCs w:val="1"/>
                <w:color w:val="auto"/>
              </w:rPr>
            </w:pPr>
          </w:p>
        </w:tc>
      </w:tr>
      <w:tr>
        <w:trPr>
          <w:trHeight w:val="28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5 3/8% Senior Notes due 2024.</w:t>
            </w:r>
          </w:p>
        </w:tc>
        <w:tc>
          <w:tcPr>
            <w:tcW w:w="0" w:type="dxa"/>
            <w:vAlign w:val="bottom"/>
          </w:tcPr>
          <w:p>
            <w:pPr>
              <w:spacing w:after="0"/>
              <w:rPr>
                <w:sz w:val="1"/>
                <w:szCs w:val="1"/>
                <w:color w:val="auto"/>
              </w:rPr>
            </w:pPr>
          </w:p>
        </w:tc>
      </w:tr>
      <w:tr>
        <w:trPr>
          <w:trHeight w:val="82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5 3/8% Senior Exchange Notes due 2024.</w:t>
            </w:r>
          </w:p>
        </w:tc>
        <w:tc>
          <w:tcPr>
            <w:tcW w:w="0" w:type="dxa"/>
            <w:vAlign w:val="bottom"/>
          </w:tcPr>
          <w:p>
            <w:pPr>
              <w:spacing w:after="0"/>
              <w:rPr>
                <w:sz w:val="1"/>
                <w:szCs w:val="1"/>
                <w:color w:val="auto"/>
              </w:rPr>
            </w:pPr>
          </w:p>
        </w:tc>
      </w:tr>
      <w:tr>
        <w:trPr>
          <w:trHeight w:val="77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10,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2014,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July 28, 2015, relating to Lamar Media’s 5 3/8%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10,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2014,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14, 2017, relating to Lamar Media’s 5 3/8%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10,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2014,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14, 2017, relating to Lamar Media’s 5 3/8%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10,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2014,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January 22, 2019, relating to Lamar Media’s 5 3/8%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10,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2014, among Lamar Media, the Guarantors named therein and The</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bl>
    <w:p>
      <w:pPr>
        <w:ind w:left="1320" w:right="220"/>
        <w:spacing w:after="0" w:line="226" w:lineRule="auto"/>
        <w:rPr>
          <w:sz w:val="20"/>
          <w:szCs w:val="20"/>
          <w:color w:val="auto"/>
        </w:rPr>
      </w:pPr>
      <w:r>
        <w:rPr>
          <w:rFonts w:ascii="Times New Roman" w:cs="Times New Roman" w:eastAsia="Times New Roman" w:hAnsi="Times New Roman"/>
          <w:sz w:val="18"/>
          <w:szCs w:val="18"/>
          <w:color w:val="auto"/>
        </w:rPr>
        <w:t>as of January 22, 2019, relating to Lamar Media’s 5 3/8% Senior Notes due 2024.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spacing w:after="0" w:line="239" w:lineRule="auto"/>
        <w:rPr>
          <w:rFonts w:ascii="Times New Roman" w:cs="Times New Roman" w:eastAsia="Times New Roman" w:hAnsi="Times New Roman"/>
          <w:sz w:val="17"/>
          <w:szCs w:val="17"/>
          <w:u w:val="single" w:color="auto"/>
          <w:color w:val="0000FF"/>
        </w:rPr>
      </w:pPr>
      <w:hyperlink r:id="rId175">
        <w:r>
          <w:rPr>
            <w:rFonts w:ascii="Times New Roman" w:cs="Times New Roman" w:eastAsia="Times New Roman" w:hAnsi="Times New Roman"/>
            <w:sz w:val="17"/>
            <w:szCs w:val="17"/>
            <w:u w:val="single" w:color="auto"/>
            <w:color w:val="0000FF"/>
          </w:rPr>
          <w:t>Previously filed as Exhibit 4.3 to the Company’s Quarterly Report</w:t>
        </w:r>
      </w:hyperlink>
      <w:r>
        <w:rPr>
          <w:rFonts w:ascii="Times New Roman" w:cs="Times New Roman" w:eastAsia="Times New Roman" w:hAnsi="Times New Roman"/>
          <w:sz w:val="17"/>
          <w:szCs w:val="17"/>
          <w:u w:val="single" w:color="auto"/>
          <w:color w:val="0000FF"/>
        </w:rPr>
        <w:t xml:space="preserve"> </w:t>
      </w:r>
      <w:hyperlink r:id="rId175">
        <w:r>
          <w:rPr>
            <w:rFonts w:ascii="Times New Roman" w:cs="Times New Roman" w:eastAsia="Times New Roman" w:hAnsi="Times New Roman"/>
            <w:sz w:val="17"/>
            <w:szCs w:val="17"/>
            <w:u w:val="single" w:color="auto"/>
            <w:color w:val="0000FF"/>
          </w:rPr>
          <w:t>on Form 10-Q for the period ended March 31, 2019 (File No. 1-</w:t>
        </w:r>
      </w:hyperlink>
      <w:hyperlink r:id="rId175">
        <w:r>
          <w:rPr>
            <w:rFonts w:ascii="Times New Roman" w:cs="Times New Roman" w:eastAsia="Times New Roman" w:hAnsi="Times New Roman"/>
            <w:sz w:val="17"/>
            <w:szCs w:val="17"/>
            <w:u w:val="single" w:color="auto"/>
            <w:color w:val="0000FF"/>
          </w:rPr>
          <w:t>36756) filed on May 2, 2019,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8" w:lineRule="exact"/>
        <w:rPr>
          <w:rFonts w:ascii="Times New Roman" w:cs="Times New Roman" w:eastAsia="Times New Roman" w:hAnsi="Times New Roman"/>
          <w:sz w:val="17"/>
          <w:szCs w:val="17"/>
          <w:u w:val="single" w:color="auto"/>
          <w:color w:val="0000FF"/>
        </w:rPr>
      </w:pPr>
    </w:p>
    <w:p>
      <w:pPr>
        <w:jc w:val="both"/>
        <w:ind w:right="80"/>
        <w:spacing w:after="0" w:line="229" w:lineRule="auto"/>
        <w:rPr>
          <w:rFonts w:ascii="Times New Roman" w:cs="Times New Roman" w:eastAsia="Times New Roman" w:hAnsi="Times New Roman"/>
          <w:sz w:val="17"/>
          <w:szCs w:val="17"/>
          <w:u w:val="single" w:color="auto"/>
          <w:color w:val="0000FF"/>
        </w:rPr>
      </w:pPr>
      <w:hyperlink r:id="rId176">
        <w:r>
          <w:rPr>
            <w:rFonts w:ascii="Times New Roman" w:cs="Times New Roman" w:eastAsia="Times New Roman" w:hAnsi="Times New Roman"/>
            <w:sz w:val="17"/>
            <w:szCs w:val="17"/>
            <w:u w:val="single" w:color="auto"/>
            <w:color w:val="0000FF"/>
          </w:rPr>
          <w:t>Previously filed as Exhibit 4.1 to the Company’s Quarterly Report</w:t>
        </w:r>
      </w:hyperlink>
      <w:r>
        <w:rPr>
          <w:rFonts w:ascii="Times New Roman" w:cs="Times New Roman" w:eastAsia="Times New Roman" w:hAnsi="Times New Roman"/>
          <w:sz w:val="17"/>
          <w:szCs w:val="17"/>
          <w:u w:val="single" w:color="auto"/>
          <w:color w:val="0000FF"/>
        </w:rPr>
        <w:t xml:space="preserve"> </w:t>
      </w:r>
      <w:hyperlink r:id="rId176">
        <w:r>
          <w:rPr>
            <w:rFonts w:ascii="Times New Roman" w:cs="Times New Roman" w:eastAsia="Times New Roman" w:hAnsi="Times New Roman"/>
            <w:sz w:val="17"/>
            <w:szCs w:val="17"/>
            <w:u w:val="single" w:color="auto"/>
            <w:color w:val="0000FF"/>
          </w:rPr>
          <w:t>on Form 10-Q for the period ended September 30, 2019 (File No.</w:t>
        </w:r>
      </w:hyperlink>
      <w:r>
        <w:rPr>
          <w:rFonts w:ascii="Times New Roman" w:cs="Times New Roman" w:eastAsia="Times New Roman" w:hAnsi="Times New Roman"/>
          <w:sz w:val="17"/>
          <w:szCs w:val="17"/>
          <w:u w:val="single" w:color="auto"/>
          <w:color w:val="0000FF"/>
        </w:rPr>
        <w:t xml:space="preserve"> </w:t>
      </w:r>
      <w:hyperlink r:id="rId176">
        <w:r>
          <w:rPr>
            <w:rFonts w:ascii="Times New Roman" w:cs="Times New Roman" w:eastAsia="Times New Roman" w:hAnsi="Times New Roman"/>
            <w:sz w:val="17"/>
            <w:szCs w:val="17"/>
            <w:u w:val="single" w:color="auto"/>
            <w:color w:val="0000FF"/>
          </w:rPr>
          <w:t>1-36756) filed on November 5, 2019, and incorporated herein by</w:t>
        </w:r>
      </w:hyperlink>
    </w:p>
    <w:p>
      <w:pPr>
        <w:spacing w:after="0"/>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26" w:lineRule="auto"/>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Previously filed as Exhibit 4.1 to the Company’s Current Report on</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Form 8-K (File No. 0-30242) filed on January 15, 2014 and</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77">
        <w:r>
          <w:rPr>
            <w:rFonts w:ascii="Times New Roman" w:cs="Times New Roman" w:eastAsia="Times New Roman" w:hAnsi="Times New Roman"/>
            <w:sz w:val="17"/>
            <w:szCs w:val="17"/>
            <w:u w:val="single" w:color="auto"/>
            <w:color w:val="0000FF"/>
          </w:rPr>
          <w:t>Previously filed with the Indenture dated January 10, 2014, filed as</w:t>
        </w:r>
      </w:hyperlink>
      <w:r>
        <w:rPr>
          <w:rFonts w:ascii="Times New Roman" w:cs="Times New Roman" w:eastAsia="Times New Roman" w:hAnsi="Times New Roman"/>
          <w:sz w:val="17"/>
          <w:szCs w:val="17"/>
          <w:u w:val="single" w:color="auto"/>
          <w:color w:val="0000FF"/>
        </w:rPr>
        <w:t xml:space="preserve"> </w:t>
      </w:r>
      <w:hyperlink r:id="rId177">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77">
        <w:r>
          <w:rPr>
            <w:rFonts w:ascii="Times New Roman" w:cs="Times New Roman" w:eastAsia="Times New Roman" w:hAnsi="Times New Roman"/>
            <w:sz w:val="17"/>
            <w:szCs w:val="17"/>
            <w:u w:val="single" w:color="auto"/>
            <w:color w:val="0000FF"/>
          </w:rPr>
          <w:t>No. 0-30242) filed on January 15, 2014 and incorporated herein by</w:t>
        </w:r>
      </w:hyperlink>
    </w:p>
    <w:p>
      <w:pPr>
        <w:spacing w:after="0"/>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7"/>
          <w:szCs w:val="17"/>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77">
        <w:r>
          <w:rPr>
            <w:rFonts w:ascii="Times New Roman" w:cs="Times New Roman" w:eastAsia="Times New Roman" w:hAnsi="Times New Roman"/>
            <w:sz w:val="17"/>
            <w:szCs w:val="17"/>
            <w:u w:val="single" w:color="auto"/>
            <w:color w:val="0000FF"/>
          </w:rPr>
          <w:t>Previously filed with the Indenture dated January 10, 2014, filed as</w:t>
        </w:r>
      </w:hyperlink>
      <w:r>
        <w:rPr>
          <w:rFonts w:ascii="Times New Roman" w:cs="Times New Roman" w:eastAsia="Times New Roman" w:hAnsi="Times New Roman"/>
          <w:sz w:val="17"/>
          <w:szCs w:val="17"/>
          <w:u w:val="single" w:color="auto"/>
          <w:color w:val="0000FF"/>
        </w:rPr>
        <w:t xml:space="preserve"> </w:t>
      </w:r>
      <w:hyperlink r:id="rId177">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77">
        <w:r>
          <w:rPr>
            <w:rFonts w:ascii="Times New Roman" w:cs="Times New Roman" w:eastAsia="Times New Roman" w:hAnsi="Times New Roman"/>
            <w:sz w:val="17"/>
            <w:szCs w:val="17"/>
            <w:u w:val="single" w:color="auto"/>
            <w:color w:val="0000FF"/>
          </w:rPr>
          <w:t>No. 0-30242) filed on January 15, 2014 and incorporated herein by</w:t>
        </w:r>
      </w:hyperlink>
    </w:p>
    <w:p>
      <w:pPr>
        <w:spacing w:after="0"/>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7"/>
          <w:szCs w:val="17"/>
          <w:u w:val="single" w:color="auto"/>
          <w:color w:val="0000FF"/>
        </w:rPr>
      </w:pPr>
    </w:p>
    <w:p>
      <w:pPr>
        <w:jc w:val="both"/>
        <w:ind w:right="80"/>
        <w:spacing w:after="0" w:line="227" w:lineRule="auto"/>
        <w:rPr>
          <w:rFonts w:ascii="Times New Roman" w:cs="Times New Roman" w:eastAsia="Times New Roman" w:hAnsi="Times New Roman"/>
          <w:sz w:val="17"/>
          <w:szCs w:val="17"/>
          <w:u w:val="single" w:color="auto"/>
          <w:color w:val="0000FF"/>
        </w:rPr>
      </w:pPr>
      <w:hyperlink r:id="rId178">
        <w:r>
          <w:rPr>
            <w:rFonts w:ascii="Times New Roman" w:cs="Times New Roman" w:eastAsia="Times New Roman" w:hAnsi="Times New Roman"/>
            <w:sz w:val="17"/>
            <w:szCs w:val="17"/>
            <w:u w:val="single" w:color="auto"/>
            <w:color w:val="0000FF"/>
          </w:rPr>
          <w:t>Previously filed as Exhibit 4.1 to the Company’s Quarterly Report</w:t>
        </w:r>
      </w:hyperlink>
      <w:r>
        <w:rPr>
          <w:rFonts w:ascii="Times New Roman" w:cs="Times New Roman" w:eastAsia="Times New Roman" w:hAnsi="Times New Roman"/>
          <w:sz w:val="17"/>
          <w:szCs w:val="17"/>
          <w:u w:val="single" w:color="auto"/>
          <w:color w:val="0000FF"/>
        </w:rPr>
        <w:t xml:space="preserve"> </w:t>
      </w:r>
      <w:hyperlink r:id="rId178">
        <w:r>
          <w:rPr>
            <w:rFonts w:ascii="Times New Roman" w:cs="Times New Roman" w:eastAsia="Times New Roman" w:hAnsi="Times New Roman"/>
            <w:sz w:val="17"/>
            <w:szCs w:val="17"/>
            <w:u w:val="single" w:color="auto"/>
            <w:color w:val="0000FF"/>
          </w:rPr>
          <w:t>on Form 10-Q for the period ended September 30, 2015 (File No.</w:t>
        </w:r>
      </w:hyperlink>
    </w:p>
    <w:p>
      <w:pPr>
        <w:spacing w:after="0" w:line="1" w:lineRule="exact"/>
        <w:rPr>
          <w:sz w:val="20"/>
          <w:szCs w:val="20"/>
          <w:color w:val="auto"/>
        </w:rPr>
      </w:pPr>
    </w:p>
    <w:p>
      <w:pPr>
        <w:ind w:right="220"/>
        <w:spacing w:after="0" w:line="233" w:lineRule="auto"/>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1-36756) filed on November 5, 2015 and incorporated herein by</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reference.</w:t>
        </w:r>
      </w:hyperlink>
    </w:p>
    <w:p>
      <w:pPr>
        <w:spacing w:after="0" w:line="240" w:lineRule="exact"/>
        <w:rPr>
          <w:sz w:val="20"/>
          <w:szCs w:val="20"/>
          <w:color w:val="auto"/>
        </w:rPr>
      </w:pPr>
    </w:p>
    <w:p>
      <w:pPr>
        <w:ind w:right="100"/>
        <w:spacing w:after="0" w:line="229" w:lineRule="auto"/>
        <w:rPr>
          <w:rFonts w:ascii="Times New Roman" w:cs="Times New Roman" w:eastAsia="Times New Roman" w:hAnsi="Times New Roman"/>
          <w:sz w:val="17"/>
          <w:szCs w:val="17"/>
          <w:u w:val="single" w:color="auto"/>
          <w:color w:val="0000FF"/>
        </w:rPr>
      </w:pPr>
      <w:hyperlink r:id="rId179">
        <w:r>
          <w:rPr>
            <w:rFonts w:ascii="Times New Roman" w:cs="Times New Roman" w:eastAsia="Times New Roman" w:hAnsi="Times New Roman"/>
            <w:sz w:val="17"/>
            <w:szCs w:val="17"/>
            <w:u w:val="single" w:color="auto"/>
            <w:color w:val="0000FF"/>
          </w:rPr>
          <w:t>Previously filed as Exhibit 4(d)(5) to the Company’s Annual</w:t>
        </w:r>
      </w:hyperlink>
      <w:r>
        <w:rPr>
          <w:rFonts w:ascii="Times New Roman" w:cs="Times New Roman" w:eastAsia="Times New Roman" w:hAnsi="Times New Roman"/>
          <w:sz w:val="17"/>
          <w:szCs w:val="17"/>
          <w:u w:val="single" w:color="auto"/>
          <w:color w:val="0000FF"/>
        </w:rPr>
        <w:t xml:space="preserve"> </w:t>
      </w:r>
      <w:hyperlink r:id="rId179">
        <w:r>
          <w:rPr>
            <w:rFonts w:ascii="Times New Roman" w:cs="Times New Roman" w:eastAsia="Times New Roman" w:hAnsi="Times New Roman"/>
            <w:sz w:val="17"/>
            <w:szCs w:val="17"/>
            <w:u w:val="single" w:color="auto"/>
            <w:color w:val="0000FF"/>
          </w:rPr>
          <w:t>Report on Form 10-K for the year ended December 31, 2017 (File</w:t>
        </w:r>
      </w:hyperlink>
      <w:r>
        <w:rPr>
          <w:rFonts w:ascii="Times New Roman" w:cs="Times New Roman" w:eastAsia="Times New Roman" w:hAnsi="Times New Roman"/>
          <w:sz w:val="17"/>
          <w:szCs w:val="17"/>
          <w:u w:val="single" w:color="auto"/>
          <w:color w:val="0000FF"/>
        </w:rPr>
        <w:t xml:space="preserve"> </w:t>
      </w:r>
      <w:hyperlink r:id="rId179">
        <w:r>
          <w:rPr>
            <w:rFonts w:ascii="Times New Roman" w:cs="Times New Roman" w:eastAsia="Times New Roman" w:hAnsi="Times New Roman"/>
            <w:sz w:val="17"/>
            <w:szCs w:val="17"/>
            <w:u w:val="single" w:color="auto"/>
            <w:color w:val="0000FF"/>
          </w:rPr>
          <w:t>No. 1-36756) filed on February 27, 2018 and incorporated herein</w:t>
        </w:r>
      </w:hyperlink>
    </w:p>
    <w:p>
      <w:pPr>
        <w:spacing w:after="0"/>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80">
        <w:r>
          <w:rPr>
            <w:rFonts w:ascii="Times New Roman" w:cs="Times New Roman" w:eastAsia="Times New Roman" w:hAnsi="Times New Roman"/>
            <w:sz w:val="17"/>
            <w:szCs w:val="17"/>
            <w:u w:val="single" w:color="auto"/>
            <w:color w:val="0000FF"/>
          </w:rPr>
          <w:t>Previously filed as Exhibit 4(d)(6) to the Company’s Annual</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Report on Form 10-K for the year ended December 31, 2017 (File</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No. 1-36756) filed on February 27, 2018 and incorporated herein</w:t>
        </w:r>
      </w:hyperlink>
    </w:p>
    <w:p>
      <w:pPr>
        <w:spacing w:after="0"/>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181">
        <w:r>
          <w:rPr>
            <w:rFonts w:ascii="Times New Roman" w:cs="Times New Roman" w:eastAsia="Times New Roman" w:hAnsi="Times New Roman"/>
            <w:sz w:val="17"/>
            <w:szCs w:val="17"/>
            <w:u w:val="single" w:color="auto"/>
            <w:color w:val="0000FF"/>
          </w:rPr>
          <w:t>Previously filed as Exhibit 4.4 to the Company’s Quarterly Report</w:t>
        </w:r>
      </w:hyperlink>
      <w:r>
        <w:rPr>
          <w:rFonts w:ascii="Times New Roman" w:cs="Times New Roman" w:eastAsia="Times New Roman" w:hAnsi="Times New Roman"/>
          <w:sz w:val="17"/>
          <w:szCs w:val="17"/>
          <w:u w:val="single" w:color="auto"/>
          <w:color w:val="0000FF"/>
        </w:rPr>
        <w:t xml:space="preserve"> </w:t>
      </w:r>
      <w:hyperlink r:id="rId181">
        <w:r>
          <w:rPr>
            <w:rFonts w:ascii="Times New Roman" w:cs="Times New Roman" w:eastAsia="Times New Roman" w:hAnsi="Times New Roman"/>
            <w:sz w:val="17"/>
            <w:szCs w:val="17"/>
            <w:u w:val="single" w:color="auto"/>
            <w:color w:val="0000FF"/>
          </w:rPr>
          <w:t>on Form 10-Q for the period ended March 31, 2019 (File No. 1-</w:t>
        </w:r>
      </w:hyperlink>
      <w:hyperlink r:id="rId181">
        <w:r>
          <w:rPr>
            <w:rFonts w:ascii="Times New Roman" w:cs="Times New Roman" w:eastAsia="Times New Roman" w:hAnsi="Times New Roman"/>
            <w:sz w:val="17"/>
            <w:szCs w:val="17"/>
            <w:u w:val="single" w:color="auto"/>
            <w:color w:val="0000FF"/>
          </w:rPr>
          <w:t>36756) filed on May 2, 2019,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8"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182">
        <w:r>
          <w:rPr>
            <w:rFonts w:ascii="Times New Roman" w:cs="Times New Roman" w:eastAsia="Times New Roman" w:hAnsi="Times New Roman"/>
            <w:sz w:val="17"/>
            <w:szCs w:val="17"/>
            <w:u w:val="single" w:color="auto"/>
            <w:color w:val="0000FF"/>
          </w:rPr>
          <w:t>Previously filed as Exhibit 4.5 to the Company’s Quarterly Report</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on Form 10-Q for the period ended March 31, 2019 (File No. 1-</w:t>
        </w:r>
      </w:hyperlink>
      <w:hyperlink r:id="rId182">
        <w:r>
          <w:rPr>
            <w:rFonts w:ascii="Times New Roman" w:cs="Times New Roman" w:eastAsia="Times New Roman" w:hAnsi="Times New Roman"/>
            <w:sz w:val="17"/>
            <w:szCs w:val="17"/>
            <w:u w:val="single" w:color="auto"/>
            <w:color w:val="0000FF"/>
          </w:rPr>
          <w:t>36756) filed on May 2, 2019, and incorporated herein 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4(c)(9)</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Supplemental Indenture to the Indenture dated as of January 10,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2014,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August 15, 2019, relating to Lamar Media’s 5 3/8%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as of January 28, 2016, between Lamar Media,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Guarantors named therein and The Bank of New York Mellon</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Trust Company, N.A., as Trustee, relating to Lamar Media’s 5</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 Senior Notes due 2026.</w:t>
            </w:r>
          </w:p>
        </w:tc>
        <w:tc>
          <w:tcPr>
            <w:tcW w:w="0" w:type="dxa"/>
            <w:vAlign w:val="bottom"/>
          </w:tcPr>
          <w:p>
            <w:pPr>
              <w:spacing w:after="0"/>
              <w:rPr>
                <w:sz w:val="1"/>
                <w:szCs w:val="1"/>
                <w:color w:val="auto"/>
              </w:rPr>
            </w:pPr>
          </w:p>
        </w:tc>
      </w:tr>
      <w:tr>
        <w:trPr>
          <w:trHeight w:val="28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5 3/4% Senior Notes due 2026.</w:t>
            </w:r>
          </w:p>
        </w:tc>
        <w:tc>
          <w:tcPr>
            <w:tcW w:w="0" w:type="dxa"/>
            <w:vAlign w:val="bottom"/>
          </w:tcPr>
          <w:p>
            <w:pPr>
              <w:spacing w:after="0"/>
              <w:rPr>
                <w:sz w:val="1"/>
                <w:szCs w:val="1"/>
                <w:color w:val="auto"/>
              </w:rPr>
            </w:pPr>
          </w:p>
        </w:tc>
      </w:tr>
      <w:tr>
        <w:trPr>
          <w:trHeight w:val="82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5 3/4% Senior Exchange Notes due 2026.</w:t>
            </w:r>
          </w:p>
        </w:tc>
        <w:tc>
          <w:tcPr>
            <w:tcW w:w="0" w:type="dxa"/>
            <w:vAlign w:val="bottom"/>
          </w:tcPr>
          <w:p>
            <w:pPr>
              <w:spacing w:after="0"/>
              <w:rPr>
                <w:sz w:val="1"/>
                <w:szCs w:val="1"/>
                <w:color w:val="auto"/>
              </w:rPr>
            </w:pPr>
          </w:p>
        </w:tc>
      </w:tr>
      <w:tr>
        <w:trPr>
          <w:trHeight w:val="76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28,</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2016,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14, 2017, relating to Lamar Media’s 5 3/4%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2026.</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28,</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2016,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14, 2017, relating to Lamar Media’s 5 3/4%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2026.</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28,</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2016,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January 22, 2019, relating to Lamar Media’s 5 3/4%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2026.</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28,</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2016,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January 22, 2019, relating to Lamar Media’s 5 3/4%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2026.</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dated as of February 1, 2019, between</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Lamar Media, the Guarantors named therein and The Bank of New</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York Mellon Trust Company, N.A., as Trustee, relating to Lamar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Media’s 5 3/4% Senior Notes due 2026.</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4(d)(9)</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28,</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2016, among Lamar Media, the Guarantors named therein and The</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bl>
    <w:p>
      <w:pPr>
        <w:ind w:left="1320" w:right="260"/>
        <w:spacing w:after="0" w:line="226" w:lineRule="auto"/>
        <w:rPr>
          <w:sz w:val="20"/>
          <w:szCs w:val="20"/>
          <w:color w:val="auto"/>
        </w:rPr>
      </w:pPr>
      <w:r>
        <w:rPr>
          <w:rFonts w:ascii="Times New Roman" w:cs="Times New Roman" w:eastAsia="Times New Roman" w:hAnsi="Times New Roman"/>
          <w:sz w:val="18"/>
          <w:szCs w:val="18"/>
          <w:color w:val="auto"/>
        </w:rPr>
        <w:t>as of August 15, 2019, relating to Lamar Media’s 5 3/4% Senior Notes due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jc w:val="both"/>
        <w:ind w:right="80"/>
        <w:spacing w:after="0" w:line="229" w:lineRule="auto"/>
        <w:rPr>
          <w:rFonts w:ascii="Times New Roman" w:cs="Times New Roman" w:eastAsia="Times New Roman" w:hAnsi="Times New Roman"/>
          <w:sz w:val="17"/>
          <w:szCs w:val="17"/>
          <w:u w:val="single" w:color="auto"/>
          <w:color w:val="0000FF"/>
        </w:rPr>
      </w:pPr>
      <w:hyperlink r:id="rId185">
        <w:r>
          <w:rPr>
            <w:rFonts w:ascii="Times New Roman" w:cs="Times New Roman" w:eastAsia="Times New Roman" w:hAnsi="Times New Roman"/>
            <w:sz w:val="17"/>
            <w:szCs w:val="17"/>
            <w:u w:val="single" w:color="auto"/>
            <w:color w:val="0000FF"/>
          </w:rPr>
          <w:t>Previously filed as Exhibit 4.2 to the Company’s Quarterly Report</w:t>
        </w:r>
      </w:hyperlink>
      <w:r>
        <w:rPr>
          <w:rFonts w:ascii="Times New Roman" w:cs="Times New Roman" w:eastAsia="Times New Roman" w:hAnsi="Times New Roman"/>
          <w:sz w:val="17"/>
          <w:szCs w:val="17"/>
          <w:u w:val="single" w:color="auto"/>
          <w:color w:val="0000FF"/>
        </w:rPr>
        <w:t xml:space="preserve"> </w:t>
      </w:r>
      <w:hyperlink r:id="rId185">
        <w:r>
          <w:rPr>
            <w:rFonts w:ascii="Times New Roman" w:cs="Times New Roman" w:eastAsia="Times New Roman" w:hAnsi="Times New Roman"/>
            <w:sz w:val="17"/>
            <w:szCs w:val="17"/>
            <w:u w:val="single" w:color="auto"/>
            <w:color w:val="0000FF"/>
          </w:rPr>
          <w:t>on Form 10-Q for the period ended September 30, 2019 (File No.</w:t>
        </w:r>
      </w:hyperlink>
      <w:r>
        <w:rPr>
          <w:rFonts w:ascii="Times New Roman" w:cs="Times New Roman" w:eastAsia="Times New Roman" w:hAnsi="Times New Roman"/>
          <w:sz w:val="17"/>
          <w:szCs w:val="17"/>
          <w:u w:val="single" w:color="auto"/>
          <w:color w:val="0000FF"/>
        </w:rPr>
        <w:t xml:space="preserve"> </w:t>
      </w:r>
      <w:hyperlink r:id="rId185">
        <w:r>
          <w:rPr>
            <w:rFonts w:ascii="Times New Roman" w:cs="Times New Roman" w:eastAsia="Times New Roman" w:hAnsi="Times New Roman"/>
            <w:sz w:val="17"/>
            <w:szCs w:val="17"/>
            <w:u w:val="single" w:color="auto"/>
            <w:color w:val="0000FF"/>
          </w:rPr>
          <w:t>1-36756) filed on November 5, 2019, and incorporated herein by</w:t>
        </w:r>
      </w:hyperlink>
    </w:p>
    <w:p>
      <w:pPr>
        <w:spacing w:after="0"/>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26" w:lineRule="auto"/>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Previously filed as Exhibit 4.1 to the Company’s Current Report on</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Form 8-K (File No. 1-36756) filed on February 1, 2016 and</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86">
        <w:r>
          <w:rPr>
            <w:rFonts w:ascii="Times New Roman" w:cs="Times New Roman" w:eastAsia="Times New Roman" w:hAnsi="Times New Roman"/>
            <w:sz w:val="17"/>
            <w:szCs w:val="17"/>
            <w:u w:val="single" w:color="auto"/>
            <w:color w:val="0000FF"/>
          </w:rPr>
          <w:t>Previously filed with the Indenture dated January 28, 2016, filed as</w:t>
        </w:r>
      </w:hyperlink>
      <w:r>
        <w:rPr>
          <w:rFonts w:ascii="Times New Roman" w:cs="Times New Roman" w:eastAsia="Times New Roman" w:hAnsi="Times New Roman"/>
          <w:sz w:val="17"/>
          <w:szCs w:val="17"/>
          <w:u w:val="single" w:color="auto"/>
          <w:color w:val="0000FF"/>
        </w:rPr>
        <w:t xml:space="preserve"> </w:t>
      </w:r>
      <w:hyperlink r:id="rId186">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86">
        <w:r>
          <w:rPr>
            <w:rFonts w:ascii="Times New Roman" w:cs="Times New Roman" w:eastAsia="Times New Roman" w:hAnsi="Times New Roman"/>
            <w:sz w:val="17"/>
            <w:szCs w:val="17"/>
            <w:u w:val="single" w:color="auto"/>
            <w:color w:val="0000FF"/>
          </w:rPr>
          <w:t>No. 1-36756) filed on February 1, 2016 and incorporated herein by</w:t>
        </w:r>
      </w:hyperlink>
    </w:p>
    <w:p>
      <w:pPr>
        <w:spacing w:after="0"/>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7"/>
          <w:szCs w:val="17"/>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86">
        <w:r>
          <w:rPr>
            <w:rFonts w:ascii="Times New Roman" w:cs="Times New Roman" w:eastAsia="Times New Roman" w:hAnsi="Times New Roman"/>
            <w:sz w:val="17"/>
            <w:szCs w:val="17"/>
            <w:u w:val="single" w:color="auto"/>
            <w:color w:val="0000FF"/>
          </w:rPr>
          <w:t>Previously filed with the Indenture dated January 28, 2016, filed as</w:t>
        </w:r>
      </w:hyperlink>
      <w:r>
        <w:rPr>
          <w:rFonts w:ascii="Times New Roman" w:cs="Times New Roman" w:eastAsia="Times New Roman" w:hAnsi="Times New Roman"/>
          <w:sz w:val="17"/>
          <w:szCs w:val="17"/>
          <w:u w:val="single" w:color="auto"/>
          <w:color w:val="0000FF"/>
        </w:rPr>
        <w:t xml:space="preserve"> </w:t>
      </w:r>
      <w:hyperlink r:id="rId186">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86">
        <w:r>
          <w:rPr>
            <w:rFonts w:ascii="Times New Roman" w:cs="Times New Roman" w:eastAsia="Times New Roman" w:hAnsi="Times New Roman"/>
            <w:sz w:val="17"/>
            <w:szCs w:val="17"/>
            <w:u w:val="single" w:color="auto"/>
            <w:color w:val="0000FF"/>
          </w:rPr>
          <w:t>No. 1-36756) filed on February 1, 2016 and incorporated herein by</w:t>
        </w:r>
      </w:hyperlink>
    </w:p>
    <w:p>
      <w:pPr>
        <w:spacing w:after="0"/>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87">
        <w:r>
          <w:rPr>
            <w:rFonts w:ascii="Times New Roman" w:cs="Times New Roman" w:eastAsia="Times New Roman" w:hAnsi="Times New Roman"/>
            <w:sz w:val="17"/>
            <w:szCs w:val="17"/>
            <w:u w:val="single" w:color="auto"/>
            <w:color w:val="0000FF"/>
          </w:rPr>
          <w:t>Previously filed as Exhibit 4(e)(4) to the Company’s Annual</w:t>
        </w:r>
      </w:hyperlink>
      <w:r>
        <w:rPr>
          <w:rFonts w:ascii="Times New Roman" w:cs="Times New Roman" w:eastAsia="Times New Roman" w:hAnsi="Times New Roman"/>
          <w:sz w:val="17"/>
          <w:szCs w:val="17"/>
          <w:u w:val="single" w:color="auto"/>
          <w:color w:val="0000FF"/>
        </w:rPr>
        <w:t xml:space="preserve"> </w:t>
      </w:r>
      <w:hyperlink r:id="rId187">
        <w:r>
          <w:rPr>
            <w:rFonts w:ascii="Times New Roman" w:cs="Times New Roman" w:eastAsia="Times New Roman" w:hAnsi="Times New Roman"/>
            <w:sz w:val="17"/>
            <w:szCs w:val="17"/>
            <w:u w:val="single" w:color="auto"/>
            <w:color w:val="0000FF"/>
          </w:rPr>
          <w:t>Report on Form 10-K for the year ended December 31, 2017 (File</w:t>
        </w:r>
      </w:hyperlink>
      <w:r>
        <w:rPr>
          <w:rFonts w:ascii="Times New Roman" w:cs="Times New Roman" w:eastAsia="Times New Roman" w:hAnsi="Times New Roman"/>
          <w:sz w:val="17"/>
          <w:szCs w:val="17"/>
          <w:u w:val="single" w:color="auto"/>
          <w:color w:val="0000FF"/>
        </w:rPr>
        <w:t xml:space="preserve"> </w:t>
      </w:r>
      <w:hyperlink r:id="rId187">
        <w:r>
          <w:rPr>
            <w:rFonts w:ascii="Times New Roman" w:cs="Times New Roman" w:eastAsia="Times New Roman" w:hAnsi="Times New Roman"/>
            <w:sz w:val="17"/>
            <w:szCs w:val="17"/>
            <w:u w:val="single" w:color="auto"/>
            <w:color w:val="0000FF"/>
          </w:rPr>
          <w:t>No. 1-36756) filed on February 27, 2018 and incorporated herein</w:t>
        </w:r>
      </w:hyperlink>
    </w:p>
    <w:p>
      <w:pPr>
        <w:spacing w:after="0"/>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88">
        <w:r>
          <w:rPr>
            <w:rFonts w:ascii="Times New Roman" w:cs="Times New Roman" w:eastAsia="Times New Roman" w:hAnsi="Times New Roman"/>
            <w:sz w:val="17"/>
            <w:szCs w:val="17"/>
            <w:u w:val="single" w:color="auto"/>
            <w:color w:val="0000FF"/>
          </w:rPr>
          <w:t>Previously filed as Exhibit 4(e)(5) to the Company’s Annual</w:t>
        </w:r>
      </w:hyperlink>
      <w:r>
        <w:rPr>
          <w:rFonts w:ascii="Times New Roman" w:cs="Times New Roman" w:eastAsia="Times New Roman" w:hAnsi="Times New Roman"/>
          <w:sz w:val="17"/>
          <w:szCs w:val="17"/>
          <w:u w:val="single" w:color="auto"/>
          <w:color w:val="0000FF"/>
        </w:rPr>
        <w:t xml:space="preserve"> </w:t>
      </w:r>
      <w:hyperlink r:id="rId188">
        <w:r>
          <w:rPr>
            <w:rFonts w:ascii="Times New Roman" w:cs="Times New Roman" w:eastAsia="Times New Roman" w:hAnsi="Times New Roman"/>
            <w:sz w:val="17"/>
            <w:szCs w:val="17"/>
            <w:u w:val="single" w:color="auto"/>
            <w:color w:val="0000FF"/>
          </w:rPr>
          <w:t>Report on Form 10-K for the year ended December 31, 2017 (File</w:t>
        </w:r>
      </w:hyperlink>
      <w:r>
        <w:rPr>
          <w:rFonts w:ascii="Times New Roman" w:cs="Times New Roman" w:eastAsia="Times New Roman" w:hAnsi="Times New Roman"/>
          <w:sz w:val="17"/>
          <w:szCs w:val="17"/>
          <w:u w:val="single" w:color="auto"/>
          <w:color w:val="0000FF"/>
        </w:rPr>
        <w:t xml:space="preserve"> </w:t>
      </w:r>
      <w:hyperlink r:id="rId188">
        <w:r>
          <w:rPr>
            <w:rFonts w:ascii="Times New Roman" w:cs="Times New Roman" w:eastAsia="Times New Roman" w:hAnsi="Times New Roman"/>
            <w:sz w:val="17"/>
            <w:szCs w:val="17"/>
            <w:u w:val="single" w:color="auto"/>
            <w:color w:val="0000FF"/>
          </w:rPr>
          <w:t>No. 1-36756) filed on February 27, 2018 and incorporated herein</w:t>
        </w:r>
      </w:hyperlink>
    </w:p>
    <w:p>
      <w:pPr>
        <w:spacing w:after="0"/>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189">
        <w:r>
          <w:rPr>
            <w:rFonts w:ascii="Times New Roman" w:cs="Times New Roman" w:eastAsia="Times New Roman" w:hAnsi="Times New Roman"/>
            <w:sz w:val="17"/>
            <w:szCs w:val="17"/>
            <w:u w:val="single" w:color="auto"/>
            <w:color w:val="0000FF"/>
          </w:rPr>
          <w:t>Previously filed as Exhibit 4.6 to the Company’s Quarterly Report</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on Form 10-Q for the period ended March 31, 2019 (File No. 1-</w:t>
        </w:r>
      </w:hyperlink>
      <w:hyperlink r:id="rId189">
        <w:r>
          <w:rPr>
            <w:rFonts w:ascii="Times New Roman" w:cs="Times New Roman" w:eastAsia="Times New Roman" w:hAnsi="Times New Roman"/>
            <w:sz w:val="17"/>
            <w:szCs w:val="17"/>
            <w:u w:val="single" w:color="auto"/>
            <w:color w:val="0000FF"/>
          </w:rPr>
          <w:t>36756) filed on May 2, 2019,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8"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190">
        <w:r>
          <w:rPr>
            <w:rFonts w:ascii="Times New Roman" w:cs="Times New Roman" w:eastAsia="Times New Roman" w:hAnsi="Times New Roman"/>
            <w:sz w:val="17"/>
            <w:szCs w:val="17"/>
            <w:u w:val="single" w:color="auto"/>
            <w:color w:val="0000FF"/>
          </w:rPr>
          <w:t>Previously filed as Exhibit 4.7 to the Company’s Quarterly Report</w:t>
        </w:r>
      </w:hyperlink>
      <w:r>
        <w:rPr>
          <w:rFonts w:ascii="Times New Roman" w:cs="Times New Roman" w:eastAsia="Times New Roman" w:hAnsi="Times New Roman"/>
          <w:sz w:val="17"/>
          <w:szCs w:val="17"/>
          <w:u w:val="single" w:color="auto"/>
          <w:color w:val="0000FF"/>
        </w:rPr>
        <w:t xml:space="preserve"> </w:t>
      </w:r>
      <w:hyperlink r:id="rId190">
        <w:r>
          <w:rPr>
            <w:rFonts w:ascii="Times New Roman" w:cs="Times New Roman" w:eastAsia="Times New Roman" w:hAnsi="Times New Roman"/>
            <w:sz w:val="17"/>
            <w:szCs w:val="17"/>
            <w:u w:val="single" w:color="auto"/>
            <w:color w:val="0000FF"/>
          </w:rPr>
          <w:t>on Form 10-Q for the period ended March 31, 2019 (File No. 1-</w:t>
        </w:r>
      </w:hyperlink>
      <w:hyperlink r:id="rId190">
        <w:r>
          <w:rPr>
            <w:rFonts w:ascii="Times New Roman" w:cs="Times New Roman" w:eastAsia="Times New Roman" w:hAnsi="Times New Roman"/>
            <w:sz w:val="17"/>
            <w:szCs w:val="17"/>
            <w:u w:val="single" w:color="auto"/>
            <w:color w:val="0000FF"/>
          </w:rPr>
          <w:t>36756) filed on May 2, 2019,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8" w:lineRule="exact"/>
        <w:rPr>
          <w:rFonts w:ascii="Times New Roman" w:cs="Times New Roman" w:eastAsia="Times New Roman" w:hAnsi="Times New Roman"/>
          <w:sz w:val="17"/>
          <w:szCs w:val="17"/>
          <w:u w:val="single" w:color="auto"/>
          <w:color w:val="0000FF"/>
        </w:rPr>
      </w:pPr>
    </w:p>
    <w:p>
      <w:pPr>
        <w:ind w:right="100"/>
        <w:spacing w:after="0" w:line="226"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Previously filed as Exhibit 4.1 to Lamar Advertising’s Current</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Report on Form 8-K (File No. 1-36756) filed on February 6, 2019</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jc w:val="both"/>
        <w:ind w:right="80"/>
        <w:spacing w:after="0" w:line="229" w:lineRule="auto"/>
        <w:rPr>
          <w:rFonts w:ascii="Times New Roman" w:cs="Times New Roman" w:eastAsia="Times New Roman" w:hAnsi="Times New Roman"/>
          <w:sz w:val="17"/>
          <w:szCs w:val="17"/>
          <w:u w:val="single" w:color="auto"/>
          <w:color w:val="0000FF"/>
        </w:rPr>
      </w:pPr>
      <w:hyperlink r:id="rId192">
        <w:r>
          <w:rPr>
            <w:rFonts w:ascii="Times New Roman" w:cs="Times New Roman" w:eastAsia="Times New Roman" w:hAnsi="Times New Roman"/>
            <w:sz w:val="17"/>
            <w:szCs w:val="17"/>
            <w:u w:val="single" w:color="auto"/>
            <w:color w:val="0000FF"/>
          </w:rPr>
          <w:t>Previously filed as Exhibit 4.3 to the Company’s Quarterly Report</w:t>
        </w:r>
      </w:hyperlink>
      <w:r>
        <w:rPr>
          <w:rFonts w:ascii="Times New Roman" w:cs="Times New Roman" w:eastAsia="Times New Roman" w:hAnsi="Times New Roman"/>
          <w:sz w:val="17"/>
          <w:szCs w:val="17"/>
          <w:u w:val="single" w:color="auto"/>
          <w:color w:val="0000FF"/>
        </w:rPr>
        <w:t xml:space="preserve"> </w:t>
      </w:r>
      <w:hyperlink r:id="rId192">
        <w:r>
          <w:rPr>
            <w:rFonts w:ascii="Times New Roman" w:cs="Times New Roman" w:eastAsia="Times New Roman" w:hAnsi="Times New Roman"/>
            <w:sz w:val="17"/>
            <w:szCs w:val="17"/>
            <w:u w:val="single" w:color="auto"/>
            <w:color w:val="0000FF"/>
          </w:rPr>
          <w:t>on Form 10-Q for the period ended September 30, 2019 (File No.</w:t>
        </w:r>
      </w:hyperlink>
      <w:r>
        <w:rPr>
          <w:rFonts w:ascii="Times New Roman" w:cs="Times New Roman" w:eastAsia="Times New Roman" w:hAnsi="Times New Roman"/>
          <w:sz w:val="17"/>
          <w:szCs w:val="17"/>
          <w:u w:val="single" w:color="auto"/>
          <w:color w:val="0000FF"/>
        </w:rPr>
        <w:t xml:space="preserve"> </w:t>
      </w:r>
      <w:hyperlink r:id="rId192">
        <w:r>
          <w:rPr>
            <w:rFonts w:ascii="Times New Roman" w:cs="Times New Roman" w:eastAsia="Times New Roman" w:hAnsi="Times New Roman"/>
            <w:sz w:val="17"/>
            <w:szCs w:val="17"/>
            <w:u w:val="single" w:color="auto"/>
            <w:color w:val="0000FF"/>
          </w:rPr>
          <w:t>1-36756) filed on November 5, 2019, and incorporated herein by</w:t>
        </w:r>
      </w:hyperlink>
    </w:p>
    <w:p>
      <w:pPr>
        <w:spacing w:after="0"/>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reference.</w:t>
        </w:r>
      </w:hyperlink>
    </w:p>
    <w:p>
      <w:pPr>
        <w:sectPr>
          <w:pgSz w:w="11900" w:h="16838" w:orient="portrait"/>
          <w:cols w:equalWidth="0" w:num="2">
            <w:col w:w="6200" w:space="140"/>
            <w:col w:w="4840"/>
          </w:cols>
          <w:pgMar w:left="320" w:top="121" w:right="39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4(e)(1)</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Indenture, dated as of February 6, 2020, between Lamar Media,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Guarantors named therein and The Bank of New York Mellon</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Trust Company, N.A., as Trustee, relating to Lamar Media’s 3</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 Senior Notes due 2028.</w:t>
            </w:r>
          </w:p>
        </w:tc>
        <w:tc>
          <w:tcPr>
            <w:tcW w:w="0" w:type="dxa"/>
            <w:vAlign w:val="bottom"/>
          </w:tcPr>
          <w:p>
            <w:pPr>
              <w:spacing w:after="0"/>
              <w:rPr>
                <w:sz w:val="1"/>
                <w:szCs w:val="1"/>
                <w:color w:val="auto"/>
              </w:rPr>
            </w:pPr>
          </w:p>
        </w:tc>
      </w:tr>
      <w:tr>
        <w:trPr>
          <w:trHeight w:val="28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4(e)(2)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3 3/4% Senior Notes due 2028.</w:t>
            </w:r>
          </w:p>
        </w:tc>
        <w:tc>
          <w:tcPr>
            <w:tcW w:w="0" w:type="dxa"/>
            <w:vAlign w:val="bottom"/>
          </w:tcPr>
          <w:p>
            <w:pPr>
              <w:spacing w:after="0"/>
              <w:rPr>
                <w:sz w:val="1"/>
                <w:szCs w:val="1"/>
                <w:color w:val="auto"/>
              </w:rPr>
            </w:pPr>
          </w:p>
        </w:tc>
      </w:tr>
      <w:tr>
        <w:trPr>
          <w:trHeight w:val="82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4(e)(3)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3 3/4% Senior Exchange Notes due 2028.</w:t>
            </w:r>
          </w:p>
        </w:tc>
        <w:tc>
          <w:tcPr>
            <w:tcW w:w="0" w:type="dxa"/>
            <w:vAlign w:val="bottom"/>
          </w:tcPr>
          <w:p>
            <w:pPr>
              <w:spacing w:after="0"/>
              <w:rPr>
                <w:sz w:val="1"/>
                <w:szCs w:val="1"/>
                <w:color w:val="auto"/>
              </w:rPr>
            </w:pPr>
          </w:p>
        </w:tc>
      </w:tr>
      <w:tr>
        <w:trPr>
          <w:trHeight w:val="76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4(e)(4)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26,</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2022, among Lamar Media, the Guarantors named therein and U.S.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National Association, as Trustee, dated as of February 6,</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relating to Lamar Media’s 3.750% Senior Notes due 2028.</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4(e)(5)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June 3, 2022,</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National Association, as Trustee, dated as of February 6, 2020,</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Lamar Media’s 3.750% Senior Notes due 2028.</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4(f)(1)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as of February 6, 2020, between Lamar Media,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Guarantors named therein and The Bank of New York Mellon</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Trust Company, N.A., as Trustee, relating to Lamar Media’s 4%</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2030.</w:t>
            </w:r>
          </w:p>
        </w:tc>
        <w:tc>
          <w:tcPr>
            <w:tcW w:w="0" w:type="dxa"/>
            <w:vAlign w:val="bottom"/>
          </w:tcPr>
          <w:p>
            <w:pPr>
              <w:spacing w:after="0"/>
              <w:rPr>
                <w:sz w:val="1"/>
                <w:szCs w:val="1"/>
                <w:color w:val="auto"/>
              </w:rPr>
            </w:pPr>
          </w:p>
        </w:tc>
      </w:tr>
      <w:tr>
        <w:trPr>
          <w:trHeight w:val="28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4(f)(2)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4% Senior Notes due 2030.</w:t>
            </w:r>
          </w:p>
        </w:tc>
        <w:tc>
          <w:tcPr>
            <w:tcW w:w="0" w:type="dxa"/>
            <w:vAlign w:val="bottom"/>
          </w:tcPr>
          <w:p>
            <w:pPr>
              <w:spacing w:after="0"/>
              <w:rPr>
                <w:sz w:val="1"/>
                <w:szCs w:val="1"/>
                <w:color w:val="auto"/>
              </w:rPr>
            </w:pPr>
          </w:p>
        </w:tc>
      </w:tr>
      <w:tr>
        <w:trPr>
          <w:trHeight w:val="82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4(f)(3)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4% Senior Exchange Notes due 2030.</w:t>
            </w:r>
          </w:p>
        </w:tc>
        <w:tc>
          <w:tcPr>
            <w:tcW w:w="0" w:type="dxa"/>
            <w:vAlign w:val="bottom"/>
          </w:tcPr>
          <w:p>
            <w:pPr>
              <w:spacing w:after="0"/>
              <w:rPr>
                <w:sz w:val="1"/>
                <w:szCs w:val="1"/>
                <w:color w:val="auto"/>
              </w:rPr>
            </w:pPr>
          </w:p>
        </w:tc>
      </w:tr>
      <w:tr>
        <w:trPr>
          <w:trHeight w:val="76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4(f)(4)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26,</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2022, among Lamar Media, the Guarantors named therein and U.S.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National Association, as Trustee, dated as of February 6,</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relating to Lamar Media’s 4.000% Senior Notes due 2030.</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4(f)(5)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June 3, 2022,</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National Association, as Trustee, dated as of February 6, 2020,</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Lamar Media’s 4.000% Senior Notes due 2030.</w:t>
            </w:r>
          </w:p>
        </w:tc>
        <w:tc>
          <w:tcPr>
            <w:tcW w:w="0" w:type="dxa"/>
            <w:vAlign w:val="bottom"/>
          </w:tcPr>
          <w:p>
            <w:pPr>
              <w:spacing w:after="0"/>
              <w:rPr>
                <w:sz w:val="1"/>
                <w:szCs w:val="1"/>
                <w:color w:val="auto"/>
              </w:rPr>
            </w:pPr>
          </w:p>
        </w:tc>
      </w:tr>
      <w:tr>
        <w:trPr>
          <w:trHeight w:val="245"/>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4(g)(1)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as of May 13, 2020, between Lamar Media, the</w:t>
            </w:r>
          </w:p>
        </w:tc>
        <w:tc>
          <w:tcPr>
            <w:tcW w:w="0" w:type="dxa"/>
            <w:vAlign w:val="bottom"/>
          </w:tcPr>
          <w:p>
            <w:pPr>
              <w:spacing w:after="0"/>
              <w:rPr>
                <w:sz w:val="1"/>
                <w:szCs w:val="1"/>
                <w:color w:val="auto"/>
              </w:rPr>
            </w:pPr>
          </w:p>
        </w:tc>
      </w:tr>
    </w:tbl>
    <w:p>
      <w:pPr>
        <w:ind w:left="1320" w:right="420"/>
        <w:spacing w:after="0" w:line="223" w:lineRule="auto"/>
        <w:rPr>
          <w:sz w:val="20"/>
          <w:szCs w:val="20"/>
          <w:color w:val="auto"/>
        </w:rPr>
      </w:pPr>
      <w:r>
        <w:rPr>
          <w:rFonts w:ascii="Times New Roman" w:cs="Times New Roman" w:eastAsia="Times New Roman" w:hAnsi="Times New Roman"/>
          <w:sz w:val="17"/>
          <w:szCs w:val="17"/>
          <w:color w:val="auto"/>
        </w:rPr>
        <w:t>Guarantors named therein and The Bank of New York Mellon Trust Company, N.A., as Trustee, relating to Lamar Media’s 4</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7/8% Senior Notes due 2029.</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4">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spacing w:after="0" w:line="226" w:lineRule="auto"/>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Previously filed as Exhibit 4.1 to Lamar Advertising’s Current</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Report on Form 8-K (File No. 1-36756) filed on February 12, 2020</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95">
        <w:r>
          <w:rPr>
            <w:rFonts w:ascii="Times New Roman" w:cs="Times New Roman" w:eastAsia="Times New Roman" w:hAnsi="Times New Roman"/>
            <w:sz w:val="17"/>
            <w:szCs w:val="17"/>
            <w:u w:val="single" w:color="auto"/>
            <w:color w:val="0000FF"/>
          </w:rPr>
          <w:t>Previously filed with the Indenture dated February 6, 2020, filed as</w:t>
        </w:r>
      </w:hyperlink>
      <w:r>
        <w:rPr>
          <w:rFonts w:ascii="Times New Roman" w:cs="Times New Roman" w:eastAsia="Times New Roman" w:hAnsi="Times New Roman"/>
          <w:sz w:val="17"/>
          <w:szCs w:val="17"/>
          <w:u w:val="single" w:color="auto"/>
          <w:color w:val="0000FF"/>
        </w:rPr>
        <w:t xml:space="preserve"> </w:t>
      </w:r>
      <w:hyperlink r:id="rId195">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95">
        <w:r>
          <w:rPr>
            <w:rFonts w:ascii="Times New Roman" w:cs="Times New Roman" w:eastAsia="Times New Roman" w:hAnsi="Times New Roman"/>
            <w:sz w:val="17"/>
            <w:szCs w:val="17"/>
            <w:u w:val="single" w:color="auto"/>
            <w:color w:val="0000FF"/>
          </w:rPr>
          <w:t>No. 1-36756) filed on February 12, 2020 and incorporated herein</w:t>
        </w:r>
      </w:hyperlink>
    </w:p>
    <w:p>
      <w:pPr>
        <w:spacing w:after="0"/>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7"/>
          <w:szCs w:val="17"/>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95">
        <w:r>
          <w:rPr>
            <w:rFonts w:ascii="Times New Roman" w:cs="Times New Roman" w:eastAsia="Times New Roman" w:hAnsi="Times New Roman"/>
            <w:sz w:val="17"/>
            <w:szCs w:val="17"/>
            <w:u w:val="single" w:color="auto"/>
            <w:color w:val="0000FF"/>
          </w:rPr>
          <w:t>Previously filed with the Indenture dated February 6, 2020, filed as</w:t>
        </w:r>
      </w:hyperlink>
      <w:r>
        <w:rPr>
          <w:rFonts w:ascii="Times New Roman" w:cs="Times New Roman" w:eastAsia="Times New Roman" w:hAnsi="Times New Roman"/>
          <w:sz w:val="17"/>
          <w:szCs w:val="17"/>
          <w:u w:val="single" w:color="auto"/>
          <w:color w:val="0000FF"/>
        </w:rPr>
        <w:t xml:space="preserve"> </w:t>
      </w:r>
      <w:hyperlink r:id="rId195">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95">
        <w:r>
          <w:rPr>
            <w:rFonts w:ascii="Times New Roman" w:cs="Times New Roman" w:eastAsia="Times New Roman" w:hAnsi="Times New Roman"/>
            <w:sz w:val="17"/>
            <w:szCs w:val="17"/>
            <w:u w:val="single" w:color="auto"/>
            <w:color w:val="0000FF"/>
          </w:rPr>
          <w:t>No. 1-36756) filed on February 12, 2020 and incorporated herein</w:t>
        </w:r>
      </w:hyperlink>
    </w:p>
    <w:p>
      <w:pPr>
        <w:spacing w:after="0"/>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7"/>
          <w:szCs w:val="17"/>
          <w:u w:val="single" w:color="auto"/>
          <w:color w:val="0000FF"/>
        </w:rPr>
      </w:pPr>
    </w:p>
    <w:p>
      <w:pPr>
        <w:ind w:right="120"/>
        <w:spacing w:after="0" w:line="226" w:lineRule="auto"/>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Previously filed as Exhibit 4.2 to Lamar Advertising’s Quarterly</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Report for the period ended March 31, 2022 filed on May 5, 2022</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60"/>
        <w:spacing w:after="0" w:line="226" w:lineRule="auto"/>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Previously filed as Exhibit 4.2 to Lamar Advertising’s Quarterly</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Report for the period ended June 30, 2022 filed on August 3, 2022</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spacing w:after="0" w:line="226" w:lineRule="auto"/>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Previously filed as Exhibit 4.2 to Lamar Advertising’s Current</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Report on Form 8-K (File No. 1-36756) filed on February 12, 2020</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98">
        <w:r>
          <w:rPr>
            <w:rFonts w:ascii="Times New Roman" w:cs="Times New Roman" w:eastAsia="Times New Roman" w:hAnsi="Times New Roman"/>
            <w:sz w:val="17"/>
            <w:szCs w:val="17"/>
            <w:u w:val="single" w:color="auto"/>
            <w:color w:val="0000FF"/>
          </w:rPr>
          <w:t>Previously filed with the Indenture dated February 6, 2020, filed as</w:t>
        </w:r>
      </w:hyperlink>
      <w:r>
        <w:rPr>
          <w:rFonts w:ascii="Times New Roman" w:cs="Times New Roman" w:eastAsia="Times New Roman" w:hAnsi="Times New Roman"/>
          <w:sz w:val="17"/>
          <w:szCs w:val="17"/>
          <w:u w:val="single" w:color="auto"/>
          <w:color w:val="0000FF"/>
        </w:rPr>
        <w:t xml:space="preserve"> </w:t>
      </w:r>
      <w:hyperlink r:id="rId198">
        <w:r>
          <w:rPr>
            <w:rFonts w:ascii="Times New Roman" w:cs="Times New Roman" w:eastAsia="Times New Roman" w:hAnsi="Times New Roman"/>
            <w:sz w:val="17"/>
            <w:szCs w:val="17"/>
            <w:u w:val="single" w:color="auto"/>
            <w:color w:val="0000FF"/>
          </w:rPr>
          <w:t>Exhibit 4.2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98">
        <w:r>
          <w:rPr>
            <w:rFonts w:ascii="Times New Roman" w:cs="Times New Roman" w:eastAsia="Times New Roman" w:hAnsi="Times New Roman"/>
            <w:sz w:val="17"/>
            <w:szCs w:val="17"/>
            <w:u w:val="single" w:color="auto"/>
            <w:color w:val="0000FF"/>
          </w:rPr>
          <w:t>No. 1-36756) filed on February 12, 2020 and incorporated herein</w:t>
        </w:r>
      </w:hyperlink>
    </w:p>
    <w:p>
      <w:pPr>
        <w:spacing w:after="0"/>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7"/>
          <w:szCs w:val="17"/>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98">
        <w:r>
          <w:rPr>
            <w:rFonts w:ascii="Times New Roman" w:cs="Times New Roman" w:eastAsia="Times New Roman" w:hAnsi="Times New Roman"/>
            <w:sz w:val="17"/>
            <w:szCs w:val="17"/>
            <w:u w:val="single" w:color="auto"/>
            <w:color w:val="0000FF"/>
          </w:rPr>
          <w:t>Previously filed with the Indenture dated February 6, 2020, filed as</w:t>
        </w:r>
      </w:hyperlink>
      <w:r>
        <w:rPr>
          <w:rFonts w:ascii="Times New Roman" w:cs="Times New Roman" w:eastAsia="Times New Roman" w:hAnsi="Times New Roman"/>
          <w:sz w:val="17"/>
          <w:szCs w:val="17"/>
          <w:u w:val="single" w:color="auto"/>
          <w:color w:val="0000FF"/>
        </w:rPr>
        <w:t xml:space="preserve"> </w:t>
      </w:r>
      <w:hyperlink r:id="rId198">
        <w:r>
          <w:rPr>
            <w:rFonts w:ascii="Times New Roman" w:cs="Times New Roman" w:eastAsia="Times New Roman" w:hAnsi="Times New Roman"/>
            <w:sz w:val="17"/>
            <w:szCs w:val="17"/>
            <w:u w:val="single" w:color="auto"/>
            <w:color w:val="0000FF"/>
          </w:rPr>
          <w:t>Exhibit 4.2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98">
        <w:r>
          <w:rPr>
            <w:rFonts w:ascii="Times New Roman" w:cs="Times New Roman" w:eastAsia="Times New Roman" w:hAnsi="Times New Roman"/>
            <w:sz w:val="17"/>
            <w:szCs w:val="17"/>
            <w:u w:val="single" w:color="auto"/>
            <w:color w:val="0000FF"/>
          </w:rPr>
          <w:t>No. 1-36756) filed on February 12, 2020 and incorporated herein</w:t>
        </w:r>
      </w:hyperlink>
    </w:p>
    <w:p>
      <w:pPr>
        <w:spacing w:after="0"/>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7"/>
          <w:szCs w:val="17"/>
          <w:u w:val="single" w:color="auto"/>
          <w:color w:val="0000FF"/>
        </w:rPr>
      </w:pPr>
    </w:p>
    <w:p>
      <w:pPr>
        <w:ind w:right="120"/>
        <w:spacing w:after="0" w:line="226" w:lineRule="auto"/>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Previously filed as Exhibit 4.3 to Lamar Advertising’s Quarterly</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Report for the period ended March 31, 2022 filed on May 5, 2022</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60"/>
        <w:spacing w:after="0" w:line="226" w:lineRule="auto"/>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Previously filed as Exhibit 4.3 to Lamar Advertising’s Quarterly</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Report for the period ended June 30, 2022 filed on August 3, 2022</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20"/>
        <w:spacing w:after="0" w:line="226" w:lineRule="auto"/>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Previously filed as Exhibit 4.1 to Lamar Advertising’s Current</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Report on Form 8-K (File No. 1-36756) filed on May 19, 2020 and</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incorporated herein 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4(g)(2)</w:t>
            </w:r>
          </w:p>
        </w:tc>
        <w:tc>
          <w:tcPr>
            <w:tcW w:w="100" w:type="dxa"/>
            <w:vAlign w:val="bottom"/>
          </w:tcPr>
          <w:p>
            <w:pPr>
              <w:spacing w:after="0"/>
              <w:rPr>
                <w:sz w:val="20"/>
                <w:szCs w:val="20"/>
                <w:color w:val="auto"/>
              </w:rPr>
            </w:pPr>
          </w:p>
        </w:tc>
        <w:tc>
          <w:tcPr>
            <w:tcW w:w="4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Form of 4 7/8% Senior Notes due 2029.</w:t>
            </w:r>
          </w:p>
        </w:tc>
        <w:tc>
          <w:tcPr>
            <w:tcW w:w="0" w:type="dxa"/>
            <w:vAlign w:val="bottom"/>
          </w:tcPr>
          <w:p>
            <w:pPr>
              <w:spacing w:after="0"/>
              <w:rPr>
                <w:sz w:val="1"/>
                <w:szCs w:val="1"/>
                <w:color w:val="auto"/>
              </w:rPr>
            </w:pPr>
          </w:p>
        </w:tc>
      </w:tr>
      <w:tr>
        <w:trPr>
          <w:trHeight w:val="81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4(g)(3)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4 7/8% Senior Exchange Notes due 2029.</w:t>
            </w:r>
          </w:p>
        </w:tc>
        <w:tc>
          <w:tcPr>
            <w:tcW w:w="0" w:type="dxa"/>
            <w:vAlign w:val="bottom"/>
          </w:tcPr>
          <w:p>
            <w:pPr>
              <w:spacing w:after="0"/>
              <w:rPr>
                <w:sz w:val="1"/>
                <w:szCs w:val="1"/>
                <w:color w:val="auto"/>
              </w:rPr>
            </w:pPr>
          </w:p>
        </w:tc>
      </w:tr>
      <w:tr>
        <w:trPr>
          <w:trHeight w:val="76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4(g)(4)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26,</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2022, among Lamar Media, the Guarantors named therein and U.S.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National Association, as Trustee, dated as of May 13, 2020,</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Lamar Media’s 4.875% Senior Notes due 2029.</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4(g)(5)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June 3, 2022,</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National Association, as Trustee, dated as of May 13, 2020,</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Lamar Media’s 4.875% Senior Notes due 2029.</w:t>
            </w:r>
          </w:p>
        </w:tc>
        <w:tc>
          <w:tcPr>
            <w:tcW w:w="0" w:type="dxa"/>
            <w:vAlign w:val="bottom"/>
          </w:tcPr>
          <w:p>
            <w:pPr>
              <w:spacing w:after="0"/>
              <w:rPr>
                <w:sz w:val="1"/>
                <w:szCs w:val="1"/>
                <w:color w:val="auto"/>
              </w:rPr>
            </w:pPr>
          </w:p>
        </w:tc>
      </w:tr>
      <w:tr>
        <w:trPr>
          <w:trHeight w:val="427"/>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4(h)(1)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as of January 22, 2021, between Lamar Media, the</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Guarantors named therein and The Bank of New York Mellon</w:t>
            </w:r>
          </w:p>
        </w:tc>
        <w:tc>
          <w:tcPr>
            <w:tcW w:w="0" w:type="dxa"/>
            <w:vAlign w:val="bottom"/>
          </w:tcPr>
          <w:p>
            <w:pPr>
              <w:spacing w:after="0"/>
              <w:rPr>
                <w:sz w:val="1"/>
                <w:szCs w:val="1"/>
                <w:color w:val="auto"/>
              </w:rPr>
            </w:pPr>
          </w:p>
        </w:tc>
      </w:tr>
    </w:tbl>
    <w:p>
      <w:pPr>
        <w:ind w:left="1320" w:right="560"/>
        <w:spacing w:after="0" w:line="233" w:lineRule="auto"/>
        <w:rPr>
          <w:sz w:val="20"/>
          <w:szCs w:val="20"/>
          <w:color w:val="auto"/>
        </w:rPr>
      </w:pPr>
      <w:r>
        <w:rPr>
          <w:rFonts w:ascii="Times New Roman" w:cs="Times New Roman" w:eastAsia="Times New Roman" w:hAnsi="Times New Roman"/>
          <w:sz w:val="18"/>
          <w:szCs w:val="18"/>
          <w:color w:val="auto"/>
        </w:rPr>
        <w:t>Trust Company, N.A., as Trustee, relating to Lamar Media’s 3.625% Senior Notes due 2031.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jc w:val="both"/>
        <w:ind w:right="220"/>
        <w:spacing w:after="0" w:line="229" w:lineRule="auto"/>
        <w:rPr>
          <w:rFonts w:ascii="Times New Roman" w:cs="Times New Roman" w:eastAsia="Times New Roman" w:hAnsi="Times New Roman"/>
          <w:sz w:val="17"/>
          <w:szCs w:val="17"/>
          <w:u w:val="single" w:color="auto"/>
          <w:color w:val="0000FF"/>
        </w:rPr>
      </w:pPr>
      <w:hyperlink r:id="rId201">
        <w:r>
          <w:rPr>
            <w:rFonts w:ascii="Times New Roman" w:cs="Times New Roman" w:eastAsia="Times New Roman" w:hAnsi="Times New Roman"/>
            <w:sz w:val="17"/>
            <w:szCs w:val="17"/>
            <w:u w:val="single" w:color="auto"/>
            <w:color w:val="0000FF"/>
          </w:rPr>
          <w:t>Previously filed with the Indenture dated May 13, 2020, filed as</w:t>
        </w:r>
      </w:hyperlink>
      <w:r>
        <w:rPr>
          <w:rFonts w:ascii="Times New Roman" w:cs="Times New Roman" w:eastAsia="Times New Roman" w:hAnsi="Times New Roman"/>
          <w:sz w:val="17"/>
          <w:szCs w:val="17"/>
          <w:u w:val="single" w:color="auto"/>
          <w:color w:val="0000FF"/>
        </w:rPr>
        <w:t xml:space="preserve"> </w:t>
      </w:r>
      <w:hyperlink r:id="rId201">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201">
        <w:r>
          <w:rPr>
            <w:rFonts w:ascii="Times New Roman" w:cs="Times New Roman" w:eastAsia="Times New Roman" w:hAnsi="Times New Roman"/>
            <w:sz w:val="17"/>
            <w:szCs w:val="17"/>
            <w:u w:val="single" w:color="auto"/>
            <w:color w:val="0000FF"/>
          </w:rPr>
          <w:t>No. 1-36756) filed on May 19, 2020 and incorporated herein by</w:t>
        </w:r>
      </w:hyperlink>
    </w:p>
    <w:p>
      <w:pPr>
        <w:spacing w:after="0"/>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7"/>
          <w:szCs w:val="17"/>
          <w:u w:val="single" w:color="auto"/>
          <w:color w:val="0000FF"/>
        </w:rPr>
      </w:pPr>
    </w:p>
    <w:p>
      <w:pPr>
        <w:jc w:val="both"/>
        <w:ind w:right="220"/>
        <w:spacing w:after="0" w:line="229" w:lineRule="auto"/>
        <w:rPr>
          <w:rFonts w:ascii="Times New Roman" w:cs="Times New Roman" w:eastAsia="Times New Roman" w:hAnsi="Times New Roman"/>
          <w:sz w:val="17"/>
          <w:szCs w:val="17"/>
          <w:u w:val="single" w:color="auto"/>
          <w:color w:val="0000FF"/>
        </w:rPr>
      </w:pPr>
      <w:hyperlink r:id="rId201">
        <w:r>
          <w:rPr>
            <w:rFonts w:ascii="Times New Roman" w:cs="Times New Roman" w:eastAsia="Times New Roman" w:hAnsi="Times New Roman"/>
            <w:sz w:val="17"/>
            <w:szCs w:val="17"/>
            <w:u w:val="single" w:color="auto"/>
            <w:color w:val="0000FF"/>
          </w:rPr>
          <w:t>Previously filed with the Indenture dated May 13, 2020, filed as</w:t>
        </w:r>
      </w:hyperlink>
      <w:r>
        <w:rPr>
          <w:rFonts w:ascii="Times New Roman" w:cs="Times New Roman" w:eastAsia="Times New Roman" w:hAnsi="Times New Roman"/>
          <w:sz w:val="17"/>
          <w:szCs w:val="17"/>
          <w:u w:val="single" w:color="auto"/>
          <w:color w:val="0000FF"/>
        </w:rPr>
        <w:t xml:space="preserve"> </w:t>
      </w:r>
      <w:hyperlink r:id="rId201">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201">
        <w:r>
          <w:rPr>
            <w:rFonts w:ascii="Times New Roman" w:cs="Times New Roman" w:eastAsia="Times New Roman" w:hAnsi="Times New Roman"/>
            <w:sz w:val="17"/>
            <w:szCs w:val="17"/>
            <w:u w:val="single" w:color="auto"/>
            <w:color w:val="0000FF"/>
          </w:rPr>
          <w:t>No. 1-36756) filed on May 19, 2020 and incorporated herein by</w:t>
        </w:r>
      </w:hyperlink>
    </w:p>
    <w:p>
      <w:pPr>
        <w:spacing w:after="0"/>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7"/>
          <w:szCs w:val="17"/>
          <w:u w:val="single" w:color="auto"/>
          <w:color w:val="0000FF"/>
        </w:rPr>
      </w:pPr>
    </w:p>
    <w:p>
      <w:pPr>
        <w:ind w:right="100"/>
        <w:spacing w:after="0" w:line="226" w:lineRule="auto"/>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Previously filed as Exhibit 4.4 to Lamar Advertising’s Quarterly</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Report for the period ended March 31, 2022 filed on May 5, 2022</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Previously filed as Exhibit 4.4 to Lamar Advertising’s Quarterly</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Report for the period ended June 30, 2022 filed on August 3, 2022</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and 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14" w:lineRule="exact"/>
        <w:rPr>
          <w:rFonts w:ascii="Times New Roman" w:cs="Times New Roman" w:eastAsia="Times New Roman" w:hAnsi="Times New Roman"/>
          <w:sz w:val="18"/>
          <w:szCs w:val="18"/>
          <w:u w:val="single" w:color="auto"/>
          <w:color w:val="0000FF"/>
        </w:rPr>
      </w:pPr>
    </w:p>
    <w:p>
      <w:pPr>
        <w:ind w:right="80"/>
        <w:spacing w:after="0" w:line="250" w:lineRule="auto"/>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Previously filed as Exhibit 4.1 to Lamar Advertising’s Current</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Report on Form 8-K (File No. 1-36756) filed on January 28, 2021</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and incorporated herein by reference.</w:t>
        </w:r>
      </w:hyperlink>
    </w:p>
    <w:p>
      <w:pPr>
        <w:spacing w:after="0" w:line="27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00" w:space="140"/>
            <w:col w:w="4820"/>
          </w:cols>
          <w:pgMar w:left="320" w:top="121" w:right="41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4(h)(2)</w:t>
            </w: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3.625% Senior Notes due 2031.</w:t>
            </w:r>
          </w:p>
        </w:tc>
      </w:tr>
      <w:tr>
        <w:trPr>
          <w:trHeight w:val="9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4(h)(3)</w:t>
            </w: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3.625% Senior Exchange Notes due 2031.</w:t>
            </w:r>
          </w:p>
        </w:tc>
      </w:tr>
      <w:tr>
        <w:trPr>
          <w:trHeight w:val="86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4(h)(4)</w:t>
            </w: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26,</w:t>
            </w:r>
          </w:p>
        </w:tc>
      </w:tr>
      <w:tr>
        <w:trPr>
          <w:trHeight w:val="175"/>
        </w:trPr>
        <w:tc>
          <w:tcPr>
            <w:tcW w:w="1000" w:type="dxa"/>
            <w:vAlign w:val="bottom"/>
          </w:tcPr>
          <w:p>
            <w:pPr>
              <w:spacing w:after="0"/>
              <w:rPr>
                <w:sz w:val="15"/>
                <w:szCs w:val="15"/>
                <w:color w:val="auto"/>
              </w:rPr>
            </w:pPr>
          </w:p>
        </w:tc>
        <w:tc>
          <w:tcPr>
            <w:tcW w:w="516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w w:val="99"/>
              </w:rPr>
              <w:t>2022, among Lamar Media, the Guarantors named therein and U.S.</w:t>
            </w:r>
          </w:p>
        </w:tc>
      </w:tr>
      <w:tr>
        <w:trPr>
          <w:trHeight w:val="184"/>
        </w:trPr>
        <w:tc>
          <w:tcPr>
            <w:tcW w:w="1000" w:type="dxa"/>
            <w:vAlign w:val="bottom"/>
          </w:tcPr>
          <w:p>
            <w:pPr>
              <w:spacing w:after="0"/>
              <w:rPr>
                <w:sz w:val="16"/>
                <w:szCs w:val="16"/>
                <w:color w:val="auto"/>
              </w:rPr>
            </w:pPr>
          </w:p>
        </w:tc>
        <w:tc>
          <w:tcPr>
            <w:tcW w:w="516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Bank National Association, as Trustee, dated as of January 22,</w:t>
            </w:r>
          </w:p>
        </w:tc>
      </w:tr>
      <w:tr>
        <w:trPr>
          <w:trHeight w:val="234"/>
        </w:trPr>
        <w:tc>
          <w:tcPr>
            <w:tcW w:w="1000" w:type="dxa"/>
            <w:vAlign w:val="bottom"/>
          </w:tcPr>
          <w:p>
            <w:pPr>
              <w:spacing w:after="0"/>
              <w:rPr>
                <w:sz w:val="20"/>
                <w:szCs w:val="20"/>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2021, relating to Lamar Media’s 3.625%% Senior Notes due 2031.</w:t>
            </w: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4(h)(5)</w:t>
            </w: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Supplemental Indenture to the Indenture dated as of June 3, 2022,</w:t>
            </w:r>
          </w:p>
        </w:tc>
      </w:tr>
      <w:tr>
        <w:trPr>
          <w:trHeight w:val="176"/>
        </w:trPr>
        <w:tc>
          <w:tcPr>
            <w:tcW w:w="1000" w:type="dxa"/>
            <w:vAlign w:val="bottom"/>
          </w:tcPr>
          <w:p>
            <w:pPr>
              <w:spacing w:after="0"/>
              <w:rPr>
                <w:sz w:val="15"/>
                <w:szCs w:val="15"/>
                <w:color w:val="auto"/>
              </w:rPr>
            </w:pPr>
          </w:p>
        </w:tc>
        <w:tc>
          <w:tcPr>
            <w:tcW w:w="516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r>
      <w:tr>
        <w:trPr>
          <w:trHeight w:val="184"/>
        </w:trPr>
        <w:tc>
          <w:tcPr>
            <w:tcW w:w="1000" w:type="dxa"/>
            <w:vAlign w:val="bottom"/>
          </w:tcPr>
          <w:p>
            <w:pPr>
              <w:spacing w:after="0"/>
              <w:rPr>
                <w:sz w:val="16"/>
                <w:szCs w:val="16"/>
                <w:color w:val="auto"/>
              </w:rPr>
            </w:pPr>
          </w:p>
        </w:tc>
        <w:tc>
          <w:tcPr>
            <w:tcW w:w="516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National Association, as Trustee, dated as of January 22, 2021,</w:t>
            </w:r>
          </w:p>
        </w:tc>
      </w:tr>
      <w:tr>
        <w:trPr>
          <w:trHeight w:val="234"/>
        </w:trPr>
        <w:tc>
          <w:tcPr>
            <w:tcW w:w="1000" w:type="dxa"/>
            <w:vAlign w:val="bottom"/>
          </w:tcPr>
          <w:p>
            <w:pPr>
              <w:spacing w:after="0"/>
              <w:rPr>
                <w:sz w:val="20"/>
                <w:szCs w:val="20"/>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relating to Lamar Media’s 3.625%% Senior Notes due 2031.</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4(i)</w:t>
            </w: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Agreement of Resignation, Appointment and Acceptance, dated as</w:t>
            </w:r>
          </w:p>
        </w:tc>
      </w:tr>
      <w:tr>
        <w:trPr>
          <w:trHeight w:val="175"/>
        </w:trPr>
        <w:tc>
          <w:tcPr>
            <w:tcW w:w="1000" w:type="dxa"/>
            <w:vAlign w:val="bottom"/>
          </w:tcPr>
          <w:p>
            <w:pPr>
              <w:spacing w:after="0"/>
              <w:rPr>
                <w:sz w:val="15"/>
                <w:szCs w:val="15"/>
                <w:color w:val="auto"/>
              </w:rPr>
            </w:pPr>
          </w:p>
        </w:tc>
        <w:tc>
          <w:tcPr>
            <w:tcW w:w="516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w w:val="99"/>
              </w:rPr>
              <w:t>of June 14, 2021, by and among Lamar Media, as issuer, U.S. Bank</w:t>
            </w:r>
          </w:p>
        </w:tc>
      </w:tr>
      <w:tr>
        <w:trPr>
          <w:trHeight w:val="184"/>
        </w:trPr>
        <w:tc>
          <w:tcPr>
            <w:tcW w:w="1000" w:type="dxa"/>
            <w:vAlign w:val="bottom"/>
          </w:tcPr>
          <w:p>
            <w:pPr>
              <w:spacing w:after="0"/>
              <w:rPr>
                <w:sz w:val="16"/>
                <w:szCs w:val="16"/>
                <w:color w:val="auto"/>
              </w:rPr>
            </w:pPr>
          </w:p>
        </w:tc>
        <w:tc>
          <w:tcPr>
            <w:tcW w:w="516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National Association, as successor trustee, and The Bank of New</w:t>
            </w:r>
          </w:p>
        </w:tc>
      </w:tr>
      <w:tr>
        <w:trPr>
          <w:trHeight w:val="234"/>
        </w:trPr>
        <w:tc>
          <w:tcPr>
            <w:tcW w:w="1000" w:type="dxa"/>
            <w:vAlign w:val="bottom"/>
          </w:tcPr>
          <w:p>
            <w:pPr>
              <w:spacing w:after="0"/>
              <w:rPr>
                <w:sz w:val="20"/>
                <w:szCs w:val="20"/>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York Mellon Trust Company, N.A., as resigning trustee.</w:t>
            </w: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10(a)(1)*</w:t>
            </w: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Lamar Advertising Company 1996 Equity Incentive Plan, as</w:t>
            </w:r>
          </w:p>
        </w:tc>
      </w:tr>
      <w:tr>
        <w:trPr>
          <w:trHeight w:val="175"/>
        </w:trPr>
        <w:tc>
          <w:tcPr>
            <w:tcW w:w="1000" w:type="dxa"/>
            <w:vAlign w:val="bottom"/>
          </w:tcPr>
          <w:p>
            <w:pPr>
              <w:spacing w:after="0"/>
              <w:rPr>
                <w:sz w:val="15"/>
                <w:szCs w:val="15"/>
                <w:color w:val="auto"/>
              </w:rPr>
            </w:pPr>
          </w:p>
        </w:tc>
        <w:tc>
          <w:tcPr>
            <w:tcW w:w="516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amended and restated by the Board of Directors on December 12,</w:t>
            </w:r>
          </w:p>
        </w:tc>
      </w:tr>
      <w:tr>
        <w:trPr>
          <w:trHeight w:val="234"/>
        </w:trPr>
        <w:tc>
          <w:tcPr>
            <w:tcW w:w="1000" w:type="dxa"/>
            <w:vAlign w:val="bottom"/>
          </w:tcPr>
          <w:p>
            <w:pPr>
              <w:spacing w:after="0"/>
              <w:rPr>
                <w:sz w:val="20"/>
                <w:szCs w:val="20"/>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2019.</w:t>
            </w:r>
          </w:p>
        </w:tc>
      </w:tr>
      <w:tr>
        <w:trPr>
          <w:trHeight w:val="1089"/>
        </w:trPr>
        <w:tc>
          <w:tcPr>
            <w:tcW w:w="1000" w:type="dxa"/>
            <w:vAlign w:val="bottom"/>
          </w:tcPr>
          <w:p>
            <w:pPr>
              <w:spacing w:after="0"/>
              <w:rPr>
                <w:sz w:val="24"/>
                <w:szCs w:val="24"/>
                <w:color w:val="auto"/>
              </w:rPr>
            </w:pPr>
          </w:p>
        </w:tc>
        <w:tc>
          <w:tcPr>
            <w:tcW w:w="516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112</w:t>
            </w:r>
          </w:p>
        </w:tc>
      </w:tr>
    </w:tbl>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Previously filed with the Indenture dated January 22, 2021, filed as</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Exhibit 4.1 to the Company’s Current Report on Form 8-K (File</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No. 1-36756) filed on January 28, 2021 and incorporated herein by</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reference.</w:t>
        </w:r>
      </w:hyperlink>
    </w:p>
    <w:p>
      <w:pPr>
        <w:spacing w:after="0" w:line="90"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Previously filed with the Indenture dated January 22, 2021, filed as</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Exhibit 4.1 to the Company’s Current Report on Form 8-K (File</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No. 1-36756) filed on January 28, 2021 and incorporated herein by</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reference.</w:t>
        </w:r>
      </w:hyperlink>
    </w:p>
    <w:p>
      <w:pPr>
        <w:spacing w:after="0" w:line="90" w:lineRule="exact"/>
        <w:rPr>
          <w:rFonts w:ascii="Times New Roman" w:cs="Times New Roman" w:eastAsia="Times New Roman" w:hAnsi="Times New Roman"/>
          <w:sz w:val="18"/>
          <w:szCs w:val="18"/>
          <w:u w:val="single" w:color="auto"/>
          <w:color w:val="0000FF"/>
        </w:rPr>
      </w:pPr>
    </w:p>
    <w:p>
      <w:pPr>
        <w:ind w:right="100"/>
        <w:spacing w:after="0" w:line="226" w:lineRule="auto"/>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Previously filed as Exhibit 4.1 to Lamar Advertising’s Quarterly</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Report for the period ended March 31, 2022 filed on May 5, 2022</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Previously filed as Exhibit 4.1 to Lamar Advertising’s Quarterly</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Report for the period ended June 30, 2022 filed on August 3, 2022</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spacing w:after="0" w:line="226" w:lineRule="auto"/>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Previously filed as Exhibit 4.1 to Lamar Advertising’s Current</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Report on Form 8-K (File No. 1-36756) filed on June 21, 2021 and</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80"/>
        <w:spacing w:after="0" w:line="229" w:lineRule="auto"/>
        <w:rPr>
          <w:rFonts w:ascii="Times New Roman" w:cs="Times New Roman" w:eastAsia="Times New Roman" w:hAnsi="Times New Roman"/>
          <w:sz w:val="17"/>
          <w:szCs w:val="17"/>
          <w:u w:val="single" w:color="auto"/>
          <w:color w:val="0000FF"/>
        </w:rPr>
      </w:pPr>
      <w:hyperlink r:id="rId210">
        <w:r>
          <w:rPr>
            <w:rFonts w:ascii="Times New Roman" w:cs="Times New Roman" w:eastAsia="Times New Roman" w:hAnsi="Times New Roman"/>
            <w:sz w:val="17"/>
            <w:szCs w:val="17"/>
            <w:u w:val="single" w:color="auto"/>
            <w:color w:val="0000FF"/>
          </w:rPr>
          <w:t>Previously filed as Exhibit 10(a)(1) to the Company’s Annual</w:t>
        </w:r>
      </w:hyperlink>
      <w:r>
        <w:rPr>
          <w:rFonts w:ascii="Times New Roman" w:cs="Times New Roman" w:eastAsia="Times New Roman" w:hAnsi="Times New Roman"/>
          <w:sz w:val="17"/>
          <w:szCs w:val="17"/>
          <w:u w:val="single" w:color="auto"/>
          <w:color w:val="0000FF"/>
        </w:rPr>
        <w:t xml:space="preserve"> </w:t>
      </w:r>
      <w:hyperlink r:id="rId210">
        <w:r>
          <w:rPr>
            <w:rFonts w:ascii="Times New Roman" w:cs="Times New Roman" w:eastAsia="Times New Roman" w:hAnsi="Times New Roman"/>
            <w:sz w:val="17"/>
            <w:szCs w:val="17"/>
            <w:u w:val="single" w:color="auto"/>
            <w:color w:val="0000FF"/>
          </w:rPr>
          <w:t>Report on Form 10-K for the year ended December 31, 2019 (File</w:t>
        </w:r>
      </w:hyperlink>
      <w:r>
        <w:rPr>
          <w:rFonts w:ascii="Times New Roman" w:cs="Times New Roman" w:eastAsia="Times New Roman" w:hAnsi="Times New Roman"/>
          <w:sz w:val="17"/>
          <w:szCs w:val="17"/>
          <w:u w:val="single" w:color="auto"/>
          <w:color w:val="0000FF"/>
        </w:rPr>
        <w:t xml:space="preserve"> </w:t>
      </w:r>
      <w:hyperlink r:id="rId210">
        <w:r>
          <w:rPr>
            <w:rFonts w:ascii="Times New Roman" w:cs="Times New Roman" w:eastAsia="Times New Roman" w:hAnsi="Times New Roman"/>
            <w:sz w:val="17"/>
            <w:szCs w:val="17"/>
            <w:u w:val="single" w:color="auto"/>
            <w:color w:val="0000FF"/>
          </w:rPr>
          <w:t>No. 1-36756) filed on February 20, 2020 and incorporated herein</w:t>
        </w:r>
      </w:hyperlink>
    </w:p>
    <w:p>
      <w:pPr>
        <w:spacing w:after="0"/>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by reference.</w:t>
        </w:r>
      </w:hyperlink>
    </w:p>
    <w:p>
      <w:pPr>
        <w:sectPr>
          <w:pgSz w:w="11900" w:h="16838" w:orient="portrait"/>
          <w:cols w:equalWidth="0" w:num="2">
            <w:col w:w="6180" w:space="160"/>
            <w:col w:w="4820"/>
          </w:cols>
          <w:pgMar w:left="320" w:top="121" w:right="41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10(a)(2)*</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Form of Stock Option Agreement under the 1996 Equity Incentive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 amended and restated.</w:t>
            </w:r>
          </w:p>
        </w:tc>
        <w:tc>
          <w:tcPr>
            <w:tcW w:w="0" w:type="dxa"/>
            <w:vAlign w:val="bottom"/>
          </w:tcPr>
          <w:p>
            <w:pPr>
              <w:spacing w:after="0"/>
              <w:rPr>
                <w:sz w:val="1"/>
                <w:szCs w:val="1"/>
                <w:color w:val="auto"/>
              </w:rPr>
            </w:pPr>
          </w:p>
        </w:tc>
      </w:tr>
      <w:tr>
        <w:trPr>
          <w:trHeight w:val="64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10(a)(3)*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Restricted Stock Agreement.</w:t>
            </w:r>
          </w:p>
        </w:tc>
        <w:tc>
          <w:tcPr>
            <w:tcW w:w="0" w:type="dxa"/>
            <w:vAlign w:val="bottom"/>
          </w:tcPr>
          <w:p>
            <w:pPr>
              <w:spacing w:after="0"/>
              <w:rPr>
                <w:sz w:val="1"/>
                <w:szCs w:val="1"/>
                <w:color w:val="auto"/>
              </w:rPr>
            </w:pPr>
          </w:p>
        </w:tc>
      </w:tr>
      <w:tr>
        <w:trPr>
          <w:trHeight w:val="82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10(a)(4)*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Restricted Stock Agreement for Non-Employee directors.</w:t>
            </w:r>
          </w:p>
        </w:tc>
        <w:tc>
          <w:tcPr>
            <w:tcW w:w="0" w:type="dxa"/>
            <w:vAlign w:val="bottom"/>
          </w:tcPr>
          <w:p>
            <w:pPr>
              <w:spacing w:after="0"/>
              <w:rPr>
                <w:sz w:val="1"/>
                <w:szCs w:val="1"/>
                <w:color w:val="auto"/>
              </w:rPr>
            </w:pPr>
          </w:p>
        </w:tc>
      </w:tr>
      <w:tr>
        <w:trPr>
          <w:trHeight w:val="64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10(b)(1)*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2009 Employee Stock Purchase Plan, as amended.</w:t>
            </w:r>
          </w:p>
        </w:tc>
        <w:tc>
          <w:tcPr>
            <w:tcW w:w="0" w:type="dxa"/>
            <w:vAlign w:val="bottom"/>
          </w:tcPr>
          <w:p>
            <w:pPr>
              <w:spacing w:after="0"/>
              <w:rPr>
                <w:sz w:val="1"/>
                <w:szCs w:val="1"/>
                <w:color w:val="auto"/>
              </w:rPr>
            </w:pPr>
          </w:p>
        </w:tc>
      </w:tr>
      <w:tr>
        <w:trPr>
          <w:trHeight w:val="82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10(b)(2)*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Company 2019 Employee Stock Purchase Plan.</w:t>
            </w:r>
          </w:p>
        </w:tc>
        <w:tc>
          <w:tcPr>
            <w:tcW w:w="0" w:type="dxa"/>
            <w:vAlign w:val="bottom"/>
          </w:tcPr>
          <w:p>
            <w:pPr>
              <w:spacing w:after="0"/>
              <w:rPr>
                <w:sz w:val="1"/>
                <w:szCs w:val="1"/>
                <w:color w:val="auto"/>
              </w:rPr>
            </w:pPr>
          </w:p>
        </w:tc>
      </w:tr>
      <w:tr>
        <w:trPr>
          <w:trHeight w:val="64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10(c)(1)*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Deferred Compensation Plan (as amended).</w:t>
            </w:r>
          </w:p>
        </w:tc>
        <w:tc>
          <w:tcPr>
            <w:tcW w:w="0" w:type="dxa"/>
            <w:vAlign w:val="bottom"/>
          </w:tcPr>
          <w:p>
            <w:pPr>
              <w:spacing w:after="0"/>
              <w:rPr>
                <w:sz w:val="1"/>
                <w:szCs w:val="1"/>
                <w:color w:val="auto"/>
              </w:rPr>
            </w:pPr>
          </w:p>
        </w:tc>
      </w:tr>
      <w:tr>
        <w:trPr>
          <w:trHeight w:val="59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10(c)(2)*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Trust Agreement for the Lamar Deferred Compensation</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0" w:type="dxa"/>
            <w:vAlign w:val="bottom"/>
          </w:tcPr>
          <w:p>
            <w:pPr>
              <w:spacing w:after="0"/>
              <w:rPr>
                <w:sz w:val="1"/>
                <w:szCs w:val="1"/>
                <w:color w:val="auto"/>
              </w:rPr>
            </w:pPr>
          </w:p>
        </w:tc>
      </w:tr>
      <w:tr>
        <w:trPr>
          <w:trHeight w:val="41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10(c)(3)*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the Lamar Deferred Compensation Plan dated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13, 2013.</w:t>
            </w:r>
          </w:p>
        </w:tc>
        <w:tc>
          <w:tcPr>
            <w:tcW w:w="0" w:type="dxa"/>
            <w:vAlign w:val="bottom"/>
          </w:tcPr>
          <w:p>
            <w:pPr>
              <w:spacing w:after="0"/>
              <w:rPr>
                <w:sz w:val="1"/>
                <w:szCs w:val="1"/>
                <w:color w:val="auto"/>
              </w:rPr>
            </w:pPr>
          </w:p>
        </w:tc>
      </w:tr>
      <w:tr>
        <w:trPr>
          <w:trHeight w:val="58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10(c)(1)*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Summary of Management Compensatory Arrangements, dated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2016.</w:t>
            </w:r>
          </w:p>
        </w:tc>
        <w:tc>
          <w:tcPr>
            <w:tcW w:w="0" w:type="dxa"/>
            <w:vAlign w:val="bottom"/>
          </w:tcPr>
          <w:p>
            <w:pPr>
              <w:spacing w:after="0"/>
              <w:rPr>
                <w:sz w:val="1"/>
                <w:szCs w:val="1"/>
                <w:color w:val="auto"/>
              </w:rPr>
            </w:pPr>
          </w:p>
        </w:tc>
      </w:tr>
      <w:tr>
        <w:trPr>
          <w:trHeight w:val="41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10(d)(2)*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Summary of Non-Management Director Compensatory</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Arrangements, dated May 26, 2016.</w:t>
            </w:r>
          </w:p>
        </w:tc>
        <w:tc>
          <w:tcPr>
            <w:tcW w:w="0" w:type="dxa"/>
            <w:vAlign w:val="bottom"/>
          </w:tcPr>
          <w:p>
            <w:pPr>
              <w:spacing w:after="0"/>
              <w:rPr>
                <w:sz w:val="1"/>
                <w:szCs w:val="1"/>
                <w:color w:val="auto"/>
              </w:rPr>
            </w:pPr>
          </w:p>
        </w:tc>
      </w:tr>
      <w:tr>
        <w:trPr>
          <w:trHeight w:val="41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Financing Agreement, dated December 18, 2018, by</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among Lamar Media, as initial Servicer, Lamar TRS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LLC and Lamar QRS</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Sale Agreement, dated December 18, 2018, by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certain subsidiaries of Lamar Media, Lamar Media, as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Servicer, and Lamar QRS Receivables, LLC as Buyer.</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Sale Agreement, dated December 18, 2018, by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certain subsidiaries of Lamar Media, Lamar Media, as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Servicer, and Lamar TRS Receivables, LLC as Buyer.</w:t>
            </w:r>
          </w:p>
        </w:tc>
        <w:tc>
          <w:tcPr>
            <w:tcW w:w="0" w:type="dxa"/>
            <w:vAlign w:val="bottom"/>
          </w:tcPr>
          <w:p>
            <w:pPr>
              <w:spacing w:after="0"/>
              <w:rPr>
                <w:sz w:val="1"/>
                <w:szCs w:val="1"/>
                <w:color w:val="auto"/>
              </w:rPr>
            </w:pPr>
          </w:p>
        </w:tc>
      </w:tr>
      <w:tr>
        <w:trPr>
          <w:trHeight w:val="913"/>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ind w:right="100"/>
        <w:spacing w:after="0" w:line="229" w:lineRule="auto"/>
        <w:rPr>
          <w:rFonts w:ascii="Times New Roman" w:cs="Times New Roman" w:eastAsia="Times New Roman" w:hAnsi="Times New Roman"/>
          <w:sz w:val="17"/>
          <w:szCs w:val="17"/>
          <w:u w:val="single" w:color="auto"/>
          <w:color w:val="0000FF"/>
        </w:rPr>
      </w:pPr>
      <w:hyperlink r:id="rId213">
        <w:r>
          <w:rPr>
            <w:rFonts w:ascii="Times New Roman" w:cs="Times New Roman" w:eastAsia="Times New Roman" w:hAnsi="Times New Roman"/>
            <w:sz w:val="17"/>
            <w:szCs w:val="17"/>
            <w:u w:val="single" w:color="auto"/>
            <w:color w:val="0000FF"/>
          </w:rPr>
          <w:t>Previously filed as Exhibit 10(a)(2) to the Company’s Annual</w:t>
        </w:r>
      </w:hyperlink>
      <w:r>
        <w:rPr>
          <w:rFonts w:ascii="Times New Roman" w:cs="Times New Roman" w:eastAsia="Times New Roman" w:hAnsi="Times New Roman"/>
          <w:sz w:val="17"/>
          <w:szCs w:val="17"/>
          <w:u w:val="single" w:color="auto"/>
          <w:color w:val="0000FF"/>
        </w:rPr>
        <w:t xml:space="preserve"> </w:t>
      </w:r>
      <w:hyperlink r:id="rId213">
        <w:r>
          <w:rPr>
            <w:rFonts w:ascii="Times New Roman" w:cs="Times New Roman" w:eastAsia="Times New Roman" w:hAnsi="Times New Roman"/>
            <w:sz w:val="17"/>
            <w:szCs w:val="17"/>
            <w:u w:val="single" w:color="auto"/>
            <w:color w:val="0000FF"/>
          </w:rPr>
          <w:t>Report on Form 10-K for the year ended December 31, 2019 (File</w:t>
        </w:r>
      </w:hyperlink>
      <w:r>
        <w:rPr>
          <w:rFonts w:ascii="Times New Roman" w:cs="Times New Roman" w:eastAsia="Times New Roman" w:hAnsi="Times New Roman"/>
          <w:sz w:val="17"/>
          <w:szCs w:val="17"/>
          <w:u w:val="single" w:color="auto"/>
          <w:color w:val="0000FF"/>
        </w:rPr>
        <w:t xml:space="preserve"> </w:t>
      </w:r>
      <w:hyperlink r:id="rId213">
        <w:r>
          <w:rPr>
            <w:rFonts w:ascii="Times New Roman" w:cs="Times New Roman" w:eastAsia="Times New Roman" w:hAnsi="Times New Roman"/>
            <w:sz w:val="17"/>
            <w:szCs w:val="17"/>
            <w:u w:val="single" w:color="auto"/>
            <w:color w:val="0000FF"/>
          </w:rPr>
          <w:t>No. 1-36756) filed on February 20, 2020 and incorporated herein</w:t>
        </w:r>
      </w:hyperlink>
    </w:p>
    <w:p>
      <w:pPr>
        <w:spacing w:after="0"/>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7"/>
          <w:szCs w:val="17"/>
          <w:u w:val="single" w:color="auto"/>
          <w:color w:val="0000FF"/>
        </w:rPr>
      </w:pPr>
    </w:p>
    <w:p>
      <w:pPr>
        <w:jc w:val="both"/>
        <w:ind w:right="60"/>
        <w:spacing w:after="0" w:line="216" w:lineRule="auto"/>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Previously filed as Exhibit 10.16 of the Company’s Annual Report</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on Form 10-K for the year ended December 31, 2005 (File No. 0-</w:t>
        </w:r>
      </w:hyperlink>
      <w:hyperlink r:id="rId214">
        <w:r>
          <w:rPr>
            <w:rFonts w:ascii="Times New Roman" w:cs="Times New Roman" w:eastAsia="Times New Roman" w:hAnsi="Times New Roman"/>
            <w:sz w:val="18"/>
            <w:szCs w:val="18"/>
            <w:u w:val="single" w:color="auto"/>
            <w:color w:val="0000FF"/>
          </w:rPr>
          <w:t>30242) filed on March 15, 2006 and incorporated herein by</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on Form 8-K (File No. 0-30242) filed on May 30, 2007 and</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spacing w:after="0" w:line="227" w:lineRule="auto"/>
        <w:rPr>
          <w:rFonts w:ascii="Times New Roman" w:cs="Times New Roman" w:eastAsia="Times New Roman" w:hAnsi="Times New Roman"/>
          <w:sz w:val="17"/>
          <w:szCs w:val="17"/>
          <w:u w:val="single" w:color="auto"/>
          <w:color w:val="0000FF"/>
        </w:rPr>
      </w:pPr>
      <w:hyperlink r:id="rId216">
        <w:r>
          <w:rPr>
            <w:rFonts w:ascii="Times New Roman" w:cs="Times New Roman" w:eastAsia="Times New Roman" w:hAnsi="Times New Roman"/>
            <w:sz w:val="17"/>
            <w:szCs w:val="17"/>
            <w:u w:val="single" w:color="auto"/>
            <w:color w:val="0000FF"/>
          </w:rPr>
          <w:t>Previously filed as Exhibit 10.1 to the Company’s Quarterly Report</w:t>
        </w:r>
      </w:hyperlink>
      <w:r>
        <w:rPr>
          <w:rFonts w:ascii="Times New Roman" w:cs="Times New Roman" w:eastAsia="Times New Roman" w:hAnsi="Times New Roman"/>
          <w:sz w:val="17"/>
          <w:szCs w:val="17"/>
          <w:u w:val="single" w:color="auto"/>
          <w:color w:val="0000FF"/>
        </w:rPr>
        <w:t xml:space="preserve"> </w:t>
      </w:r>
      <w:hyperlink r:id="rId216">
        <w:r>
          <w:rPr>
            <w:rFonts w:ascii="Times New Roman" w:cs="Times New Roman" w:eastAsia="Times New Roman" w:hAnsi="Times New Roman"/>
            <w:sz w:val="17"/>
            <w:szCs w:val="17"/>
            <w:u w:val="single" w:color="auto"/>
            <w:color w:val="0000FF"/>
          </w:rPr>
          <w:t>on Form 10-Q for the period ended September 30, 2017 (File No.</w:t>
        </w:r>
      </w:hyperlink>
    </w:p>
    <w:p>
      <w:pPr>
        <w:spacing w:after="0" w:line="1" w:lineRule="exact"/>
        <w:rPr>
          <w:sz w:val="20"/>
          <w:szCs w:val="20"/>
          <w:color w:val="auto"/>
        </w:rPr>
      </w:pPr>
    </w:p>
    <w:p>
      <w:pPr>
        <w:ind w:right="220"/>
        <w:spacing w:after="0" w:line="233" w:lineRule="auto"/>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1-36756) filed on November 6, 2017 and incorporated herein by</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reference.</w:t>
        </w:r>
      </w:hyperlink>
    </w:p>
    <w:p>
      <w:pPr>
        <w:spacing w:after="0" w:line="51" w:lineRule="exact"/>
        <w:rPr>
          <w:sz w:val="20"/>
          <w:szCs w:val="20"/>
          <w:color w:val="auto"/>
        </w:rPr>
      </w:pPr>
    </w:p>
    <w:p>
      <w:pPr>
        <w:ind w:right="120"/>
        <w:spacing w:after="0" w:line="226" w:lineRule="auto"/>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Previously filed as Exhibit 10.2 to Lamar Advertising’s Current</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Report on Form 8-K (File No. 1-36756) filed on June 5, 2019 and</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on Form 8-K (File No. 0-30242) filed on August 27, 2007 and</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jc w:val="both"/>
        <w:ind w:right="140"/>
        <w:spacing w:after="0" w:line="226" w:lineRule="auto"/>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Previously filed as Exhibit 10.2 to the Company’s Current Report</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on Form 8-K (File No. 0-30242) filed on December 14, 2005 and</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20">
        <w:r>
          <w:rPr>
            <w:rFonts w:ascii="Times New Roman" w:cs="Times New Roman" w:eastAsia="Times New Roman" w:hAnsi="Times New Roman"/>
            <w:sz w:val="17"/>
            <w:szCs w:val="17"/>
            <w:u w:val="single" w:color="auto"/>
            <w:color w:val="0000FF"/>
          </w:rPr>
          <w:t>Previously filed as Exhibit 10(d)(3) to the Company’s Annual</w:t>
        </w:r>
      </w:hyperlink>
      <w:r>
        <w:rPr>
          <w:rFonts w:ascii="Times New Roman" w:cs="Times New Roman" w:eastAsia="Times New Roman" w:hAnsi="Times New Roman"/>
          <w:sz w:val="17"/>
          <w:szCs w:val="17"/>
          <w:u w:val="single" w:color="auto"/>
          <w:color w:val="0000FF"/>
        </w:rPr>
        <w:t xml:space="preserve"> </w:t>
      </w:r>
      <w:hyperlink r:id="rId220">
        <w:r>
          <w:rPr>
            <w:rFonts w:ascii="Times New Roman" w:cs="Times New Roman" w:eastAsia="Times New Roman" w:hAnsi="Times New Roman"/>
            <w:sz w:val="17"/>
            <w:szCs w:val="17"/>
            <w:u w:val="single" w:color="auto"/>
            <w:color w:val="0000FF"/>
          </w:rPr>
          <w:t>Report on Form 10-K for the year ended December 31, 2013 (File</w:t>
        </w:r>
      </w:hyperlink>
      <w:r>
        <w:rPr>
          <w:rFonts w:ascii="Times New Roman" w:cs="Times New Roman" w:eastAsia="Times New Roman" w:hAnsi="Times New Roman"/>
          <w:sz w:val="17"/>
          <w:szCs w:val="17"/>
          <w:u w:val="single" w:color="auto"/>
          <w:color w:val="0000FF"/>
        </w:rPr>
        <w:t xml:space="preserve"> </w:t>
      </w:r>
      <w:hyperlink r:id="rId220">
        <w:r>
          <w:rPr>
            <w:rFonts w:ascii="Times New Roman" w:cs="Times New Roman" w:eastAsia="Times New Roman" w:hAnsi="Times New Roman"/>
            <w:sz w:val="17"/>
            <w:szCs w:val="17"/>
            <w:u w:val="single" w:color="auto"/>
            <w:color w:val="0000FF"/>
          </w:rPr>
          <w:t>No. 0-30242) filed on February 27, 2014 and incorporated herein</w:t>
        </w:r>
      </w:hyperlink>
    </w:p>
    <w:p>
      <w:pPr>
        <w:spacing w:after="0"/>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7"/>
          <w:szCs w:val="17"/>
          <w:u w:val="single" w:color="auto"/>
          <w:color w:val="0000FF"/>
        </w:rPr>
      </w:pPr>
    </w:p>
    <w:p>
      <w:pPr>
        <w:ind w:right="240"/>
        <w:spacing w:after="0" w:line="226" w:lineRule="auto"/>
        <w:rPr>
          <w:rFonts w:ascii="Times New Roman" w:cs="Times New Roman" w:eastAsia="Times New Roman" w:hAnsi="Times New Roman"/>
          <w:sz w:val="18"/>
          <w:szCs w:val="18"/>
          <w:u w:val="single" w:color="auto"/>
          <w:color w:val="0000FF"/>
        </w:rPr>
      </w:pPr>
      <w:hyperlink r:id="rId221">
        <w:r>
          <w:rPr>
            <w:rFonts w:ascii="Times New Roman" w:cs="Times New Roman" w:eastAsia="Times New Roman" w:hAnsi="Times New Roman"/>
            <w:sz w:val="18"/>
            <w:szCs w:val="18"/>
            <w:u w:val="single" w:color="auto"/>
            <w:color w:val="0000FF"/>
          </w:rPr>
          <w:t>Previously filed on the Company’s Current Report on Form 8-K</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(File No. 1-36756) filed on March 29, 2016 and incorporated</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100"/>
        <w:spacing w:after="0" w:line="226" w:lineRule="auto"/>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Previously filed on the Company’s Current Report on Form 8-K</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(File No. 1-36756) filed on May 31, 2016 and incorporated herein</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by reference.</w:t>
        </w:r>
      </w:hyperlink>
    </w:p>
    <w:p>
      <w:pPr>
        <w:spacing w:after="0" w:line="63" w:lineRule="exact"/>
        <w:rPr>
          <w:rFonts w:ascii="Times New Roman" w:cs="Times New Roman" w:eastAsia="Times New Roman" w:hAnsi="Times New Roman"/>
          <w:sz w:val="18"/>
          <w:szCs w:val="18"/>
          <w:u w:val="single" w:color="auto"/>
          <w:color w:val="0000FF"/>
        </w:rPr>
      </w:pPr>
    </w:p>
    <w:p>
      <w:pPr>
        <w:jc w:val="both"/>
        <w:ind w:right="140"/>
        <w:spacing w:after="0" w:line="226" w:lineRule="auto"/>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on Form 8-K (File No. 1-36756) filed on December 21, 2018 and</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jc w:val="both"/>
        <w:ind w:right="140"/>
        <w:spacing w:after="0" w:line="226" w:lineRule="auto"/>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Previously filed as Exhibit 10.2 to the Company’s Current Report</w:t>
        </w:r>
      </w:hyperlink>
      <w:r>
        <w:rPr>
          <w:rFonts w:ascii="Times New Roman" w:cs="Times New Roman" w:eastAsia="Times New Roman" w:hAnsi="Times New Roman"/>
          <w:sz w:val="18"/>
          <w:szCs w:val="18"/>
          <w:u w:val="single" w:color="auto"/>
          <w:color w:val="0000FF"/>
        </w:rPr>
        <w:t xml:space="preserve"> </w:t>
      </w:r>
      <w:hyperlink r:id="rId224">
        <w:r>
          <w:rPr>
            <w:rFonts w:ascii="Times New Roman" w:cs="Times New Roman" w:eastAsia="Times New Roman" w:hAnsi="Times New Roman"/>
            <w:sz w:val="18"/>
            <w:szCs w:val="18"/>
            <w:u w:val="single" w:color="auto"/>
            <w:color w:val="0000FF"/>
          </w:rPr>
          <w:t>on Form 8-K (File No. 1-36756) filed on December 21, 2018 and</w:t>
        </w:r>
      </w:hyperlink>
      <w:r>
        <w:rPr>
          <w:rFonts w:ascii="Times New Roman" w:cs="Times New Roman" w:eastAsia="Times New Roman" w:hAnsi="Times New Roman"/>
          <w:sz w:val="18"/>
          <w:szCs w:val="18"/>
          <w:u w:val="single" w:color="auto"/>
          <w:color w:val="0000FF"/>
        </w:rPr>
        <w:t xml:space="preserve"> </w:t>
      </w:r>
      <w:hyperlink r:id="rId224">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jc w:val="both"/>
        <w:ind w:right="140"/>
        <w:spacing w:after="0" w:line="226" w:lineRule="auto"/>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Previously filed as Exhibit 10.3 to the Company’s Current Report</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on Form 8-K (File No. 1-36756) filed on December 21, 2018 and</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incorporated herein 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10(e)(4)</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Performance Guaranty of Lamar Media dated December 18, 2018</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favor of PNC Bank, National Association.</w:t>
            </w:r>
          </w:p>
        </w:tc>
        <w:tc>
          <w:tcPr>
            <w:tcW w:w="0" w:type="dxa"/>
            <w:vAlign w:val="bottom"/>
          </w:tcPr>
          <w:p>
            <w:pPr>
              <w:spacing w:after="0"/>
              <w:rPr>
                <w:sz w:val="1"/>
                <w:szCs w:val="1"/>
                <w:color w:val="auto"/>
              </w:rPr>
            </w:pPr>
          </w:p>
        </w:tc>
      </w:tr>
      <w:tr>
        <w:trPr>
          <w:trHeight w:val="41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Receivables Financing Agreement, dated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 of February 6, 2020, by and among Lamar Media as initial</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Servicer, Lamar TRS Receivables, LLC and Lamar QRS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Receivables, LLC as borrowers and PNC Bank, National</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Association as Administrative Agent and Lender.</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Purchase and Sale Agreement, dated as of</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6, 2020, by and among certain subsidiaries of Lamar</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Media, Lamar Media as initial Servicer, and Lamar QRS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LLC as Buyer.</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Purchase and Sale Agreement, dated as of</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6, 2020, by and among certain subsidiaries of Lamar</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Media, Lamar Media as initial Servicer, and Lamar TRS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LLC as Buyer.</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to the Receivables Financing Agreement,</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dated as of May 6, 2020, by and among Lamar Media as Servicer,</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Lamar TRS Receivables, LLC and Lamar QRS Receivables, LLC</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borrowers and PNC Bank, National Association as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 and Lender.</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10(e)(9)</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to the Purchase and Sale Agreement, dated as</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of May 6, 2020, by and among certain subsidiaries of Lamar</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Media. as originators, Lamar Media as Servicer, and Lamar QRS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Receivables, LLC as Buyer, and consented to by PNC Bank,</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Association, as Administrative Agent.</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10(e)(10)</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Amendment to the Receivables Financing Agreement, 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 of June 30, 2020, among Lamar Media, as Initial Servicer,</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Lamar TRS Receivables, LLC and Lamar QRS Receivables, LLC</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borrowers, and PNC Bank, National Association, as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 and a Lender.</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Amendment to the Receivables Financing Agreement,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dated as of October 23, 2020, among Lamar Media, as Initial</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Servicer, Lamar TRS Receivables, LLC and Lamar QRS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Receivables, LLC as borrowers, and PNC Bank, National</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Association, as Administrative Agent and a Lender.</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Fifth Amendment to the Receivables Financing Agreement, 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 of May 24, 2021, among Lamar Media, as Initial Servicer,</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Lamar TRS Receivables, LLC and Lamar QRS Receivables, LLC</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borrowers, and PNC Bank, National Association, as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 and a Lender.</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Sixth Amendment to the Receivables Financing Agreement, 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 of June 24, 2022, among Lamar Media, as Initial Servicer, the</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SPEs, as Borrowers, and PNC Bank, National Association, as</w:t>
            </w:r>
          </w:p>
        </w:tc>
        <w:tc>
          <w:tcPr>
            <w:tcW w:w="0" w:type="dxa"/>
            <w:vAlign w:val="bottom"/>
          </w:tcPr>
          <w:p>
            <w:pPr>
              <w:spacing w:after="0"/>
              <w:rPr>
                <w:sz w:val="1"/>
                <w:szCs w:val="1"/>
                <w:color w:val="auto"/>
              </w:rPr>
            </w:pPr>
          </w:p>
        </w:tc>
      </w:tr>
    </w:tbl>
    <w:p>
      <w:pPr>
        <w:jc w:val="both"/>
        <w:ind w:left="1320" w:right="240"/>
        <w:spacing w:after="0" w:line="208" w:lineRule="auto"/>
        <w:rPr>
          <w:sz w:val="20"/>
          <w:szCs w:val="20"/>
          <w:color w:val="auto"/>
        </w:rPr>
      </w:pPr>
      <w:r>
        <w:rPr>
          <w:rFonts w:ascii="Times New Roman" w:cs="Times New Roman" w:eastAsia="Times New Roman" w:hAnsi="Times New Roman"/>
          <w:sz w:val="18"/>
          <w:szCs w:val="18"/>
          <w:color w:val="auto"/>
        </w:rPr>
        <w:t>Administrative Agent and a Lender. Previously filed as Exhibit 10.1 to the Company’s Current Report on Form 8-K (File No. 1-36756) filed on June 30, 2022 and incorporated herein by</w:t>
      </w:r>
    </w:p>
    <w:p>
      <w:pPr>
        <w:spacing w:after="0" w:line="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reference.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7">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jc w:val="both"/>
        <w:ind w:right="140"/>
        <w:spacing w:after="0" w:line="226" w:lineRule="auto"/>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Previously filed as Exhibit 10.4 to the Company’s Current Report</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on Form 8-K (File No. 1-36756) filed on December 21, 2018 and</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Previously filed as Exhibit 10.4 to the Company’s Current Report</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on Form 8-K (File No. 1-36756) filed on February 12, 2020 and</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Previously filed as Exhibit 10.5 to the Company’s Current Report</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on Form 8-K (File No. 1-36756) filed on February 12, 2020 and</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Previously filed as Exhibit 10.6 to the Company’s Current Report</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on Form 8-K (File No. 1-36756) filed on February 12, 2020 and</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spacing w:after="0" w:line="216" w:lineRule="auto"/>
        <w:rPr>
          <w:rFonts w:ascii="Times New Roman" w:cs="Times New Roman" w:eastAsia="Times New Roman" w:hAnsi="Times New Roman"/>
          <w:sz w:val="18"/>
          <w:szCs w:val="18"/>
          <w:u w:val="single" w:color="auto"/>
          <w:color w:val="0000FF"/>
        </w:rPr>
      </w:pPr>
      <w:hyperlink r:id="rId232">
        <w:r>
          <w:rPr>
            <w:rFonts w:ascii="Times New Roman" w:cs="Times New Roman" w:eastAsia="Times New Roman" w:hAnsi="Times New Roman"/>
            <w:sz w:val="18"/>
            <w:szCs w:val="18"/>
            <w:u w:val="single" w:color="auto"/>
            <w:color w:val="0000FF"/>
          </w:rPr>
          <w:t>Previously filed as Exhibit 10.2 to the Company’s Quarterly Report</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on Form 10-Q for the period ended June 30, 2020 (File No. 1-</w:t>
        </w:r>
      </w:hyperlink>
      <w:hyperlink r:id="rId232">
        <w:r>
          <w:rPr>
            <w:rFonts w:ascii="Times New Roman" w:cs="Times New Roman" w:eastAsia="Times New Roman" w:hAnsi="Times New Roman"/>
            <w:sz w:val="18"/>
            <w:szCs w:val="18"/>
            <w:u w:val="single" w:color="auto"/>
            <w:color w:val="0000FF"/>
          </w:rPr>
          <w:t>36756) filed on August 6, 2020 and incorporated herein by</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32">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8"/>
          <w:szCs w:val="18"/>
          <w:u w:val="single" w:color="auto"/>
          <w:color w:val="0000FF"/>
        </w:rPr>
      </w:pPr>
    </w:p>
    <w:p>
      <w:pPr>
        <w:spacing w:after="0" w:line="216" w:lineRule="auto"/>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Previously filed as Exhibit 10.3 to the Company’s Quarterly Report</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on Form 10-Q for the period ended June 30, 2020 (File No. 1-</w:t>
        </w:r>
      </w:hyperlink>
      <w:hyperlink r:id="rId233">
        <w:r>
          <w:rPr>
            <w:rFonts w:ascii="Times New Roman" w:cs="Times New Roman" w:eastAsia="Times New Roman" w:hAnsi="Times New Roman"/>
            <w:sz w:val="18"/>
            <w:szCs w:val="18"/>
            <w:u w:val="single" w:color="auto"/>
            <w:color w:val="0000FF"/>
          </w:rPr>
          <w:t>36756) filed on August 6, 2020 and incorporated herein by</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on Form 8-K (File No. 1-36756) filed on July 6, 2020 and</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on Form 8-K (File No. 1-36756) filed on October 26, 2020 and</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right="140"/>
        <w:spacing w:after="0" w:line="250" w:lineRule="auto"/>
        <w:rPr>
          <w:rFonts w:ascii="Times New Roman" w:cs="Times New Roman" w:eastAsia="Times New Roman" w:hAnsi="Times New Roman"/>
          <w:sz w:val="18"/>
          <w:szCs w:val="18"/>
          <w:u w:val="single" w:color="auto"/>
          <w:color w:val="0000FF"/>
        </w:rPr>
      </w:pPr>
      <w:hyperlink r:id="rId236">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36">
        <w:r>
          <w:rPr>
            <w:rFonts w:ascii="Times New Roman" w:cs="Times New Roman" w:eastAsia="Times New Roman" w:hAnsi="Times New Roman"/>
            <w:sz w:val="18"/>
            <w:szCs w:val="18"/>
            <w:u w:val="single" w:color="auto"/>
            <w:color w:val="0000FF"/>
          </w:rPr>
          <w:t>on Form 8-K (File No. 1-36756) filed on May 28, 2021 and</w:t>
        </w:r>
      </w:hyperlink>
      <w:r>
        <w:rPr>
          <w:rFonts w:ascii="Times New Roman" w:cs="Times New Roman" w:eastAsia="Times New Roman" w:hAnsi="Times New Roman"/>
          <w:sz w:val="18"/>
          <w:szCs w:val="18"/>
          <w:u w:val="single" w:color="auto"/>
          <w:color w:val="0000FF"/>
        </w:rPr>
        <w:t xml:space="preserve"> </w:t>
      </w:r>
      <w:hyperlink r:id="rId236">
        <w:r>
          <w:rPr>
            <w:rFonts w:ascii="Times New Roman" w:cs="Times New Roman" w:eastAsia="Times New Roman" w:hAnsi="Times New Roman"/>
            <w:sz w:val="18"/>
            <w:szCs w:val="18"/>
            <w:u w:val="single" w:color="auto"/>
            <w:color w:val="0000FF"/>
          </w:rPr>
          <w:t>incorporated herein by reference.</w:t>
        </w:r>
      </w:hyperlink>
    </w:p>
    <w:p>
      <w:pPr>
        <w:spacing w:after="0" w:line="366"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37">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on Form 8-K (File No. 1-36756) filed on June 30, 2022 and</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incorporated herein 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10(f)(1)</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Credit Agreement dated as of April 28, 2010 by and among Lamar</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Lamar Advertising of Puerto Rico, Inc., the Subsidiary</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Guarantors named therein, each additional Subsidiary Borrower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that may be designated as such thereunder, the Lenders named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therein, and JPMorgan Chase Bank, N.A., as administrative agent.</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dated as of June 11, 2010, to the Credit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Agreement dated as of April 28, 2010 by and among Lamar Media,</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Lamar Advertising of Puerto Rico, Inc., the Subsidiary Guarantors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named therein, each additional Subsidiary Borrower that may be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designated as such thereunder, the Lenders named therein, and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2, dated as of November 18, 2010, to the Credit</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Agreement dated as of April 28, 2010 by and among Lamar Media,</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Lamar Advertising of Puerto Rico, Inc., the Subsidiary Guarantors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named therein, each additional Subsidiary Borrower that may be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designated as such thereunder, the Lenders named therein, and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Restatement Agreement, dated as of February 9, 2012, to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Credit Agreement dated as of April 28, 2010 by and among Lamar</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Media, Lamar Advertising of Puerto Rico, Inc., the Subsidiary</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Guarantors named therein, each additional Subsidiary Borrower</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that may be designated as such thereunder, the Lenders named</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therein, and JPMorgan Chase Bank, N.A., as administrative agent</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(including the Amended and Restated Credit Agreement).</w:t>
            </w:r>
          </w:p>
        </w:tc>
        <w:tc>
          <w:tcPr>
            <w:tcW w:w="0" w:type="dxa"/>
            <w:vAlign w:val="bottom"/>
          </w:tcPr>
          <w:p>
            <w:pPr>
              <w:spacing w:after="0"/>
              <w:rPr>
                <w:sz w:val="1"/>
                <w:szCs w:val="1"/>
                <w:color w:val="auto"/>
              </w:rPr>
            </w:pPr>
          </w:p>
        </w:tc>
      </w:tr>
      <w:tr>
        <w:trPr>
          <w:trHeight w:val="23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dated as of October 24, 2013, to the Amended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Restated Credit Agreement dated as of February 9, 2012</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among Lamar Media, the subsidiary borrower party thereto, the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subsidiary guarantors party thereto, the lenders party thereto and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Restatement Agreement, dated as of February 3, 2014, by</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among Lamar Media, the Company, the Subsidiary Guarantors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named therein, the Lenders named therein, and JPMorgan Chase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Bank, N.A., as administrative agent (including the Second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as Exhibit A thereto).</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dated as of April 18, 2014, to the Second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February 3,</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2014, by and among Lamar Media, the Company, the Subsidiary</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Guarantors named therein, the Lenders named therein, and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Amendment No. 1 dated January 7, 2016 to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Second Amended and Restated Credit Agreement, dated as of</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February 3, 2014, as amended by and among Lamar Media, the</w:t>
            </w:r>
          </w:p>
        </w:tc>
        <w:tc>
          <w:tcPr>
            <w:tcW w:w="0" w:type="dxa"/>
            <w:vAlign w:val="bottom"/>
          </w:tcPr>
          <w:p>
            <w:pPr>
              <w:spacing w:after="0"/>
              <w:rPr>
                <w:sz w:val="1"/>
                <w:szCs w:val="1"/>
                <w:color w:val="auto"/>
              </w:rPr>
            </w:pPr>
          </w:p>
        </w:tc>
      </w:tr>
    </w:tbl>
    <w:p>
      <w:pPr>
        <w:ind w:left="1320" w:right="220"/>
        <w:spacing w:after="0" w:line="218" w:lineRule="auto"/>
        <w:rPr>
          <w:sz w:val="20"/>
          <w:szCs w:val="20"/>
          <w:color w:val="auto"/>
        </w:rPr>
      </w:pPr>
      <w:r>
        <w:rPr>
          <w:rFonts w:ascii="Times New Roman" w:cs="Times New Roman" w:eastAsia="Times New Roman" w:hAnsi="Times New Roman"/>
          <w:sz w:val="18"/>
          <w:szCs w:val="18"/>
          <w:color w:val="auto"/>
        </w:rPr>
        <w:t>Company, the Subsidiary Guarantors named therein, the Lenders named therein, and JPMorgan Chase Bank, N.A., as Administrative Agent.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9">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ind w:right="40"/>
        <w:spacing w:after="0" w:line="226" w:lineRule="auto"/>
        <w:rPr>
          <w:rFonts w:ascii="Times New Roman" w:cs="Times New Roman" w:eastAsia="Times New Roman" w:hAnsi="Times New Roman"/>
          <w:sz w:val="18"/>
          <w:szCs w:val="18"/>
          <w:u w:val="single" w:color="auto"/>
          <w:color w:val="0000FF"/>
        </w:rPr>
      </w:pPr>
      <w:hyperlink r:id="rId240">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on Form 8-K (File No. 0-30242) filed on May 3, 2010, and</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41">
        <w:r>
          <w:rPr>
            <w:rFonts w:ascii="Times New Roman" w:cs="Times New Roman" w:eastAsia="Times New Roman" w:hAnsi="Times New Roman"/>
            <w:sz w:val="17"/>
            <w:szCs w:val="17"/>
            <w:u w:val="single" w:color="auto"/>
            <w:color w:val="0000FF"/>
          </w:rPr>
          <w:t>Previously filed as Exhibit 10(p)(2) to the Company’s Annual</w:t>
        </w:r>
      </w:hyperlink>
      <w:r>
        <w:rPr>
          <w:rFonts w:ascii="Times New Roman" w:cs="Times New Roman" w:eastAsia="Times New Roman" w:hAnsi="Times New Roman"/>
          <w:sz w:val="17"/>
          <w:szCs w:val="17"/>
          <w:u w:val="single" w:color="auto"/>
          <w:color w:val="0000FF"/>
        </w:rPr>
        <w:t xml:space="preserve"> </w:t>
      </w:r>
      <w:hyperlink r:id="rId241">
        <w:r>
          <w:rPr>
            <w:rFonts w:ascii="Times New Roman" w:cs="Times New Roman" w:eastAsia="Times New Roman" w:hAnsi="Times New Roman"/>
            <w:sz w:val="17"/>
            <w:szCs w:val="17"/>
            <w:u w:val="single" w:color="auto"/>
            <w:color w:val="0000FF"/>
          </w:rPr>
          <w:t>Report on Form 10-K for the year ended December 31, 2010 (File</w:t>
        </w:r>
      </w:hyperlink>
      <w:r>
        <w:rPr>
          <w:rFonts w:ascii="Times New Roman" w:cs="Times New Roman" w:eastAsia="Times New Roman" w:hAnsi="Times New Roman"/>
          <w:sz w:val="17"/>
          <w:szCs w:val="17"/>
          <w:u w:val="single" w:color="auto"/>
          <w:color w:val="0000FF"/>
        </w:rPr>
        <w:t xml:space="preserve"> </w:t>
      </w:r>
      <w:hyperlink r:id="rId241">
        <w:r>
          <w:rPr>
            <w:rFonts w:ascii="Times New Roman" w:cs="Times New Roman" w:eastAsia="Times New Roman" w:hAnsi="Times New Roman"/>
            <w:sz w:val="17"/>
            <w:szCs w:val="17"/>
            <w:u w:val="single" w:color="auto"/>
            <w:color w:val="0000FF"/>
          </w:rPr>
          <w:t>No. 0-30242) filed on February 25, 2011 and incorporated herein</w:t>
        </w:r>
      </w:hyperlink>
    </w:p>
    <w:p>
      <w:pPr>
        <w:spacing w:after="0"/>
        <w:rPr>
          <w:rFonts w:ascii="Times New Roman" w:cs="Times New Roman" w:eastAsia="Times New Roman" w:hAnsi="Times New Roman"/>
          <w:sz w:val="18"/>
          <w:szCs w:val="18"/>
          <w:u w:val="single" w:color="auto"/>
          <w:color w:val="0000FF"/>
        </w:rPr>
      </w:pPr>
      <w:hyperlink r:id="rId241">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42">
        <w:r>
          <w:rPr>
            <w:rFonts w:ascii="Times New Roman" w:cs="Times New Roman" w:eastAsia="Times New Roman" w:hAnsi="Times New Roman"/>
            <w:sz w:val="17"/>
            <w:szCs w:val="17"/>
            <w:u w:val="single" w:color="auto"/>
            <w:color w:val="0000FF"/>
          </w:rPr>
          <w:t>Previously filed as Exhibit 10(p)(3) to the Company’s Annual</w:t>
        </w:r>
      </w:hyperlink>
      <w:r>
        <w:rPr>
          <w:rFonts w:ascii="Times New Roman" w:cs="Times New Roman" w:eastAsia="Times New Roman" w:hAnsi="Times New Roman"/>
          <w:sz w:val="17"/>
          <w:szCs w:val="17"/>
          <w:u w:val="single" w:color="auto"/>
          <w:color w:val="0000FF"/>
        </w:rPr>
        <w:t xml:space="preserve"> </w:t>
      </w:r>
      <w:hyperlink r:id="rId242">
        <w:r>
          <w:rPr>
            <w:rFonts w:ascii="Times New Roman" w:cs="Times New Roman" w:eastAsia="Times New Roman" w:hAnsi="Times New Roman"/>
            <w:sz w:val="17"/>
            <w:szCs w:val="17"/>
            <w:u w:val="single" w:color="auto"/>
            <w:color w:val="0000FF"/>
          </w:rPr>
          <w:t>Report on Form 10-K for the year ended December 31, 2010 (File</w:t>
        </w:r>
      </w:hyperlink>
      <w:r>
        <w:rPr>
          <w:rFonts w:ascii="Times New Roman" w:cs="Times New Roman" w:eastAsia="Times New Roman" w:hAnsi="Times New Roman"/>
          <w:sz w:val="17"/>
          <w:szCs w:val="17"/>
          <w:u w:val="single" w:color="auto"/>
          <w:color w:val="0000FF"/>
        </w:rPr>
        <w:t xml:space="preserve"> </w:t>
      </w:r>
      <w:hyperlink r:id="rId242">
        <w:r>
          <w:rPr>
            <w:rFonts w:ascii="Times New Roman" w:cs="Times New Roman" w:eastAsia="Times New Roman" w:hAnsi="Times New Roman"/>
            <w:sz w:val="17"/>
            <w:szCs w:val="17"/>
            <w:u w:val="single" w:color="auto"/>
            <w:color w:val="0000FF"/>
          </w:rPr>
          <w:t>No. 0-30242) filed on February 25, 2011 and incorporated herein</w:t>
        </w:r>
      </w:hyperlink>
    </w:p>
    <w:p>
      <w:pPr>
        <w:spacing w:after="0"/>
        <w:rPr>
          <w:rFonts w:ascii="Times New Roman" w:cs="Times New Roman" w:eastAsia="Times New Roman" w:hAnsi="Times New Roman"/>
          <w:sz w:val="18"/>
          <w:szCs w:val="18"/>
          <w:u w:val="single" w:color="auto"/>
          <w:color w:val="0000FF"/>
        </w:rPr>
      </w:pPr>
      <w:hyperlink r:id="rId242">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43">
        <w:r>
          <w:rPr>
            <w:rFonts w:ascii="Times New Roman" w:cs="Times New Roman" w:eastAsia="Times New Roman" w:hAnsi="Times New Roman"/>
            <w:sz w:val="18"/>
            <w:szCs w:val="18"/>
            <w:u w:val="single" w:color="auto"/>
            <w:color w:val="0000FF"/>
          </w:rPr>
          <w:t>Previously filed as Exhibit 10.2 to the Company’s Current Report</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on Form 8-K (File No. 0-30242) filed on February 14, 2012 and</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79" w:lineRule="exact"/>
        <w:rPr>
          <w:rFonts w:ascii="Times New Roman" w:cs="Times New Roman" w:eastAsia="Times New Roman" w:hAnsi="Times New Roman"/>
          <w:sz w:val="18"/>
          <w:szCs w:val="18"/>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44">
        <w:r>
          <w:rPr>
            <w:rFonts w:ascii="Times New Roman" w:cs="Times New Roman" w:eastAsia="Times New Roman" w:hAnsi="Times New Roman"/>
            <w:sz w:val="17"/>
            <w:szCs w:val="17"/>
            <w:u w:val="single" w:color="auto"/>
            <w:color w:val="0000FF"/>
          </w:rPr>
          <w:t>Previously filed as Exhibit 10(f)(11) to the Company’s Annual</w:t>
        </w:r>
      </w:hyperlink>
      <w:r>
        <w:rPr>
          <w:rFonts w:ascii="Times New Roman" w:cs="Times New Roman" w:eastAsia="Times New Roman" w:hAnsi="Times New Roman"/>
          <w:sz w:val="17"/>
          <w:szCs w:val="17"/>
          <w:u w:val="single" w:color="auto"/>
          <w:color w:val="0000FF"/>
        </w:rPr>
        <w:t xml:space="preserve"> </w:t>
      </w:r>
      <w:hyperlink r:id="rId244">
        <w:r>
          <w:rPr>
            <w:rFonts w:ascii="Times New Roman" w:cs="Times New Roman" w:eastAsia="Times New Roman" w:hAnsi="Times New Roman"/>
            <w:sz w:val="17"/>
            <w:szCs w:val="17"/>
            <w:u w:val="single" w:color="auto"/>
            <w:color w:val="0000FF"/>
          </w:rPr>
          <w:t>Report on Form 10-K for the year ended December 31, 2013 (File</w:t>
        </w:r>
      </w:hyperlink>
      <w:r>
        <w:rPr>
          <w:rFonts w:ascii="Times New Roman" w:cs="Times New Roman" w:eastAsia="Times New Roman" w:hAnsi="Times New Roman"/>
          <w:sz w:val="17"/>
          <w:szCs w:val="17"/>
          <w:u w:val="single" w:color="auto"/>
          <w:color w:val="0000FF"/>
        </w:rPr>
        <w:t xml:space="preserve"> </w:t>
      </w:r>
      <w:hyperlink r:id="rId244">
        <w:r>
          <w:rPr>
            <w:rFonts w:ascii="Times New Roman" w:cs="Times New Roman" w:eastAsia="Times New Roman" w:hAnsi="Times New Roman"/>
            <w:sz w:val="17"/>
            <w:szCs w:val="17"/>
            <w:u w:val="single" w:color="auto"/>
            <w:color w:val="0000FF"/>
          </w:rPr>
          <w:t>No. 0-30242) filed on February 27, 2014 and incorporated herein</w:t>
        </w:r>
      </w:hyperlink>
    </w:p>
    <w:p>
      <w:pPr>
        <w:spacing w:after="0"/>
        <w:rPr>
          <w:rFonts w:ascii="Times New Roman" w:cs="Times New Roman" w:eastAsia="Times New Roman" w:hAnsi="Times New Roman"/>
          <w:sz w:val="18"/>
          <w:szCs w:val="18"/>
          <w:u w:val="single" w:color="auto"/>
          <w:color w:val="0000FF"/>
        </w:rPr>
      </w:pPr>
      <w:hyperlink r:id="rId244">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45">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45">
        <w:r>
          <w:rPr>
            <w:rFonts w:ascii="Times New Roman" w:cs="Times New Roman" w:eastAsia="Times New Roman" w:hAnsi="Times New Roman"/>
            <w:sz w:val="18"/>
            <w:szCs w:val="18"/>
            <w:u w:val="single" w:color="auto"/>
            <w:color w:val="0000FF"/>
          </w:rPr>
          <w:t>on Form 8-K (File No. 0-30242) filed on February 7, 2014 and</w:t>
        </w:r>
      </w:hyperlink>
      <w:r>
        <w:rPr>
          <w:rFonts w:ascii="Times New Roman" w:cs="Times New Roman" w:eastAsia="Times New Roman" w:hAnsi="Times New Roman"/>
          <w:sz w:val="18"/>
          <w:szCs w:val="18"/>
          <w:u w:val="single" w:color="auto"/>
          <w:color w:val="0000FF"/>
        </w:rPr>
        <w:t xml:space="preserve"> </w:t>
      </w:r>
      <w:hyperlink r:id="rId245">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46">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on Form 8-K (File No. 0-30242) filed on April 22, 2014 and</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47">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47">
        <w:r>
          <w:rPr>
            <w:rFonts w:ascii="Times New Roman" w:cs="Times New Roman" w:eastAsia="Times New Roman" w:hAnsi="Times New Roman"/>
            <w:sz w:val="18"/>
            <w:szCs w:val="18"/>
            <w:u w:val="single" w:color="auto"/>
            <w:color w:val="0000FF"/>
          </w:rPr>
          <w:t>on Form 8-K (File No. 1-36756) filed on January 13, 2016 and</w:t>
        </w:r>
      </w:hyperlink>
      <w:r>
        <w:rPr>
          <w:rFonts w:ascii="Times New Roman" w:cs="Times New Roman" w:eastAsia="Times New Roman" w:hAnsi="Times New Roman"/>
          <w:sz w:val="18"/>
          <w:szCs w:val="18"/>
          <w:u w:val="single" w:color="auto"/>
          <w:color w:val="0000FF"/>
        </w:rPr>
        <w:t xml:space="preserve"> </w:t>
      </w:r>
      <w:hyperlink r:id="rId247">
        <w:r>
          <w:rPr>
            <w:rFonts w:ascii="Times New Roman" w:cs="Times New Roman" w:eastAsia="Times New Roman" w:hAnsi="Times New Roman"/>
            <w:sz w:val="18"/>
            <w:szCs w:val="18"/>
            <w:u w:val="single" w:color="auto"/>
            <w:color w:val="0000FF"/>
          </w:rPr>
          <w:t>incorporated herein by reference.</w:t>
        </w:r>
      </w:hyperlink>
    </w:p>
    <w:p>
      <w:pPr>
        <w:sectPr>
          <w:pgSz w:w="11900" w:h="16838" w:orient="portrait"/>
          <w:cols w:equalWidth="0" w:num="2">
            <w:col w:w="6200" w:space="140"/>
            <w:col w:w="4740"/>
          </w:cols>
          <w:pgMar w:left="320" w:top="121" w:right="49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10(f)(9)</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Amendment No. 2, dated as of March 4, 2016, to the Second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February 3,</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2014, as amended by and among Lamar Media, the Company,</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certain of Lamar Media’s subsidiaries as Guarantors, JPMorgan</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Chase Bank, N.A. as Administrative Agent and the Lenders party</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thereto.</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10(f)(10)</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Restatement Agreement, dated as of May 15, 2017, by and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Lamar Media, the Company, the Subsidiary Guarantors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named therein, the Lenders named therein, and JPMorgan Chase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Bank, N.A., as Administrative Agent (including the Third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as Exhibit A thereto).</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dated as of March 16, 2018 to the Third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Restatement Agreement, by and among Lamar Media,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Company, the subsidiary guarantors named therein, the Lenders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named therein, and JPMorgan Chase Bank, N.A., as administrative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agent (including the Third Amended and Restated Credit</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Agreement, as amended for Amendment No. 1, as Exhibit A</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thereto).</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2 dated as of December 6, 2018 to the Third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Restatement Agreement, by and among Lamar Media,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Company, the subsidiary guarantors named therein, the Lenders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named therein, and JPMorgan Chase Bank, N.A., as administrative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agent (including the Third Amended and Restated Credit</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Agreement, as amended for Amendment No. 2, as Exhibit A</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thereto).</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Amendment No. 1, dated January 17, 2019, by and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among Lamar Media, Lamar Advertising, the subsidiary guarantors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named therein, the Lenders named therein, and JPMorgan Chase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N.A., as Administrative Agent.</w:t>
            </w:r>
          </w:p>
        </w:tc>
        <w:tc>
          <w:tcPr>
            <w:tcW w:w="0" w:type="dxa"/>
            <w:vAlign w:val="bottom"/>
          </w:tcPr>
          <w:p>
            <w:pPr>
              <w:spacing w:after="0"/>
              <w:rPr>
                <w:sz w:val="1"/>
                <w:szCs w:val="1"/>
                <w:color w:val="auto"/>
              </w:rPr>
            </w:pPr>
          </w:p>
        </w:tc>
      </w:tr>
      <w:tr>
        <w:trPr>
          <w:trHeight w:val="23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July 19, 2010, to the Credit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Agreement dated as of April 28, 2010 among Lamar Media,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subsidiary borrower party thereto, the subsidiary guarantors party</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thereto, the lenders party thereto and JPMorgan Chase Bank, N.A.,</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administrative agent, by Arizona Logos,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April 21, 2011, to the Credit</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Agreement dated as of April 28, 2010 among Lamar Media,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subsidiary borrower party thereto, the subsidiary guarantors party</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thereto, the lenders party thereto and JPMorgan Chase Bank, N.A.,</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administrative agent, by Wisconsin Logos,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August 26, 2011, to the Credit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Agreement dated as of April 28, 2010 among Lamar Media,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subsidiary borrower party thereto, the subsidiary guarantors party</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thereto, the lenders party thereto and JPMorgan Chase Bank, N.A.,</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administrative agent, by Montana Logos,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November 14, 2012, to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February 9,</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2012 among Lamar Media, the subsidiary borrower party thereto,</w:t>
            </w:r>
          </w:p>
        </w:tc>
        <w:tc>
          <w:tcPr>
            <w:tcW w:w="0" w:type="dxa"/>
            <w:vAlign w:val="bottom"/>
          </w:tcPr>
          <w:p>
            <w:pPr>
              <w:spacing w:after="0"/>
              <w:rPr>
                <w:sz w:val="1"/>
                <w:szCs w:val="1"/>
                <w:color w:val="auto"/>
              </w:rPr>
            </w:pPr>
          </w:p>
        </w:tc>
      </w:tr>
    </w:tbl>
    <w:p>
      <w:pPr>
        <w:ind w:left="1320" w:right="280"/>
        <w:spacing w:after="0" w:line="218" w:lineRule="auto"/>
        <w:rPr>
          <w:sz w:val="20"/>
          <w:szCs w:val="20"/>
          <w:color w:val="auto"/>
        </w:rPr>
      </w:pPr>
      <w:r>
        <w:rPr>
          <w:rFonts w:ascii="Times New Roman" w:cs="Times New Roman" w:eastAsia="Times New Roman" w:hAnsi="Times New Roman"/>
          <w:sz w:val="18"/>
          <w:szCs w:val="18"/>
          <w:color w:val="auto"/>
        </w:rPr>
        <w:t>the subsidiary guarantors party thereto, the lenders party thereto and JPMorgan Chase Bank, N.A., as administrative agent, by NextMedia Outdoor,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9">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ind w:right="40"/>
        <w:spacing w:after="0" w:line="226" w:lineRule="auto"/>
        <w:rPr>
          <w:rFonts w:ascii="Times New Roman" w:cs="Times New Roman" w:eastAsia="Times New Roman" w:hAnsi="Times New Roman"/>
          <w:sz w:val="18"/>
          <w:szCs w:val="18"/>
          <w:u w:val="single" w:color="auto"/>
          <w:color w:val="0000FF"/>
        </w:rPr>
      </w:pPr>
      <w:hyperlink r:id="rId250">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50">
        <w:r>
          <w:rPr>
            <w:rFonts w:ascii="Times New Roman" w:cs="Times New Roman" w:eastAsia="Times New Roman" w:hAnsi="Times New Roman"/>
            <w:sz w:val="18"/>
            <w:szCs w:val="18"/>
            <w:u w:val="single" w:color="auto"/>
            <w:color w:val="0000FF"/>
          </w:rPr>
          <w:t>on Form 8-K (File No. 1-36756) filed on March 8, 2016 and</w:t>
        </w:r>
      </w:hyperlink>
      <w:r>
        <w:rPr>
          <w:rFonts w:ascii="Times New Roman" w:cs="Times New Roman" w:eastAsia="Times New Roman" w:hAnsi="Times New Roman"/>
          <w:sz w:val="18"/>
          <w:szCs w:val="18"/>
          <w:u w:val="single" w:color="auto"/>
          <w:color w:val="0000FF"/>
        </w:rPr>
        <w:t xml:space="preserve"> </w:t>
      </w:r>
      <w:hyperlink r:id="rId250">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51">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51">
        <w:r>
          <w:rPr>
            <w:rFonts w:ascii="Times New Roman" w:cs="Times New Roman" w:eastAsia="Times New Roman" w:hAnsi="Times New Roman"/>
            <w:sz w:val="18"/>
            <w:szCs w:val="18"/>
            <w:u w:val="single" w:color="auto"/>
            <w:color w:val="0000FF"/>
          </w:rPr>
          <w:t>on Form 8-K (File No. 1-36756) filed on May 19, 2017 and</w:t>
        </w:r>
      </w:hyperlink>
      <w:r>
        <w:rPr>
          <w:rFonts w:ascii="Times New Roman" w:cs="Times New Roman" w:eastAsia="Times New Roman" w:hAnsi="Times New Roman"/>
          <w:sz w:val="18"/>
          <w:szCs w:val="18"/>
          <w:u w:val="single" w:color="auto"/>
          <w:color w:val="0000FF"/>
        </w:rPr>
        <w:t xml:space="preserve"> </w:t>
      </w:r>
      <w:hyperlink r:id="rId251">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52">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52">
        <w:r>
          <w:rPr>
            <w:rFonts w:ascii="Times New Roman" w:cs="Times New Roman" w:eastAsia="Times New Roman" w:hAnsi="Times New Roman"/>
            <w:sz w:val="18"/>
            <w:szCs w:val="18"/>
            <w:u w:val="single" w:color="auto"/>
            <w:color w:val="0000FF"/>
          </w:rPr>
          <w:t>on Form 8-K (File No. 1-36756) filed on March 21, 2018 and</w:t>
        </w:r>
      </w:hyperlink>
      <w:r>
        <w:rPr>
          <w:rFonts w:ascii="Times New Roman" w:cs="Times New Roman" w:eastAsia="Times New Roman" w:hAnsi="Times New Roman"/>
          <w:sz w:val="18"/>
          <w:szCs w:val="18"/>
          <w:u w:val="single" w:color="auto"/>
          <w:color w:val="0000FF"/>
        </w:rPr>
        <w:t xml:space="preserve"> </w:t>
      </w:r>
      <w:hyperlink r:id="rId252">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79" w:lineRule="exact"/>
        <w:rPr>
          <w:rFonts w:ascii="Times New Roman" w:cs="Times New Roman" w:eastAsia="Times New Roman" w:hAnsi="Times New Roman"/>
          <w:sz w:val="18"/>
          <w:szCs w:val="18"/>
          <w:u w:val="single" w:color="auto"/>
          <w:color w:val="0000FF"/>
        </w:rPr>
      </w:pPr>
    </w:p>
    <w:p>
      <w:pPr>
        <w:jc w:val="both"/>
        <w:ind w:right="40"/>
        <w:spacing w:after="0" w:line="226" w:lineRule="auto"/>
        <w:rPr>
          <w:rFonts w:ascii="Times New Roman" w:cs="Times New Roman" w:eastAsia="Times New Roman" w:hAnsi="Times New Roman"/>
          <w:sz w:val="18"/>
          <w:szCs w:val="18"/>
          <w:u w:val="single" w:color="auto"/>
          <w:color w:val="0000FF"/>
        </w:rPr>
      </w:pPr>
      <w:hyperlink r:id="rId253">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53">
        <w:r>
          <w:rPr>
            <w:rFonts w:ascii="Times New Roman" w:cs="Times New Roman" w:eastAsia="Times New Roman" w:hAnsi="Times New Roman"/>
            <w:sz w:val="18"/>
            <w:szCs w:val="18"/>
            <w:u w:val="single" w:color="auto"/>
            <w:color w:val="0000FF"/>
          </w:rPr>
          <w:t>on Form 8-K (File No. 1-36756) filed on December 12, 2018 and</w:t>
        </w:r>
      </w:hyperlink>
      <w:r>
        <w:rPr>
          <w:rFonts w:ascii="Times New Roman" w:cs="Times New Roman" w:eastAsia="Times New Roman" w:hAnsi="Times New Roman"/>
          <w:sz w:val="18"/>
          <w:szCs w:val="18"/>
          <w:u w:val="single" w:color="auto"/>
          <w:color w:val="0000FF"/>
        </w:rPr>
        <w:t xml:space="preserve"> </w:t>
      </w:r>
      <w:hyperlink r:id="rId253">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79" w:lineRule="exact"/>
        <w:rPr>
          <w:rFonts w:ascii="Times New Roman" w:cs="Times New Roman" w:eastAsia="Times New Roman" w:hAnsi="Times New Roman"/>
          <w:sz w:val="18"/>
          <w:szCs w:val="18"/>
          <w:u w:val="single" w:color="auto"/>
          <w:color w:val="0000FF"/>
        </w:rPr>
      </w:pPr>
    </w:p>
    <w:p>
      <w:pPr>
        <w:spacing w:after="0" w:line="226" w:lineRule="auto"/>
        <w:rPr>
          <w:rFonts w:ascii="Times New Roman" w:cs="Times New Roman" w:eastAsia="Times New Roman" w:hAnsi="Times New Roman"/>
          <w:sz w:val="18"/>
          <w:szCs w:val="18"/>
          <w:u w:val="single" w:color="auto"/>
          <w:color w:val="0000FF"/>
        </w:rPr>
      </w:pPr>
      <w:hyperlink r:id="rId254">
        <w:r>
          <w:rPr>
            <w:rFonts w:ascii="Times New Roman" w:cs="Times New Roman" w:eastAsia="Times New Roman" w:hAnsi="Times New Roman"/>
            <w:sz w:val="18"/>
            <w:szCs w:val="18"/>
            <w:u w:val="single" w:color="auto"/>
            <w:color w:val="0000FF"/>
          </w:rPr>
          <w:t>Previously filed as Exhibit 10.1 to Lamar Advertising’s Current</w:t>
        </w:r>
      </w:hyperlink>
      <w:r>
        <w:rPr>
          <w:rFonts w:ascii="Times New Roman" w:cs="Times New Roman" w:eastAsia="Times New Roman" w:hAnsi="Times New Roman"/>
          <w:sz w:val="18"/>
          <w:szCs w:val="18"/>
          <w:u w:val="single" w:color="auto"/>
          <w:color w:val="0000FF"/>
        </w:rPr>
        <w:t xml:space="preserve"> </w:t>
      </w:r>
      <w:hyperlink r:id="rId254">
        <w:r>
          <w:rPr>
            <w:rFonts w:ascii="Times New Roman" w:cs="Times New Roman" w:eastAsia="Times New Roman" w:hAnsi="Times New Roman"/>
            <w:sz w:val="18"/>
            <w:szCs w:val="18"/>
            <w:u w:val="single" w:color="auto"/>
            <w:color w:val="0000FF"/>
          </w:rPr>
          <w:t>Report on Form 8-K (File No. 1-36756) filed on January 22, 2019</w:t>
        </w:r>
      </w:hyperlink>
      <w:r>
        <w:rPr>
          <w:rFonts w:ascii="Times New Roman" w:cs="Times New Roman" w:eastAsia="Times New Roman" w:hAnsi="Times New Roman"/>
          <w:sz w:val="18"/>
          <w:szCs w:val="18"/>
          <w:u w:val="single" w:color="auto"/>
          <w:color w:val="0000FF"/>
        </w:rPr>
        <w:t xml:space="preserve"> </w:t>
      </w:r>
      <w:hyperlink r:id="rId254">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55">
        <w:r>
          <w:rPr>
            <w:rFonts w:ascii="Times New Roman" w:cs="Times New Roman" w:eastAsia="Times New Roman" w:hAnsi="Times New Roman"/>
            <w:sz w:val="17"/>
            <w:szCs w:val="17"/>
            <w:u w:val="single" w:color="auto"/>
            <w:color w:val="0000FF"/>
          </w:rPr>
          <w:t>Previously filed as Exhibit 10(p)(4) to the Company’s Annual</w:t>
        </w:r>
      </w:hyperlink>
      <w:r>
        <w:rPr>
          <w:rFonts w:ascii="Times New Roman" w:cs="Times New Roman" w:eastAsia="Times New Roman" w:hAnsi="Times New Roman"/>
          <w:sz w:val="17"/>
          <w:szCs w:val="17"/>
          <w:u w:val="single" w:color="auto"/>
          <w:color w:val="0000FF"/>
        </w:rPr>
        <w:t xml:space="preserve"> </w:t>
      </w:r>
      <w:hyperlink r:id="rId255">
        <w:r>
          <w:rPr>
            <w:rFonts w:ascii="Times New Roman" w:cs="Times New Roman" w:eastAsia="Times New Roman" w:hAnsi="Times New Roman"/>
            <w:sz w:val="17"/>
            <w:szCs w:val="17"/>
            <w:u w:val="single" w:color="auto"/>
            <w:color w:val="0000FF"/>
          </w:rPr>
          <w:t>Report on Form 10-K for the year ended December 31, 2011 (File</w:t>
        </w:r>
      </w:hyperlink>
      <w:r>
        <w:rPr>
          <w:rFonts w:ascii="Times New Roman" w:cs="Times New Roman" w:eastAsia="Times New Roman" w:hAnsi="Times New Roman"/>
          <w:sz w:val="17"/>
          <w:szCs w:val="17"/>
          <w:u w:val="single" w:color="auto"/>
          <w:color w:val="0000FF"/>
        </w:rPr>
        <w:t xml:space="preserve"> </w:t>
      </w:r>
      <w:hyperlink r:id="rId255">
        <w:r>
          <w:rPr>
            <w:rFonts w:ascii="Times New Roman" w:cs="Times New Roman" w:eastAsia="Times New Roman" w:hAnsi="Times New Roman"/>
            <w:sz w:val="17"/>
            <w:szCs w:val="17"/>
            <w:u w:val="single" w:color="auto"/>
            <w:color w:val="0000FF"/>
          </w:rPr>
          <w:t>No. 0-30242) filed on February 27, 2012 and incorporated herein</w:t>
        </w:r>
      </w:hyperlink>
    </w:p>
    <w:p>
      <w:pPr>
        <w:spacing w:after="0"/>
        <w:rPr>
          <w:rFonts w:ascii="Times New Roman" w:cs="Times New Roman" w:eastAsia="Times New Roman" w:hAnsi="Times New Roman"/>
          <w:sz w:val="18"/>
          <w:szCs w:val="18"/>
          <w:u w:val="single" w:color="auto"/>
          <w:color w:val="0000FF"/>
        </w:rPr>
      </w:pPr>
      <w:hyperlink r:id="rId255">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56">
        <w:r>
          <w:rPr>
            <w:rFonts w:ascii="Times New Roman" w:cs="Times New Roman" w:eastAsia="Times New Roman" w:hAnsi="Times New Roman"/>
            <w:sz w:val="17"/>
            <w:szCs w:val="17"/>
            <w:u w:val="single" w:color="auto"/>
            <w:color w:val="0000FF"/>
          </w:rPr>
          <w:t>Previously filed as Exhibit 10(p)(5) to the Company’s Annual</w:t>
        </w:r>
      </w:hyperlink>
      <w:r>
        <w:rPr>
          <w:rFonts w:ascii="Times New Roman" w:cs="Times New Roman" w:eastAsia="Times New Roman" w:hAnsi="Times New Roman"/>
          <w:sz w:val="17"/>
          <w:szCs w:val="17"/>
          <w:u w:val="single" w:color="auto"/>
          <w:color w:val="0000FF"/>
        </w:rPr>
        <w:t xml:space="preserve"> </w:t>
      </w:r>
      <w:hyperlink r:id="rId256">
        <w:r>
          <w:rPr>
            <w:rFonts w:ascii="Times New Roman" w:cs="Times New Roman" w:eastAsia="Times New Roman" w:hAnsi="Times New Roman"/>
            <w:sz w:val="17"/>
            <w:szCs w:val="17"/>
            <w:u w:val="single" w:color="auto"/>
            <w:color w:val="0000FF"/>
          </w:rPr>
          <w:t>Report on Form 10-K for the year ended December 31, 2011 (File</w:t>
        </w:r>
      </w:hyperlink>
      <w:r>
        <w:rPr>
          <w:rFonts w:ascii="Times New Roman" w:cs="Times New Roman" w:eastAsia="Times New Roman" w:hAnsi="Times New Roman"/>
          <w:sz w:val="17"/>
          <w:szCs w:val="17"/>
          <w:u w:val="single" w:color="auto"/>
          <w:color w:val="0000FF"/>
        </w:rPr>
        <w:t xml:space="preserve"> </w:t>
      </w:r>
      <w:hyperlink r:id="rId256">
        <w:r>
          <w:rPr>
            <w:rFonts w:ascii="Times New Roman" w:cs="Times New Roman" w:eastAsia="Times New Roman" w:hAnsi="Times New Roman"/>
            <w:sz w:val="17"/>
            <w:szCs w:val="17"/>
            <w:u w:val="single" w:color="auto"/>
            <w:color w:val="0000FF"/>
          </w:rPr>
          <w:t>No. 0-30242) filed on February 27, 2012 and incorporated herein</w:t>
        </w:r>
      </w:hyperlink>
    </w:p>
    <w:p>
      <w:pPr>
        <w:spacing w:after="0"/>
        <w:rPr>
          <w:rFonts w:ascii="Times New Roman" w:cs="Times New Roman" w:eastAsia="Times New Roman" w:hAnsi="Times New Roman"/>
          <w:sz w:val="18"/>
          <w:szCs w:val="18"/>
          <w:u w:val="single" w:color="auto"/>
          <w:color w:val="0000FF"/>
        </w:rPr>
      </w:pPr>
      <w:hyperlink r:id="rId256">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57">
        <w:r>
          <w:rPr>
            <w:rFonts w:ascii="Times New Roman" w:cs="Times New Roman" w:eastAsia="Times New Roman" w:hAnsi="Times New Roman"/>
            <w:sz w:val="17"/>
            <w:szCs w:val="17"/>
            <w:u w:val="single" w:color="auto"/>
            <w:color w:val="0000FF"/>
          </w:rPr>
          <w:t>Previously filed as Exhibit 10(p)(6) to the Company’s Annual</w:t>
        </w:r>
      </w:hyperlink>
      <w:r>
        <w:rPr>
          <w:rFonts w:ascii="Times New Roman" w:cs="Times New Roman" w:eastAsia="Times New Roman" w:hAnsi="Times New Roman"/>
          <w:sz w:val="17"/>
          <w:szCs w:val="17"/>
          <w:u w:val="single" w:color="auto"/>
          <w:color w:val="0000FF"/>
        </w:rPr>
        <w:t xml:space="preserve"> </w:t>
      </w:r>
      <w:hyperlink r:id="rId257">
        <w:r>
          <w:rPr>
            <w:rFonts w:ascii="Times New Roman" w:cs="Times New Roman" w:eastAsia="Times New Roman" w:hAnsi="Times New Roman"/>
            <w:sz w:val="17"/>
            <w:szCs w:val="17"/>
            <w:u w:val="single" w:color="auto"/>
            <w:color w:val="0000FF"/>
          </w:rPr>
          <w:t>Report on Form 10-K for the year ended December 31, 2011 (File</w:t>
        </w:r>
      </w:hyperlink>
      <w:r>
        <w:rPr>
          <w:rFonts w:ascii="Times New Roman" w:cs="Times New Roman" w:eastAsia="Times New Roman" w:hAnsi="Times New Roman"/>
          <w:sz w:val="17"/>
          <w:szCs w:val="17"/>
          <w:u w:val="single" w:color="auto"/>
          <w:color w:val="0000FF"/>
        </w:rPr>
        <w:t xml:space="preserve"> </w:t>
      </w:r>
      <w:hyperlink r:id="rId257">
        <w:r>
          <w:rPr>
            <w:rFonts w:ascii="Times New Roman" w:cs="Times New Roman" w:eastAsia="Times New Roman" w:hAnsi="Times New Roman"/>
            <w:sz w:val="17"/>
            <w:szCs w:val="17"/>
            <w:u w:val="single" w:color="auto"/>
            <w:color w:val="0000FF"/>
          </w:rPr>
          <w:t>No. 0-30242) filed on February 27, 2012 and incorporated herein</w:t>
        </w:r>
      </w:hyperlink>
    </w:p>
    <w:p>
      <w:pPr>
        <w:spacing w:after="0"/>
        <w:rPr>
          <w:rFonts w:ascii="Times New Roman" w:cs="Times New Roman" w:eastAsia="Times New Roman" w:hAnsi="Times New Roman"/>
          <w:sz w:val="18"/>
          <w:szCs w:val="18"/>
          <w:u w:val="single" w:color="auto"/>
          <w:color w:val="0000FF"/>
        </w:rPr>
      </w:pPr>
      <w:hyperlink r:id="rId257">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58">
        <w:r>
          <w:rPr>
            <w:rFonts w:ascii="Times New Roman" w:cs="Times New Roman" w:eastAsia="Times New Roman" w:hAnsi="Times New Roman"/>
            <w:sz w:val="17"/>
            <w:szCs w:val="17"/>
            <w:u w:val="single" w:color="auto"/>
            <w:color w:val="0000FF"/>
          </w:rPr>
          <w:t>Previously filed as Exhibit 10(f)(9) to the Company’s Annual</w:t>
        </w:r>
      </w:hyperlink>
      <w:r>
        <w:rPr>
          <w:rFonts w:ascii="Times New Roman" w:cs="Times New Roman" w:eastAsia="Times New Roman" w:hAnsi="Times New Roman"/>
          <w:sz w:val="17"/>
          <w:szCs w:val="17"/>
          <w:u w:val="single" w:color="auto"/>
          <w:color w:val="0000FF"/>
        </w:rPr>
        <w:t xml:space="preserve"> </w:t>
      </w:r>
      <w:hyperlink r:id="rId258">
        <w:r>
          <w:rPr>
            <w:rFonts w:ascii="Times New Roman" w:cs="Times New Roman" w:eastAsia="Times New Roman" w:hAnsi="Times New Roman"/>
            <w:sz w:val="17"/>
            <w:szCs w:val="17"/>
            <w:u w:val="single" w:color="auto"/>
            <w:color w:val="0000FF"/>
          </w:rPr>
          <w:t>Report on Form 10-K for the year ended December 31, 2012 (File</w:t>
        </w:r>
      </w:hyperlink>
      <w:r>
        <w:rPr>
          <w:rFonts w:ascii="Times New Roman" w:cs="Times New Roman" w:eastAsia="Times New Roman" w:hAnsi="Times New Roman"/>
          <w:sz w:val="17"/>
          <w:szCs w:val="17"/>
          <w:u w:val="single" w:color="auto"/>
          <w:color w:val="0000FF"/>
        </w:rPr>
        <w:t xml:space="preserve"> </w:t>
      </w:r>
      <w:hyperlink r:id="rId258">
        <w:r>
          <w:rPr>
            <w:rFonts w:ascii="Times New Roman" w:cs="Times New Roman" w:eastAsia="Times New Roman" w:hAnsi="Times New Roman"/>
            <w:sz w:val="17"/>
            <w:szCs w:val="17"/>
            <w:u w:val="single" w:color="auto"/>
            <w:color w:val="0000FF"/>
          </w:rPr>
          <w:t>No. 0-30242) filed on February 28, 2013 and incorporated herein</w:t>
        </w:r>
      </w:hyperlink>
    </w:p>
    <w:p>
      <w:pPr>
        <w:spacing w:after="0"/>
        <w:rPr>
          <w:rFonts w:ascii="Times New Roman" w:cs="Times New Roman" w:eastAsia="Times New Roman" w:hAnsi="Times New Roman"/>
          <w:sz w:val="18"/>
          <w:szCs w:val="18"/>
          <w:u w:val="single" w:color="auto"/>
          <w:color w:val="0000FF"/>
        </w:rPr>
      </w:pPr>
      <w:hyperlink r:id="rId258">
        <w:r>
          <w:rPr>
            <w:rFonts w:ascii="Times New Roman" w:cs="Times New Roman" w:eastAsia="Times New Roman" w:hAnsi="Times New Roman"/>
            <w:sz w:val="18"/>
            <w:szCs w:val="18"/>
            <w:u w:val="single" w:color="auto"/>
            <w:color w:val="0000FF"/>
          </w:rPr>
          <w:t>by reference.</w:t>
        </w:r>
      </w:hyperlink>
    </w:p>
    <w:p>
      <w:pPr>
        <w:sectPr>
          <w:pgSz w:w="11900" w:h="16838" w:orient="portrait"/>
          <w:cols w:equalWidth="0" w:num="2">
            <w:col w:w="6200" w:space="140"/>
            <w:col w:w="4740"/>
          </w:cols>
          <w:pgMar w:left="320" w:top="121" w:right="49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10(f)(18)</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Joinder Agreement, dated as of November 14, 2012, to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February 9,</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2012 among Lamar Media, the subsidiary borrower party thereto,</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the subsidiary guarantors party thereto, the lenders party thereto</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JPMorgan Chase Bank, N.A., as administrative agent, by</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NextMedia Outdoor, Inc.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10(f)(19)</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November 14, 2012, to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February 9,</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2012 among Lamar Media, the subsidiary borrower party thereto,</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the subsidiary guarantors party thereto, the lenders party thereto</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JPMorgan Chase Bank, N.A., as administrative agent, by</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NMG Outdoor I Corp.</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10(f)(20)</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December 5, 2013, to the Amended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Restated Credit Agreement dated as of February 9, 2012</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among Lamar Media, the subsidiary borrower party thereto, the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subsidiary guarantors party thereto, the lenders party thereto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JPMorgan Chase Bank, N.A., as administrative agent, by Lamar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TRS Holdings,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December 5, 2013, to the Amended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Restated Credit Agreement dated as of February 9, 2012</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among Lamar Media, the subsidiary borrower party thereto, the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subsidiary guarantors party thereto, the lenders party thereto and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JPMorgan Chase Bank, N.A., as administrative agent, by Lamar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Company,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December 5, 2013, to the Amended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Restated Credit Agreement dated as of February 9, 2012</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among Lamar Media, the subsidiary borrower party thereto, the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subsidiary guarantors party thereto, the lenders party thereto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JPMorgan Chase Bank, N.A., as administrative agent, by Lamar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LLC.</w:t>
            </w:r>
          </w:p>
        </w:tc>
        <w:tc>
          <w:tcPr>
            <w:tcW w:w="0" w:type="dxa"/>
            <w:vAlign w:val="bottom"/>
          </w:tcPr>
          <w:p>
            <w:pPr>
              <w:spacing w:after="0"/>
              <w:rPr>
                <w:sz w:val="1"/>
                <w:szCs w:val="1"/>
                <w:color w:val="auto"/>
              </w:rPr>
            </w:pPr>
          </w:p>
        </w:tc>
      </w:tr>
      <w:tr>
        <w:trPr>
          <w:trHeight w:val="45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December 5, 2013, to the Amended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Restated Credit Agreement dated as of February 9, 2012</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among Lamar Media, the subsidiary borrower party thereto, the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subsidiary guarantors party thereto, the lenders party thereto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JPMorgan Chase Bank, N.A., as administrative agent, by Lamar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July 28, 2015, to the Second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February 3,</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2014, as amended, among Lamar Media, the subsidiary borrower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party thereto, the subsidiary guarantors party thereto, the lenders</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party thereto and JPMorgan Chase Bank, N.A., as administrative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agent, by Lamar Alliance Airport Advertising Company.</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January 30, 2018, to the Third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May 15,</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2017, as amended, among Lamar Media, the subsidiary borrower</w:t>
            </w:r>
          </w:p>
        </w:tc>
        <w:tc>
          <w:tcPr>
            <w:tcW w:w="0" w:type="dxa"/>
            <w:vAlign w:val="bottom"/>
          </w:tcPr>
          <w:p>
            <w:pPr>
              <w:spacing w:after="0"/>
              <w:rPr>
                <w:sz w:val="1"/>
                <w:szCs w:val="1"/>
                <w:color w:val="auto"/>
              </w:rPr>
            </w:pPr>
          </w:p>
        </w:tc>
      </w:tr>
    </w:tbl>
    <w:p>
      <w:pPr>
        <w:jc w:val="both"/>
        <w:ind w:left="1320" w:right="220"/>
        <w:spacing w:after="0" w:line="218" w:lineRule="auto"/>
        <w:rPr>
          <w:sz w:val="20"/>
          <w:szCs w:val="20"/>
          <w:color w:val="auto"/>
        </w:rPr>
      </w:pPr>
      <w:r>
        <w:rPr>
          <w:rFonts w:ascii="Times New Roman" w:cs="Times New Roman" w:eastAsia="Times New Roman" w:hAnsi="Times New Roman"/>
          <w:sz w:val="18"/>
          <w:szCs w:val="18"/>
          <w:color w:val="auto"/>
        </w:rPr>
        <w:t>party thereto, the subsidiary guarantors party thereto, the lenders party thereto and JPMorgan Chase Bank, N.A., as administrative agent, by Interstate Logos TRS, LLC.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60">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ind w:right="100"/>
        <w:spacing w:after="0" w:line="229" w:lineRule="auto"/>
        <w:rPr>
          <w:rFonts w:ascii="Times New Roman" w:cs="Times New Roman" w:eastAsia="Times New Roman" w:hAnsi="Times New Roman"/>
          <w:sz w:val="17"/>
          <w:szCs w:val="17"/>
          <w:u w:val="single" w:color="auto"/>
          <w:color w:val="0000FF"/>
        </w:rPr>
      </w:pPr>
      <w:hyperlink r:id="rId258">
        <w:r>
          <w:rPr>
            <w:rFonts w:ascii="Times New Roman" w:cs="Times New Roman" w:eastAsia="Times New Roman" w:hAnsi="Times New Roman"/>
            <w:sz w:val="17"/>
            <w:szCs w:val="17"/>
            <w:u w:val="single" w:color="auto"/>
            <w:color w:val="0000FF"/>
          </w:rPr>
          <w:t>Previously filed as Exhibit 10(f)(9) to the Company’s Annual</w:t>
        </w:r>
      </w:hyperlink>
      <w:r>
        <w:rPr>
          <w:rFonts w:ascii="Times New Roman" w:cs="Times New Roman" w:eastAsia="Times New Roman" w:hAnsi="Times New Roman"/>
          <w:sz w:val="17"/>
          <w:szCs w:val="17"/>
          <w:u w:val="single" w:color="auto"/>
          <w:color w:val="0000FF"/>
        </w:rPr>
        <w:t xml:space="preserve"> </w:t>
      </w:r>
      <w:hyperlink r:id="rId258">
        <w:r>
          <w:rPr>
            <w:rFonts w:ascii="Times New Roman" w:cs="Times New Roman" w:eastAsia="Times New Roman" w:hAnsi="Times New Roman"/>
            <w:sz w:val="17"/>
            <w:szCs w:val="17"/>
            <w:u w:val="single" w:color="auto"/>
            <w:color w:val="0000FF"/>
          </w:rPr>
          <w:t>Report on Form 10-K for the year ended December 31, 2012 (File</w:t>
        </w:r>
      </w:hyperlink>
      <w:r>
        <w:rPr>
          <w:rFonts w:ascii="Times New Roman" w:cs="Times New Roman" w:eastAsia="Times New Roman" w:hAnsi="Times New Roman"/>
          <w:sz w:val="17"/>
          <w:szCs w:val="17"/>
          <w:u w:val="single" w:color="auto"/>
          <w:color w:val="0000FF"/>
        </w:rPr>
        <w:t xml:space="preserve"> </w:t>
      </w:r>
      <w:hyperlink r:id="rId258">
        <w:r>
          <w:rPr>
            <w:rFonts w:ascii="Times New Roman" w:cs="Times New Roman" w:eastAsia="Times New Roman" w:hAnsi="Times New Roman"/>
            <w:sz w:val="17"/>
            <w:szCs w:val="17"/>
            <w:u w:val="single" w:color="auto"/>
            <w:color w:val="0000FF"/>
          </w:rPr>
          <w:t>No. 0-30242) filed on February 28, 2013 and incorporated herein</w:t>
        </w:r>
      </w:hyperlink>
    </w:p>
    <w:p>
      <w:pPr>
        <w:spacing w:after="0"/>
        <w:rPr>
          <w:rFonts w:ascii="Times New Roman" w:cs="Times New Roman" w:eastAsia="Times New Roman" w:hAnsi="Times New Roman"/>
          <w:sz w:val="18"/>
          <w:szCs w:val="18"/>
          <w:u w:val="single" w:color="auto"/>
          <w:color w:val="0000FF"/>
        </w:rPr>
      </w:pPr>
      <w:hyperlink r:id="rId258">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61">
        <w:r>
          <w:rPr>
            <w:rFonts w:ascii="Times New Roman" w:cs="Times New Roman" w:eastAsia="Times New Roman" w:hAnsi="Times New Roman"/>
            <w:sz w:val="17"/>
            <w:szCs w:val="17"/>
            <w:u w:val="single" w:color="auto"/>
            <w:color w:val="0000FF"/>
          </w:rPr>
          <w:t>Previously filed as Exhibit 10(f)(10) to the Company’s Annual</w:t>
        </w:r>
      </w:hyperlink>
      <w:r>
        <w:rPr>
          <w:rFonts w:ascii="Times New Roman" w:cs="Times New Roman" w:eastAsia="Times New Roman" w:hAnsi="Times New Roman"/>
          <w:sz w:val="17"/>
          <w:szCs w:val="17"/>
          <w:u w:val="single" w:color="auto"/>
          <w:color w:val="0000FF"/>
        </w:rPr>
        <w:t xml:space="preserve"> </w:t>
      </w:r>
      <w:hyperlink r:id="rId261">
        <w:r>
          <w:rPr>
            <w:rFonts w:ascii="Times New Roman" w:cs="Times New Roman" w:eastAsia="Times New Roman" w:hAnsi="Times New Roman"/>
            <w:sz w:val="17"/>
            <w:szCs w:val="17"/>
            <w:u w:val="single" w:color="auto"/>
            <w:color w:val="0000FF"/>
          </w:rPr>
          <w:t>Report on Form 10-K for the year ended December 31, 2012 (File</w:t>
        </w:r>
      </w:hyperlink>
      <w:r>
        <w:rPr>
          <w:rFonts w:ascii="Times New Roman" w:cs="Times New Roman" w:eastAsia="Times New Roman" w:hAnsi="Times New Roman"/>
          <w:sz w:val="17"/>
          <w:szCs w:val="17"/>
          <w:u w:val="single" w:color="auto"/>
          <w:color w:val="0000FF"/>
        </w:rPr>
        <w:t xml:space="preserve"> </w:t>
      </w:r>
      <w:hyperlink r:id="rId261">
        <w:r>
          <w:rPr>
            <w:rFonts w:ascii="Times New Roman" w:cs="Times New Roman" w:eastAsia="Times New Roman" w:hAnsi="Times New Roman"/>
            <w:sz w:val="17"/>
            <w:szCs w:val="17"/>
            <w:u w:val="single" w:color="auto"/>
            <w:color w:val="0000FF"/>
          </w:rPr>
          <w:t>No. 0-30242) filed on February 28, 2013 and incorporated herein</w:t>
        </w:r>
      </w:hyperlink>
    </w:p>
    <w:p>
      <w:pPr>
        <w:spacing w:after="0"/>
        <w:rPr>
          <w:rFonts w:ascii="Times New Roman" w:cs="Times New Roman" w:eastAsia="Times New Roman" w:hAnsi="Times New Roman"/>
          <w:sz w:val="18"/>
          <w:szCs w:val="18"/>
          <w:u w:val="single" w:color="auto"/>
          <w:color w:val="0000FF"/>
        </w:rPr>
      </w:pPr>
      <w:hyperlink r:id="rId261">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62">
        <w:r>
          <w:rPr>
            <w:rFonts w:ascii="Times New Roman" w:cs="Times New Roman" w:eastAsia="Times New Roman" w:hAnsi="Times New Roman"/>
            <w:sz w:val="17"/>
            <w:szCs w:val="17"/>
            <w:u w:val="single" w:color="auto"/>
            <w:color w:val="0000FF"/>
          </w:rPr>
          <w:t>Previously filed as Exhibit 10(f)(12) to the Company’s Annual</w:t>
        </w:r>
      </w:hyperlink>
      <w:r>
        <w:rPr>
          <w:rFonts w:ascii="Times New Roman" w:cs="Times New Roman" w:eastAsia="Times New Roman" w:hAnsi="Times New Roman"/>
          <w:sz w:val="17"/>
          <w:szCs w:val="17"/>
          <w:u w:val="single" w:color="auto"/>
          <w:color w:val="0000FF"/>
        </w:rPr>
        <w:t xml:space="preserve"> </w:t>
      </w:r>
      <w:hyperlink r:id="rId262">
        <w:r>
          <w:rPr>
            <w:rFonts w:ascii="Times New Roman" w:cs="Times New Roman" w:eastAsia="Times New Roman" w:hAnsi="Times New Roman"/>
            <w:sz w:val="17"/>
            <w:szCs w:val="17"/>
            <w:u w:val="single" w:color="auto"/>
            <w:color w:val="0000FF"/>
          </w:rPr>
          <w:t>Report on Form 10-K for the year ended December 31, 2013 (File</w:t>
        </w:r>
      </w:hyperlink>
      <w:r>
        <w:rPr>
          <w:rFonts w:ascii="Times New Roman" w:cs="Times New Roman" w:eastAsia="Times New Roman" w:hAnsi="Times New Roman"/>
          <w:sz w:val="17"/>
          <w:szCs w:val="17"/>
          <w:u w:val="single" w:color="auto"/>
          <w:color w:val="0000FF"/>
        </w:rPr>
        <w:t xml:space="preserve"> </w:t>
      </w:r>
      <w:hyperlink r:id="rId262">
        <w:r>
          <w:rPr>
            <w:rFonts w:ascii="Times New Roman" w:cs="Times New Roman" w:eastAsia="Times New Roman" w:hAnsi="Times New Roman"/>
            <w:sz w:val="17"/>
            <w:szCs w:val="17"/>
            <w:u w:val="single" w:color="auto"/>
            <w:color w:val="0000FF"/>
          </w:rPr>
          <w:t>No. 0-30242) filed on February 27, 2014 and incorporated herein</w:t>
        </w:r>
      </w:hyperlink>
    </w:p>
    <w:p>
      <w:pPr>
        <w:spacing w:after="0"/>
        <w:rPr>
          <w:rFonts w:ascii="Times New Roman" w:cs="Times New Roman" w:eastAsia="Times New Roman" w:hAnsi="Times New Roman"/>
          <w:sz w:val="18"/>
          <w:szCs w:val="18"/>
          <w:u w:val="single" w:color="auto"/>
          <w:color w:val="0000FF"/>
        </w:rPr>
      </w:pPr>
      <w:hyperlink r:id="rId262">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63">
        <w:r>
          <w:rPr>
            <w:rFonts w:ascii="Times New Roman" w:cs="Times New Roman" w:eastAsia="Times New Roman" w:hAnsi="Times New Roman"/>
            <w:sz w:val="17"/>
            <w:szCs w:val="17"/>
            <w:u w:val="single" w:color="auto"/>
            <w:color w:val="0000FF"/>
          </w:rPr>
          <w:t>Previously filed as Exhibit 10(f)(13) to the Company’s Annual</w:t>
        </w:r>
      </w:hyperlink>
      <w:r>
        <w:rPr>
          <w:rFonts w:ascii="Times New Roman" w:cs="Times New Roman" w:eastAsia="Times New Roman" w:hAnsi="Times New Roman"/>
          <w:sz w:val="17"/>
          <w:szCs w:val="17"/>
          <w:u w:val="single" w:color="auto"/>
          <w:color w:val="0000FF"/>
        </w:rPr>
        <w:t xml:space="preserve"> </w:t>
      </w:r>
      <w:hyperlink r:id="rId263">
        <w:r>
          <w:rPr>
            <w:rFonts w:ascii="Times New Roman" w:cs="Times New Roman" w:eastAsia="Times New Roman" w:hAnsi="Times New Roman"/>
            <w:sz w:val="17"/>
            <w:szCs w:val="17"/>
            <w:u w:val="single" w:color="auto"/>
            <w:color w:val="0000FF"/>
          </w:rPr>
          <w:t>Report on Form 10-K for the year ended December 31, 2013 (File</w:t>
        </w:r>
      </w:hyperlink>
      <w:r>
        <w:rPr>
          <w:rFonts w:ascii="Times New Roman" w:cs="Times New Roman" w:eastAsia="Times New Roman" w:hAnsi="Times New Roman"/>
          <w:sz w:val="17"/>
          <w:szCs w:val="17"/>
          <w:u w:val="single" w:color="auto"/>
          <w:color w:val="0000FF"/>
        </w:rPr>
        <w:t xml:space="preserve"> </w:t>
      </w:r>
      <w:hyperlink r:id="rId263">
        <w:r>
          <w:rPr>
            <w:rFonts w:ascii="Times New Roman" w:cs="Times New Roman" w:eastAsia="Times New Roman" w:hAnsi="Times New Roman"/>
            <w:sz w:val="17"/>
            <w:szCs w:val="17"/>
            <w:u w:val="single" w:color="auto"/>
            <w:color w:val="0000FF"/>
          </w:rPr>
          <w:t>No. 0-30242) filed on February 27, 2014 and incorporated herein</w:t>
        </w:r>
      </w:hyperlink>
    </w:p>
    <w:p>
      <w:pPr>
        <w:spacing w:after="0"/>
        <w:rPr>
          <w:rFonts w:ascii="Times New Roman" w:cs="Times New Roman" w:eastAsia="Times New Roman" w:hAnsi="Times New Roman"/>
          <w:sz w:val="18"/>
          <w:szCs w:val="18"/>
          <w:u w:val="single" w:color="auto"/>
          <w:color w:val="0000FF"/>
        </w:rPr>
      </w:pPr>
      <w:hyperlink r:id="rId263">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64">
        <w:r>
          <w:rPr>
            <w:rFonts w:ascii="Times New Roman" w:cs="Times New Roman" w:eastAsia="Times New Roman" w:hAnsi="Times New Roman"/>
            <w:sz w:val="17"/>
            <w:szCs w:val="17"/>
            <w:u w:val="single" w:color="auto"/>
            <w:color w:val="0000FF"/>
          </w:rPr>
          <w:t>Previously filed as Exhibit 10(f)(14) to the Company’s Annual</w:t>
        </w:r>
      </w:hyperlink>
      <w:r>
        <w:rPr>
          <w:rFonts w:ascii="Times New Roman" w:cs="Times New Roman" w:eastAsia="Times New Roman" w:hAnsi="Times New Roman"/>
          <w:sz w:val="17"/>
          <w:szCs w:val="17"/>
          <w:u w:val="single" w:color="auto"/>
          <w:color w:val="0000FF"/>
        </w:rPr>
        <w:t xml:space="preserve"> </w:t>
      </w:r>
      <w:hyperlink r:id="rId264">
        <w:r>
          <w:rPr>
            <w:rFonts w:ascii="Times New Roman" w:cs="Times New Roman" w:eastAsia="Times New Roman" w:hAnsi="Times New Roman"/>
            <w:sz w:val="17"/>
            <w:szCs w:val="17"/>
            <w:u w:val="single" w:color="auto"/>
            <w:color w:val="0000FF"/>
          </w:rPr>
          <w:t>Report on Form 10-K for the year ended December 31, 2013 (File</w:t>
        </w:r>
      </w:hyperlink>
      <w:r>
        <w:rPr>
          <w:rFonts w:ascii="Times New Roman" w:cs="Times New Roman" w:eastAsia="Times New Roman" w:hAnsi="Times New Roman"/>
          <w:sz w:val="17"/>
          <w:szCs w:val="17"/>
          <w:u w:val="single" w:color="auto"/>
          <w:color w:val="0000FF"/>
        </w:rPr>
        <w:t xml:space="preserve"> </w:t>
      </w:r>
      <w:hyperlink r:id="rId264">
        <w:r>
          <w:rPr>
            <w:rFonts w:ascii="Times New Roman" w:cs="Times New Roman" w:eastAsia="Times New Roman" w:hAnsi="Times New Roman"/>
            <w:sz w:val="17"/>
            <w:szCs w:val="17"/>
            <w:u w:val="single" w:color="auto"/>
            <w:color w:val="0000FF"/>
          </w:rPr>
          <w:t>No. 0-30242) filed on February 27, 2014 and incorporated herein</w:t>
        </w:r>
      </w:hyperlink>
    </w:p>
    <w:p>
      <w:pPr>
        <w:spacing w:after="0"/>
        <w:rPr>
          <w:rFonts w:ascii="Times New Roman" w:cs="Times New Roman" w:eastAsia="Times New Roman" w:hAnsi="Times New Roman"/>
          <w:sz w:val="18"/>
          <w:szCs w:val="18"/>
          <w:u w:val="single" w:color="auto"/>
          <w:color w:val="0000FF"/>
        </w:rPr>
      </w:pPr>
      <w:hyperlink r:id="rId264">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37"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65">
        <w:r>
          <w:rPr>
            <w:rFonts w:ascii="Times New Roman" w:cs="Times New Roman" w:eastAsia="Times New Roman" w:hAnsi="Times New Roman"/>
            <w:sz w:val="17"/>
            <w:szCs w:val="17"/>
            <w:u w:val="single" w:color="auto"/>
            <w:color w:val="0000FF"/>
          </w:rPr>
          <w:t>Previously filed as Exhibit 10(f)(15) to the Company’s Annual</w:t>
        </w:r>
      </w:hyperlink>
      <w:r>
        <w:rPr>
          <w:rFonts w:ascii="Times New Roman" w:cs="Times New Roman" w:eastAsia="Times New Roman" w:hAnsi="Times New Roman"/>
          <w:sz w:val="17"/>
          <w:szCs w:val="17"/>
          <w:u w:val="single" w:color="auto"/>
          <w:color w:val="0000FF"/>
        </w:rPr>
        <w:t xml:space="preserve"> </w:t>
      </w:r>
      <w:hyperlink r:id="rId265">
        <w:r>
          <w:rPr>
            <w:rFonts w:ascii="Times New Roman" w:cs="Times New Roman" w:eastAsia="Times New Roman" w:hAnsi="Times New Roman"/>
            <w:sz w:val="17"/>
            <w:szCs w:val="17"/>
            <w:u w:val="single" w:color="auto"/>
            <w:color w:val="0000FF"/>
          </w:rPr>
          <w:t>Report on Form 10-K for the year ended December 31, 2013 (File</w:t>
        </w:r>
      </w:hyperlink>
      <w:r>
        <w:rPr>
          <w:rFonts w:ascii="Times New Roman" w:cs="Times New Roman" w:eastAsia="Times New Roman" w:hAnsi="Times New Roman"/>
          <w:sz w:val="17"/>
          <w:szCs w:val="17"/>
          <w:u w:val="single" w:color="auto"/>
          <w:color w:val="0000FF"/>
        </w:rPr>
        <w:t xml:space="preserve"> </w:t>
      </w:r>
      <w:hyperlink r:id="rId265">
        <w:r>
          <w:rPr>
            <w:rFonts w:ascii="Times New Roman" w:cs="Times New Roman" w:eastAsia="Times New Roman" w:hAnsi="Times New Roman"/>
            <w:sz w:val="17"/>
            <w:szCs w:val="17"/>
            <w:u w:val="single" w:color="auto"/>
            <w:color w:val="0000FF"/>
          </w:rPr>
          <w:t>No. 0-30242) filed on February 27, 2014 and incorporated herein</w:t>
        </w:r>
      </w:hyperlink>
    </w:p>
    <w:p>
      <w:pPr>
        <w:spacing w:after="0"/>
        <w:rPr>
          <w:rFonts w:ascii="Times New Roman" w:cs="Times New Roman" w:eastAsia="Times New Roman" w:hAnsi="Times New Roman"/>
          <w:sz w:val="18"/>
          <w:szCs w:val="18"/>
          <w:u w:val="single" w:color="auto"/>
          <w:color w:val="0000FF"/>
        </w:rPr>
      </w:pPr>
      <w:hyperlink r:id="rId265">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66">
        <w:r>
          <w:rPr>
            <w:rFonts w:ascii="Times New Roman" w:cs="Times New Roman" w:eastAsia="Times New Roman" w:hAnsi="Times New Roman"/>
            <w:sz w:val="17"/>
            <w:szCs w:val="17"/>
            <w:u w:val="single" w:color="auto"/>
            <w:color w:val="0000FF"/>
          </w:rPr>
          <w:t>Previously filed as Exhibit 10(f)(20) to the Company’s Annual</w:t>
        </w:r>
      </w:hyperlink>
      <w:r>
        <w:rPr>
          <w:rFonts w:ascii="Times New Roman" w:cs="Times New Roman" w:eastAsia="Times New Roman" w:hAnsi="Times New Roman"/>
          <w:sz w:val="17"/>
          <w:szCs w:val="17"/>
          <w:u w:val="single" w:color="auto"/>
          <w:color w:val="0000FF"/>
        </w:rPr>
        <w:t xml:space="preserve"> </w:t>
      </w:r>
      <w:hyperlink r:id="rId266">
        <w:r>
          <w:rPr>
            <w:rFonts w:ascii="Times New Roman" w:cs="Times New Roman" w:eastAsia="Times New Roman" w:hAnsi="Times New Roman"/>
            <w:sz w:val="17"/>
            <w:szCs w:val="17"/>
            <w:u w:val="single" w:color="auto"/>
            <w:color w:val="0000FF"/>
          </w:rPr>
          <w:t>Report on Form 10-K for the year ended December 31, 2016 (File</w:t>
        </w:r>
      </w:hyperlink>
      <w:r>
        <w:rPr>
          <w:rFonts w:ascii="Times New Roman" w:cs="Times New Roman" w:eastAsia="Times New Roman" w:hAnsi="Times New Roman"/>
          <w:sz w:val="17"/>
          <w:szCs w:val="17"/>
          <w:u w:val="single" w:color="auto"/>
          <w:color w:val="0000FF"/>
        </w:rPr>
        <w:t xml:space="preserve"> </w:t>
      </w:r>
      <w:hyperlink r:id="rId266">
        <w:r>
          <w:rPr>
            <w:rFonts w:ascii="Times New Roman" w:cs="Times New Roman" w:eastAsia="Times New Roman" w:hAnsi="Times New Roman"/>
            <w:sz w:val="17"/>
            <w:szCs w:val="17"/>
            <w:u w:val="single" w:color="auto"/>
            <w:color w:val="0000FF"/>
          </w:rPr>
          <w:t>No. 1-36756) filed on February 24, 2017 and incorporated herein</w:t>
        </w:r>
      </w:hyperlink>
    </w:p>
    <w:p>
      <w:pPr>
        <w:spacing w:after="0"/>
        <w:rPr>
          <w:rFonts w:ascii="Times New Roman" w:cs="Times New Roman" w:eastAsia="Times New Roman" w:hAnsi="Times New Roman"/>
          <w:sz w:val="18"/>
          <w:szCs w:val="18"/>
          <w:u w:val="single" w:color="auto"/>
          <w:color w:val="0000FF"/>
        </w:rPr>
      </w:pPr>
      <w:hyperlink r:id="rId266">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267">
        <w:r>
          <w:rPr>
            <w:rFonts w:ascii="Times New Roman" w:cs="Times New Roman" w:eastAsia="Times New Roman" w:hAnsi="Times New Roman"/>
            <w:sz w:val="17"/>
            <w:szCs w:val="17"/>
            <w:u w:val="single" w:color="auto"/>
            <w:color w:val="0000FF"/>
          </w:rPr>
          <w:t>Previously filed as Exhibit 10.1 to the Company’s Quarterly Report</w:t>
        </w:r>
      </w:hyperlink>
      <w:r>
        <w:rPr>
          <w:rFonts w:ascii="Times New Roman" w:cs="Times New Roman" w:eastAsia="Times New Roman" w:hAnsi="Times New Roman"/>
          <w:sz w:val="17"/>
          <w:szCs w:val="17"/>
          <w:u w:val="single" w:color="auto"/>
          <w:color w:val="0000FF"/>
        </w:rPr>
        <w:t xml:space="preserve"> </w:t>
      </w:r>
      <w:hyperlink r:id="rId267">
        <w:r>
          <w:rPr>
            <w:rFonts w:ascii="Times New Roman" w:cs="Times New Roman" w:eastAsia="Times New Roman" w:hAnsi="Times New Roman"/>
            <w:sz w:val="17"/>
            <w:szCs w:val="17"/>
            <w:u w:val="single" w:color="auto"/>
            <w:color w:val="0000FF"/>
          </w:rPr>
          <w:t>on Form 10-Q for the period ended March 31, 2018 (File No. 1-</w:t>
        </w:r>
      </w:hyperlink>
      <w:hyperlink r:id="rId267">
        <w:r>
          <w:rPr>
            <w:rFonts w:ascii="Times New Roman" w:cs="Times New Roman" w:eastAsia="Times New Roman" w:hAnsi="Times New Roman"/>
            <w:sz w:val="17"/>
            <w:szCs w:val="17"/>
            <w:u w:val="single" w:color="auto"/>
            <w:color w:val="0000FF"/>
          </w:rPr>
          <w:t>36756) filed on May 5, 2018 and incorporated herein 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10(f)(26)</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Joinder Agreement, dated as of January 15, 2019, to the Third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May 15,</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2017, as amended, among Lamar Media, the subsidiary borrower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party thereto, the subsidiary guarantors party thereto, the lenders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party thereto and JPMorgan Chase Bank, N.A., as administrative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agent, by FMG Outdoor Holdings, LLC, Lamar-Fairway Blocker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 Inc., Lamar-Fairway Blocker 2, Inc., Magic Media, Inc.,</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Fairway Media Group, LLC, Fairway Outdoor Advertising, LLC,</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Fairway Outdoor Funding Holdings, LLC, Fairway Outdoor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Funding, LLC, MCC Outdoor, LLC, Magic Media Real Estate,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LLC, FMO Real Estate, LLC, Douglas Outdoor Advertising of</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GA., Inc., Olympus Media/Indiana, LLC and Fairway CCO</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Indiana, LLC.</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January 15, 2019, to the Third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May 15,</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2017, as amended, among Lamar Media, the subsidiary borrower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party thereto, the subsidiary guarantors party thereto, the lenders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party thereto and JPMorgan Chase Bank, N.A., as administrative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agent, by New Hampshire Logos,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August 15, 2019, to the Third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May 15,</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2017, as amended, among Lamar Media, the subsidiary borrower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party thereto, the subsidiary guarantors party thereto, the lenders</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party thereto and JPMorgan Chase Bank, N.A., as administrative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agent, by Ashby Street Outdoor Holdings LLC, Ashby Street</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CC, LLC and Ashby Street Outdoor LLC.</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10(f)(29)</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Amended and Restated Credit Agreement, dated as of</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6, 2020, by and among Lamar Media, the Subsidiary</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Guarantors named therein, the Lenders named therein, and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tc>
        <w:tc>
          <w:tcPr>
            <w:tcW w:w="0" w:type="dxa"/>
            <w:vAlign w:val="bottom"/>
          </w:tcPr>
          <w:p>
            <w:pPr>
              <w:spacing w:after="0"/>
              <w:rPr>
                <w:sz w:val="1"/>
                <w:szCs w:val="1"/>
                <w:color w:val="auto"/>
              </w:rPr>
            </w:pPr>
          </w:p>
        </w:tc>
      </w:tr>
      <w:tr>
        <w:trPr>
          <w:trHeight w:val="23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10(f)(30)</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March 17, 2022, to the Fourth</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dated as of</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6, 2020 (as amended by that certain Amendment No. 1,</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dated as of July 2, 2021, and as further amended), among Lamar</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the subsidiary borrower party thereto, the subsidiary</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guarantors party thereto, the lenders party thereto and JPMorgan</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Chase Bank, N.A., as administrative agent, by Sky High Murals-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Colossal Media, Inc.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10(f)(31)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June 7, 2022, to the Fourth</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dated as of</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February 6, 2020 (as amended by that certain Amendment No. 1,</w:t>
            </w:r>
          </w:p>
        </w:tc>
        <w:tc>
          <w:tcPr>
            <w:tcW w:w="0" w:type="dxa"/>
            <w:vAlign w:val="bottom"/>
          </w:tcPr>
          <w:p>
            <w:pPr>
              <w:spacing w:after="0"/>
              <w:rPr>
                <w:sz w:val="1"/>
                <w:szCs w:val="1"/>
                <w:color w:val="auto"/>
              </w:rPr>
            </w:pPr>
          </w:p>
        </w:tc>
      </w:tr>
    </w:tbl>
    <w:p>
      <w:pPr>
        <w:ind w:left="1320" w:right="240"/>
        <w:spacing w:after="0" w:line="220" w:lineRule="auto"/>
        <w:rPr>
          <w:sz w:val="20"/>
          <w:szCs w:val="20"/>
          <w:color w:val="auto"/>
        </w:rPr>
      </w:pPr>
      <w:r>
        <w:rPr>
          <w:rFonts w:ascii="Times New Roman" w:cs="Times New Roman" w:eastAsia="Times New Roman" w:hAnsi="Times New Roman"/>
          <w:sz w:val="17"/>
          <w:szCs w:val="17"/>
          <w:color w:val="auto"/>
        </w:rPr>
        <w:t>dated as of July 2, 2021, and as further amended), among Lamar Media, the subsidiary borrower party thereto, the subsidiary guarantors party thereto, the lenders party thereto and JPMorgan</w:t>
      </w:r>
    </w:p>
    <w:p>
      <w:pPr>
        <w:spacing w:after="0" w:line="2" w:lineRule="exact"/>
        <w:rPr>
          <w:sz w:val="20"/>
          <w:szCs w:val="20"/>
          <w:color w:val="auto"/>
        </w:rPr>
      </w:pPr>
    </w:p>
    <w:p>
      <w:pPr>
        <w:jc w:val="both"/>
        <w:ind w:left="1320" w:right="140"/>
        <w:spacing w:after="0" w:line="218" w:lineRule="auto"/>
        <w:rPr>
          <w:sz w:val="20"/>
          <w:szCs w:val="20"/>
          <w:color w:val="auto"/>
        </w:rPr>
      </w:pPr>
      <w:r>
        <w:rPr>
          <w:rFonts w:ascii="Times New Roman" w:cs="Times New Roman" w:eastAsia="Times New Roman" w:hAnsi="Times New Roman"/>
          <w:sz w:val="18"/>
          <w:szCs w:val="18"/>
          <w:color w:val="auto"/>
        </w:rPr>
        <w:t>Chase Bank, N.A., as administrative agent, by Lamar Advertising Limited Partnership, Lamar Advertising General Partner, and Sky High Murals-Colossal Media,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6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spacing w:after="0" w:line="239" w:lineRule="auto"/>
        <w:rPr>
          <w:rFonts w:ascii="Times New Roman" w:cs="Times New Roman" w:eastAsia="Times New Roman" w:hAnsi="Times New Roman"/>
          <w:sz w:val="17"/>
          <w:szCs w:val="17"/>
          <w:u w:val="single" w:color="auto"/>
          <w:color w:val="0000FF"/>
        </w:rPr>
      </w:pPr>
      <w:hyperlink r:id="rId269">
        <w:r>
          <w:rPr>
            <w:rFonts w:ascii="Times New Roman" w:cs="Times New Roman" w:eastAsia="Times New Roman" w:hAnsi="Times New Roman"/>
            <w:sz w:val="17"/>
            <w:szCs w:val="17"/>
            <w:u w:val="single" w:color="auto"/>
            <w:color w:val="0000FF"/>
          </w:rPr>
          <w:t>Previously filed as Exhibit 10.3 to the Company’s Quarterly Report</w:t>
        </w:r>
      </w:hyperlink>
      <w:r>
        <w:rPr>
          <w:rFonts w:ascii="Times New Roman" w:cs="Times New Roman" w:eastAsia="Times New Roman" w:hAnsi="Times New Roman"/>
          <w:sz w:val="17"/>
          <w:szCs w:val="17"/>
          <w:u w:val="single" w:color="auto"/>
          <w:color w:val="0000FF"/>
        </w:rPr>
        <w:t xml:space="preserve"> </w:t>
      </w:r>
      <w:hyperlink r:id="rId269">
        <w:r>
          <w:rPr>
            <w:rFonts w:ascii="Times New Roman" w:cs="Times New Roman" w:eastAsia="Times New Roman" w:hAnsi="Times New Roman"/>
            <w:sz w:val="17"/>
            <w:szCs w:val="17"/>
            <w:u w:val="single" w:color="auto"/>
            <w:color w:val="0000FF"/>
          </w:rPr>
          <w:t>on Form 10-Q for the period ended March 31, 2019 (File No. 1-</w:t>
        </w:r>
      </w:hyperlink>
      <w:hyperlink r:id="rId269">
        <w:r>
          <w:rPr>
            <w:rFonts w:ascii="Times New Roman" w:cs="Times New Roman" w:eastAsia="Times New Roman" w:hAnsi="Times New Roman"/>
            <w:sz w:val="17"/>
            <w:szCs w:val="17"/>
            <w:u w:val="single" w:color="auto"/>
            <w:color w:val="0000FF"/>
          </w:rPr>
          <w:t>36756) filed on May 2, 2019,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59"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270">
        <w:r>
          <w:rPr>
            <w:rFonts w:ascii="Times New Roman" w:cs="Times New Roman" w:eastAsia="Times New Roman" w:hAnsi="Times New Roman"/>
            <w:sz w:val="17"/>
            <w:szCs w:val="17"/>
            <w:u w:val="single" w:color="auto"/>
            <w:color w:val="0000FF"/>
          </w:rPr>
          <w:t>Previously filed as Exhibit 10.4 to the Company’s Quarterly Report</w:t>
        </w:r>
      </w:hyperlink>
      <w:r>
        <w:rPr>
          <w:rFonts w:ascii="Times New Roman" w:cs="Times New Roman" w:eastAsia="Times New Roman" w:hAnsi="Times New Roman"/>
          <w:sz w:val="17"/>
          <w:szCs w:val="17"/>
          <w:u w:val="single" w:color="auto"/>
          <w:color w:val="0000FF"/>
        </w:rPr>
        <w:t xml:space="preserve"> </w:t>
      </w:r>
      <w:hyperlink r:id="rId270">
        <w:r>
          <w:rPr>
            <w:rFonts w:ascii="Times New Roman" w:cs="Times New Roman" w:eastAsia="Times New Roman" w:hAnsi="Times New Roman"/>
            <w:sz w:val="17"/>
            <w:szCs w:val="17"/>
            <w:u w:val="single" w:color="auto"/>
            <w:color w:val="0000FF"/>
          </w:rPr>
          <w:t>on Form 10-Q for the period ended March 31, 2019 (File No. 1-</w:t>
        </w:r>
      </w:hyperlink>
      <w:hyperlink r:id="rId270">
        <w:r>
          <w:rPr>
            <w:rFonts w:ascii="Times New Roman" w:cs="Times New Roman" w:eastAsia="Times New Roman" w:hAnsi="Times New Roman"/>
            <w:sz w:val="17"/>
            <w:szCs w:val="17"/>
            <w:u w:val="single" w:color="auto"/>
            <w:color w:val="0000FF"/>
          </w:rPr>
          <w:t>36756) filed on May 2, 2019,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4" w:lineRule="exact"/>
        <w:rPr>
          <w:rFonts w:ascii="Times New Roman" w:cs="Times New Roman" w:eastAsia="Times New Roman" w:hAnsi="Times New Roman"/>
          <w:sz w:val="17"/>
          <w:szCs w:val="17"/>
          <w:u w:val="single" w:color="auto"/>
          <w:color w:val="0000FF"/>
        </w:rPr>
      </w:pPr>
    </w:p>
    <w:p>
      <w:pPr>
        <w:spacing w:after="0" w:line="227" w:lineRule="auto"/>
        <w:rPr>
          <w:rFonts w:ascii="Times New Roman" w:cs="Times New Roman" w:eastAsia="Times New Roman" w:hAnsi="Times New Roman"/>
          <w:sz w:val="17"/>
          <w:szCs w:val="17"/>
          <w:u w:val="single" w:color="auto"/>
          <w:color w:val="0000FF"/>
        </w:rPr>
      </w:pPr>
      <w:hyperlink r:id="rId271">
        <w:r>
          <w:rPr>
            <w:rFonts w:ascii="Times New Roman" w:cs="Times New Roman" w:eastAsia="Times New Roman" w:hAnsi="Times New Roman"/>
            <w:sz w:val="17"/>
            <w:szCs w:val="17"/>
            <w:u w:val="single" w:color="auto"/>
            <w:color w:val="0000FF"/>
          </w:rPr>
          <w:t>Previously filed as Exhibit 10.1 to the Company’s Quarterly Report</w:t>
        </w:r>
      </w:hyperlink>
      <w:r>
        <w:rPr>
          <w:rFonts w:ascii="Times New Roman" w:cs="Times New Roman" w:eastAsia="Times New Roman" w:hAnsi="Times New Roman"/>
          <w:sz w:val="17"/>
          <w:szCs w:val="17"/>
          <w:u w:val="single" w:color="auto"/>
          <w:color w:val="0000FF"/>
        </w:rPr>
        <w:t xml:space="preserve"> </w:t>
      </w:r>
      <w:hyperlink r:id="rId271">
        <w:r>
          <w:rPr>
            <w:rFonts w:ascii="Times New Roman" w:cs="Times New Roman" w:eastAsia="Times New Roman" w:hAnsi="Times New Roman"/>
            <w:sz w:val="17"/>
            <w:szCs w:val="17"/>
            <w:u w:val="single" w:color="auto"/>
            <w:color w:val="0000FF"/>
          </w:rPr>
          <w:t>on Form 10-Q for the period ended September 30, 2019 (File No.</w:t>
        </w:r>
      </w:hyperlink>
    </w:p>
    <w:p>
      <w:pPr>
        <w:spacing w:after="0" w:line="1" w:lineRule="exact"/>
        <w:rPr>
          <w:sz w:val="20"/>
          <w:szCs w:val="20"/>
          <w:color w:val="auto"/>
        </w:rPr>
      </w:pPr>
    </w:p>
    <w:p>
      <w:pPr>
        <w:ind w:right="180"/>
        <w:spacing w:after="0" w:line="233" w:lineRule="auto"/>
        <w:rPr>
          <w:rFonts w:ascii="Times New Roman" w:cs="Times New Roman" w:eastAsia="Times New Roman" w:hAnsi="Times New Roman"/>
          <w:sz w:val="18"/>
          <w:szCs w:val="18"/>
          <w:u w:val="single" w:color="auto"/>
          <w:color w:val="0000FF"/>
        </w:rPr>
      </w:pPr>
      <w:hyperlink r:id="rId271">
        <w:r>
          <w:rPr>
            <w:rFonts w:ascii="Times New Roman" w:cs="Times New Roman" w:eastAsia="Times New Roman" w:hAnsi="Times New Roman"/>
            <w:sz w:val="18"/>
            <w:szCs w:val="18"/>
            <w:u w:val="single" w:color="auto"/>
            <w:color w:val="0000FF"/>
          </w:rPr>
          <w:t>1-36756) filed on November 5, 2019, and incorporated herein by</w:t>
        </w:r>
      </w:hyperlink>
      <w:r>
        <w:rPr>
          <w:rFonts w:ascii="Times New Roman" w:cs="Times New Roman" w:eastAsia="Times New Roman" w:hAnsi="Times New Roman"/>
          <w:sz w:val="18"/>
          <w:szCs w:val="18"/>
          <w:u w:val="single" w:color="auto"/>
          <w:color w:val="0000FF"/>
        </w:rPr>
        <w:t xml:space="preserve"> </w:t>
      </w:r>
      <w:hyperlink r:id="rId271">
        <w:r>
          <w:rPr>
            <w:rFonts w:ascii="Times New Roman" w:cs="Times New Roman" w:eastAsia="Times New Roman" w:hAnsi="Times New Roman"/>
            <w:sz w:val="18"/>
            <w:szCs w:val="18"/>
            <w:u w:val="single" w:color="auto"/>
            <w:color w:val="0000FF"/>
          </w:rPr>
          <w:t>reference.</w:t>
        </w:r>
      </w:hyperlink>
    </w:p>
    <w:p>
      <w:pPr>
        <w:spacing w:after="0" w:line="200" w:lineRule="exact"/>
        <w:rPr>
          <w:sz w:val="20"/>
          <w:szCs w:val="20"/>
          <w:color w:val="auto"/>
        </w:rPr>
      </w:pPr>
    </w:p>
    <w:p>
      <w:pPr>
        <w:spacing w:after="0" w:line="391" w:lineRule="exact"/>
        <w:rPr>
          <w:sz w:val="20"/>
          <w:szCs w:val="20"/>
          <w:color w:val="auto"/>
        </w:rPr>
      </w:pPr>
    </w:p>
    <w:p>
      <w:pPr>
        <w:ind w:right="140"/>
        <w:spacing w:after="0" w:line="226" w:lineRule="auto"/>
        <w:rPr>
          <w:rFonts w:ascii="Times New Roman" w:cs="Times New Roman" w:eastAsia="Times New Roman" w:hAnsi="Times New Roman"/>
          <w:sz w:val="18"/>
          <w:szCs w:val="18"/>
          <w:u w:val="single" w:color="auto"/>
          <w:color w:val="0000FF"/>
        </w:rPr>
      </w:pPr>
      <w:hyperlink r:id="rId272">
        <w:r>
          <w:rPr>
            <w:rFonts w:ascii="Times New Roman" w:cs="Times New Roman" w:eastAsia="Times New Roman" w:hAnsi="Times New Roman"/>
            <w:sz w:val="18"/>
            <w:szCs w:val="18"/>
            <w:u w:val="single" w:color="auto"/>
            <w:color w:val="0000FF"/>
          </w:rPr>
          <w:t>Previously filed as Exhibit 10.3 to the Company’s Current Report</w:t>
        </w:r>
      </w:hyperlink>
      <w:r>
        <w:rPr>
          <w:rFonts w:ascii="Times New Roman" w:cs="Times New Roman" w:eastAsia="Times New Roman" w:hAnsi="Times New Roman"/>
          <w:sz w:val="18"/>
          <w:szCs w:val="18"/>
          <w:u w:val="single" w:color="auto"/>
          <w:color w:val="0000FF"/>
        </w:rPr>
        <w:t xml:space="preserve"> </w:t>
      </w:r>
      <w:hyperlink r:id="rId272">
        <w:r>
          <w:rPr>
            <w:rFonts w:ascii="Times New Roman" w:cs="Times New Roman" w:eastAsia="Times New Roman" w:hAnsi="Times New Roman"/>
            <w:sz w:val="18"/>
            <w:szCs w:val="18"/>
            <w:u w:val="single" w:color="auto"/>
            <w:color w:val="0000FF"/>
          </w:rPr>
          <w:t>on Form 8-K (File No. 1-36756) filed on February 12, 2020 and</w:t>
        </w:r>
      </w:hyperlink>
      <w:r>
        <w:rPr>
          <w:rFonts w:ascii="Times New Roman" w:cs="Times New Roman" w:eastAsia="Times New Roman" w:hAnsi="Times New Roman"/>
          <w:sz w:val="18"/>
          <w:szCs w:val="18"/>
          <w:u w:val="single" w:color="auto"/>
          <w:color w:val="0000FF"/>
        </w:rPr>
        <w:t xml:space="preserve"> </w:t>
      </w:r>
      <w:hyperlink r:id="rId272">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jc w:val="both"/>
        <w:ind w:right="120"/>
        <w:spacing w:after="0" w:line="226" w:lineRule="auto"/>
        <w:rPr>
          <w:rFonts w:ascii="Times New Roman" w:cs="Times New Roman" w:eastAsia="Times New Roman" w:hAnsi="Times New Roman"/>
          <w:sz w:val="18"/>
          <w:szCs w:val="18"/>
          <w:u w:val="single" w:color="auto"/>
          <w:color w:val="0000FF"/>
        </w:rPr>
      </w:pPr>
      <w:hyperlink r:id="rId273">
        <w:r>
          <w:rPr>
            <w:rFonts w:ascii="Times New Roman" w:cs="Times New Roman" w:eastAsia="Times New Roman" w:hAnsi="Times New Roman"/>
            <w:sz w:val="18"/>
            <w:szCs w:val="18"/>
            <w:u w:val="single" w:color="auto"/>
            <w:color w:val="0000FF"/>
          </w:rPr>
          <w:t>Previously filed as Exhibit 10.1 to Lamar Advertising’s Quarterly</w:t>
        </w:r>
      </w:hyperlink>
      <w:r>
        <w:rPr>
          <w:rFonts w:ascii="Times New Roman" w:cs="Times New Roman" w:eastAsia="Times New Roman" w:hAnsi="Times New Roman"/>
          <w:sz w:val="18"/>
          <w:szCs w:val="18"/>
          <w:u w:val="single" w:color="auto"/>
          <w:color w:val="0000FF"/>
        </w:rPr>
        <w:t xml:space="preserve"> </w:t>
      </w:r>
      <w:hyperlink r:id="rId273">
        <w:r>
          <w:rPr>
            <w:rFonts w:ascii="Times New Roman" w:cs="Times New Roman" w:eastAsia="Times New Roman" w:hAnsi="Times New Roman"/>
            <w:sz w:val="18"/>
            <w:szCs w:val="18"/>
            <w:u w:val="single" w:color="auto"/>
            <w:color w:val="0000FF"/>
          </w:rPr>
          <w:t>Report for the period ended March 31, 2022 filed on May 5, 2022</w:t>
        </w:r>
      </w:hyperlink>
      <w:r>
        <w:rPr>
          <w:rFonts w:ascii="Times New Roman" w:cs="Times New Roman" w:eastAsia="Times New Roman" w:hAnsi="Times New Roman"/>
          <w:sz w:val="18"/>
          <w:szCs w:val="18"/>
          <w:u w:val="single" w:color="auto"/>
          <w:color w:val="0000FF"/>
        </w:rPr>
        <w:t xml:space="preserve"> </w:t>
      </w:r>
      <w:hyperlink r:id="rId273">
        <w:r>
          <w:rPr>
            <w:rFonts w:ascii="Times New Roman" w:cs="Times New Roman" w:eastAsia="Times New Roman" w:hAnsi="Times New Roman"/>
            <w:sz w:val="18"/>
            <w:szCs w:val="18"/>
            <w:u w:val="single" w:color="auto"/>
            <w:color w:val="0000FF"/>
          </w:rPr>
          <w:t>and 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68" w:lineRule="exact"/>
        <w:rPr>
          <w:rFonts w:ascii="Times New Roman" w:cs="Times New Roman" w:eastAsia="Times New Roman" w:hAnsi="Times New Roman"/>
          <w:sz w:val="18"/>
          <w:szCs w:val="18"/>
          <w:u w:val="single" w:color="auto"/>
          <w:color w:val="0000FF"/>
        </w:rPr>
      </w:pPr>
    </w:p>
    <w:p>
      <w:pPr>
        <w:jc w:val="both"/>
        <w:ind w:right="60"/>
        <w:spacing w:after="0" w:line="226" w:lineRule="auto"/>
        <w:rPr>
          <w:rFonts w:ascii="Times New Roman" w:cs="Times New Roman" w:eastAsia="Times New Roman" w:hAnsi="Times New Roman"/>
          <w:sz w:val="18"/>
          <w:szCs w:val="18"/>
          <w:u w:val="single" w:color="auto"/>
          <w:color w:val="0000FF"/>
        </w:rPr>
      </w:pPr>
      <w:hyperlink r:id="rId274">
        <w:r>
          <w:rPr>
            <w:rFonts w:ascii="Times New Roman" w:cs="Times New Roman" w:eastAsia="Times New Roman" w:hAnsi="Times New Roman"/>
            <w:sz w:val="18"/>
            <w:szCs w:val="18"/>
            <w:u w:val="single" w:color="auto"/>
            <w:color w:val="0000FF"/>
          </w:rPr>
          <w:t>Previously filed as Exhibit 10.1 to Lamar Advertising’s Quarterly</w:t>
        </w:r>
      </w:hyperlink>
      <w:r>
        <w:rPr>
          <w:rFonts w:ascii="Times New Roman" w:cs="Times New Roman" w:eastAsia="Times New Roman" w:hAnsi="Times New Roman"/>
          <w:sz w:val="18"/>
          <w:szCs w:val="18"/>
          <w:u w:val="single" w:color="auto"/>
          <w:color w:val="0000FF"/>
        </w:rPr>
        <w:t xml:space="preserve"> </w:t>
      </w:r>
      <w:hyperlink r:id="rId274">
        <w:r>
          <w:rPr>
            <w:rFonts w:ascii="Times New Roman" w:cs="Times New Roman" w:eastAsia="Times New Roman" w:hAnsi="Times New Roman"/>
            <w:sz w:val="18"/>
            <w:szCs w:val="18"/>
            <w:u w:val="single" w:color="auto"/>
            <w:color w:val="0000FF"/>
          </w:rPr>
          <w:t>Report for the period ended June 30, 2022 filed on August 3, 2022</w:t>
        </w:r>
      </w:hyperlink>
      <w:r>
        <w:rPr>
          <w:rFonts w:ascii="Times New Roman" w:cs="Times New Roman" w:eastAsia="Times New Roman" w:hAnsi="Times New Roman"/>
          <w:sz w:val="18"/>
          <w:szCs w:val="18"/>
          <w:u w:val="single" w:color="auto"/>
          <w:color w:val="0000FF"/>
        </w:rPr>
        <w:t xml:space="preserve"> </w:t>
      </w:r>
      <w:hyperlink r:id="rId274">
        <w:r>
          <w:rPr>
            <w:rFonts w:ascii="Times New Roman" w:cs="Times New Roman" w:eastAsia="Times New Roman" w:hAnsi="Times New Roman"/>
            <w:sz w:val="18"/>
            <w:szCs w:val="18"/>
            <w:u w:val="single" w:color="auto"/>
            <w:color w:val="0000FF"/>
          </w:rPr>
          <w:t>and incorporated herein by reference.</w:t>
        </w:r>
      </w:hyperlink>
    </w:p>
    <w:p>
      <w:pPr>
        <w:spacing w:after="0" w:line="1279"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00" w:space="140"/>
            <w:col w:w="4840"/>
          </w:cols>
          <w:pgMar w:left="320" w:top="121" w:right="39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85" w:lineRule="exact"/>
        <w:rPr>
          <w:rFonts w:ascii="Times New Roman" w:cs="Times New Roman" w:eastAsia="Times New Roman" w:hAnsi="Times New Roman"/>
          <w:sz w:val="18"/>
          <w:szCs w:val="18"/>
          <w:u w:val="single" w:color="auto"/>
          <w:color w:val="0000FF"/>
        </w:rPr>
      </w:pPr>
    </w:p>
    <w:p>
      <w:pPr>
        <w:jc w:val="center"/>
        <w:ind w:right="-7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10(f)(32)</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Amendment No. 2, dated as of July 29, 2022 to the Fourth</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February 6, 2020,</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by and among Lamar Media, as Borrower, the Company, Lamar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Media’s subsidiary guarantors party thereto, JPMorgan Chase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Bank, N.A., as Administrative Agent and certain lenders from time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time party thereto.</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10(f)(33)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3, dated as of April 26, 2023 to the Fourth</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February 6, 2020,</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by and among Lamar Media, as Borrower, the Company, Lamar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Media's subsidiary guarantors party thereto, JPMorgan Chase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Bank, N.A., as Administrative Agent and certain lenders from time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time party thereto.</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10(f)(34)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4, dated as of July 31, 2023 to the Fourth</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February 6, 2020,</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by and among Lamar Media, as Borrower, the Company, Lamar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Media's subsidiary guarantors party thereto, JPMorgan Chase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Bank, N.A., as Administrative Agent and certain lenders from time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time party thereto.</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10(g)(1)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Limited Partnership Agreement Lamar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Limited Partnership, dated July 1, 2022.</w:t>
            </w:r>
          </w:p>
        </w:tc>
        <w:tc>
          <w:tcPr>
            <w:tcW w:w="0" w:type="dxa"/>
            <w:vAlign w:val="bottom"/>
          </w:tcPr>
          <w:p>
            <w:pPr>
              <w:spacing w:after="0"/>
              <w:rPr>
                <w:sz w:val="1"/>
                <w:szCs w:val="1"/>
                <w:color w:val="auto"/>
              </w:rPr>
            </w:pPr>
          </w:p>
        </w:tc>
      </w:tr>
      <w:tr>
        <w:trPr>
          <w:trHeight w:val="46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10(g)(2)*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2022 LTIP Unit Award Agreement.</w:t>
            </w:r>
          </w:p>
        </w:tc>
        <w:tc>
          <w:tcPr>
            <w:tcW w:w="0" w:type="dxa"/>
            <w:vAlign w:val="bottom"/>
          </w:tcPr>
          <w:p>
            <w:pPr>
              <w:spacing w:after="0"/>
              <w:rPr>
                <w:sz w:val="1"/>
                <w:szCs w:val="1"/>
                <w:color w:val="auto"/>
              </w:rPr>
            </w:pPr>
          </w:p>
        </w:tc>
      </w:tr>
      <w:tr>
        <w:trPr>
          <w:trHeight w:val="64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10(g)(3)*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2023 LTIP Unit Award Agreement.</w:t>
            </w:r>
          </w:p>
        </w:tc>
        <w:tc>
          <w:tcPr>
            <w:tcW w:w="0" w:type="dxa"/>
            <w:vAlign w:val="bottom"/>
          </w:tcPr>
          <w:p>
            <w:pPr>
              <w:spacing w:after="0"/>
              <w:rPr>
                <w:sz w:val="1"/>
                <w:szCs w:val="1"/>
                <w:color w:val="auto"/>
              </w:rPr>
            </w:pPr>
          </w:p>
        </w:tc>
      </w:tr>
      <w:tr>
        <w:trPr>
          <w:trHeight w:val="59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10(l)*</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Indemnification Agreement between the Company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directors and executive officers of the Company, dated as of</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18, 2014.</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14(a)</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Company Code of Business Conduct and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Ethics.</w:t>
            </w:r>
          </w:p>
        </w:tc>
        <w:tc>
          <w:tcPr>
            <w:tcW w:w="0" w:type="dxa"/>
            <w:vAlign w:val="bottom"/>
          </w:tcPr>
          <w:p>
            <w:pPr>
              <w:spacing w:after="0"/>
              <w:rPr>
                <w:sz w:val="1"/>
                <w:szCs w:val="1"/>
                <w:color w:val="auto"/>
              </w:rPr>
            </w:pPr>
          </w:p>
        </w:tc>
      </w:tr>
      <w:tr>
        <w:trPr>
          <w:trHeight w:val="64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21(a)</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 of the Company.</w:t>
            </w:r>
          </w:p>
        </w:tc>
        <w:tc>
          <w:tcPr>
            <w:tcW w:w="0" w:type="dxa"/>
            <w:vAlign w:val="bottom"/>
          </w:tcPr>
          <w:p>
            <w:pPr>
              <w:spacing w:after="0"/>
              <w:rPr>
                <w:sz w:val="1"/>
                <w:szCs w:val="1"/>
                <w:color w:val="auto"/>
              </w:rPr>
            </w:pPr>
          </w:p>
        </w:tc>
      </w:tr>
      <w:tr>
        <w:trPr>
          <w:trHeight w:val="28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22(a)</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Subsidiary guarantors of Lamar Media.</w:t>
            </w:r>
          </w:p>
        </w:tc>
        <w:tc>
          <w:tcPr>
            <w:tcW w:w="0" w:type="dxa"/>
            <w:vAlign w:val="bottom"/>
          </w:tcPr>
          <w:p>
            <w:pPr>
              <w:spacing w:after="0"/>
              <w:rPr>
                <w:sz w:val="1"/>
                <w:szCs w:val="1"/>
                <w:color w:val="auto"/>
              </w:rPr>
            </w:pPr>
          </w:p>
        </w:tc>
      </w:tr>
      <w:tr>
        <w:trPr>
          <w:trHeight w:val="28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23(a)</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KPMG LLP.</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31(a)</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Executive Officer of the Company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Lamar Media pursuant to Securities Exchange Act Rules 13a-14(a)</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and 15d-14(a) as adopted pursuant to Section 302 of the Sarbanes-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Oxley Act of 2002.</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31(b)</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Financial Officer of the Company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Lamar Media pursuant to Securities Exchange Act Rules 13a-14(a)</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and 15d-14(a) as adopted pursuant to Section 302 of the Sarbanes-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Oxley Act of 2002.</w:t>
            </w:r>
          </w:p>
        </w:tc>
        <w:tc>
          <w:tcPr>
            <w:tcW w:w="0" w:type="dxa"/>
            <w:vAlign w:val="bottom"/>
          </w:tcPr>
          <w:p>
            <w:pPr>
              <w:spacing w:after="0"/>
              <w:rPr>
                <w:sz w:val="1"/>
                <w:szCs w:val="1"/>
                <w:color w:val="auto"/>
              </w:rPr>
            </w:pPr>
          </w:p>
        </w:tc>
      </w:tr>
      <w:tr>
        <w:trPr>
          <w:trHeight w:val="23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32(a)</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0" w:type="dxa"/>
            <w:vAlign w:val="bottom"/>
          </w:tcPr>
          <w:p>
            <w:pPr>
              <w:spacing w:after="0"/>
              <w:rPr>
                <w:sz w:val="1"/>
                <w:szCs w:val="1"/>
                <w:color w:val="auto"/>
              </w:rPr>
            </w:pPr>
          </w:p>
        </w:tc>
      </w:tr>
      <w:tr>
        <w:trPr>
          <w:trHeight w:val="913"/>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77">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ind w:right="40"/>
        <w:spacing w:after="0" w:line="226" w:lineRule="auto"/>
        <w:rPr>
          <w:rFonts w:ascii="Times New Roman" w:cs="Times New Roman" w:eastAsia="Times New Roman" w:hAnsi="Times New Roman"/>
          <w:sz w:val="18"/>
          <w:szCs w:val="18"/>
          <w:u w:val="single" w:color="auto"/>
          <w:color w:val="0000FF"/>
        </w:rPr>
      </w:pPr>
      <w:hyperlink r:id="rId278">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78">
        <w:r>
          <w:rPr>
            <w:rFonts w:ascii="Times New Roman" w:cs="Times New Roman" w:eastAsia="Times New Roman" w:hAnsi="Times New Roman"/>
            <w:sz w:val="18"/>
            <w:szCs w:val="18"/>
            <w:u w:val="single" w:color="auto"/>
            <w:color w:val="0000FF"/>
          </w:rPr>
          <w:t>on Form 8-K (File No. 1-36756) filed on August 3, 2022 and</w:t>
        </w:r>
      </w:hyperlink>
      <w:r>
        <w:rPr>
          <w:rFonts w:ascii="Times New Roman" w:cs="Times New Roman" w:eastAsia="Times New Roman" w:hAnsi="Times New Roman"/>
          <w:sz w:val="18"/>
          <w:szCs w:val="18"/>
          <w:u w:val="single" w:color="auto"/>
          <w:color w:val="0000FF"/>
        </w:rPr>
        <w:t xml:space="preserve"> </w:t>
      </w:r>
      <w:hyperlink r:id="rId278">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79">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79">
        <w:r>
          <w:rPr>
            <w:rFonts w:ascii="Times New Roman" w:cs="Times New Roman" w:eastAsia="Times New Roman" w:hAnsi="Times New Roman"/>
            <w:sz w:val="18"/>
            <w:szCs w:val="18"/>
            <w:u w:val="single" w:color="auto"/>
            <w:color w:val="0000FF"/>
          </w:rPr>
          <w:t>on Form 8-K (File No. 1-36756) filed on May 5, 2023 and</w:t>
        </w:r>
      </w:hyperlink>
      <w:r>
        <w:rPr>
          <w:rFonts w:ascii="Times New Roman" w:cs="Times New Roman" w:eastAsia="Times New Roman" w:hAnsi="Times New Roman"/>
          <w:sz w:val="18"/>
          <w:szCs w:val="18"/>
          <w:u w:val="single" w:color="auto"/>
          <w:color w:val="0000FF"/>
        </w:rPr>
        <w:t xml:space="preserve"> </w:t>
      </w:r>
      <w:hyperlink r:id="rId279">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80">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80">
        <w:r>
          <w:rPr>
            <w:rFonts w:ascii="Times New Roman" w:cs="Times New Roman" w:eastAsia="Times New Roman" w:hAnsi="Times New Roman"/>
            <w:sz w:val="18"/>
            <w:szCs w:val="18"/>
            <w:u w:val="single" w:color="auto"/>
            <w:color w:val="0000FF"/>
          </w:rPr>
          <w:t>on Form 8-K (File No. 1-36756) filed on August 2, 2023 and</w:t>
        </w:r>
      </w:hyperlink>
      <w:r>
        <w:rPr>
          <w:rFonts w:ascii="Times New Roman" w:cs="Times New Roman" w:eastAsia="Times New Roman" w:hAnsi="Times New Roman"/>
          <w:sz w:val="18"/>
          <w:szCs w:val="18"/>
          <w:u w:val="single" w:color="auto"/>
          <w:color w:val="0000FF"/>
        </w:rPr>
        <w:t xml:space="preserve"> </w:t>
      </w:r>
      <w:hyperlink r:id="rId280">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81">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81">
        <w:r>
          <w:rPr>
            <w:rFonts w:ascii="Times New Roman" w:cs="Times New Roman" w:eastAsia="Times New Roman" w:hAnsi="Times New Roman"/>
            <w:sz w:val="18"/>
            <w:szCs w:val="18"/>
            <w:u w:val="single" w:color="auto"/>
            <w:color w:val="0000FF"/>
          </w:rPr>
          <w:t>on Form 8-K (File No. 1-36756) filed on July 7, 2022 and</w:t>
        </w:r>
      </w:hyperlink>
      <w:r>
        <w:rPr>
          <w:rFonts w:ascii="Times New Roman" w:cs="Times New Roman" w:eastAsia="Times New Roman" w:hAnsi="Times New Roman"/>
          <w:sz w:val="18"/>
          <w:szCs w:val="18"/>
          <w:u w:val="single" w:color="auto"/>
          <w:color w:val="0000FF"/>
        </w:rPr>
        <w:t xml:space="preserve"> </w:t>
      </w:r>
      <w:hyperlink r:id="rId281">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82">
        <w:r>
          <w:rPr>
            <w:rFonts w:ascii="Times New Roman" w:cs="Times New Roman" w:eastAsia="Times New Roman" w:hAnsi="Times New Roman"/>
            <w:sz w:val="18"/>
            <w:szCs w:val="18"/>
            <w:u w:val="single" w:color="auto"/>
            <w:color w:val="0000FF"/>
          </w:rPr>
          <w:t>Previously filed as Exhibit 10.2 to the Company’s Current Report</w:t>
        </w:r>
      </w:hyperlink>
      <w:r>
        <w:rPr>
          <w:rFonts w:ascii="Times New Roman" w:cs="Times New Roman" w:eastAsia="Times New Roman" w:hAnsi="Times New Roman"/>
          <w:sz w:val="18"/>
          <w:szCs w:val="18"/>
          <w:u w:val="single" w:color="auto"/>
          <w:color w:val="0000FF"/>
        </w:rPr>
        <w:t xml:space="preserve"> </w:t>
      </w:r>
      <w:hyperlink r:id="rId282">
        <w:r>
          <w:rPr>
            <w:rFonts w:ascii="Times New Roman" w:cs="Times New Roman" w:eastAsia="Times New Roman" w:hAnsi="Times New Roman"/>
            <w:sz w:val="18"/>
            <w:szCs w:val="18"/>
            <w:u w:val="single" w:color="auto"/>
            <w:color w:val="0000FF"/>
          </w:rPr>
          <w:t>on Form 8-K (File No. 1-36756) filed on July 7, 2022 and</w:t>
        </w:r>
      </w:hyperlink>
      <w:r>
        <w:rPr>
          <w:rFonts w:ascii="Times New Roman" w:cs="Times New Roman" w:eastAsia="Times New Roman" w:hAnsi="Times New Roman"/>
          <w:sz w:val="18"/>
          <w:szCs w:val="18"/>
          <w:u w:val="single" w:color="auto"/>
          <w:color w:val="0000FF"/>
        </w:rPr>
        <w:t xml:space="preserve"> </w:t>
      </w:r>
      <w:hyperlink r:id="rId282">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83">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83">
        <w:r>
          <w:rPr>
            <w:rFonts w:ascii="Times New Roman" w:cs="Times New Roman" w:eastAsia="Times New Roman" w:hAnsi="Times New Roman"/>
            <w:sz w:val="18"/>
            <w:szCs w:val="18"/>
            <w:u w:val="single" w:color="auto"/>
            <w:color w:val="0000FF"/>
          </w:rPr>
          <w:t>on Form 8-K (File No. 1-36756) filed on March 2, 2023 and</w:t>
        </w:r>
      </w:hyperlink>
      <w:r>
        <w:rPr>
          <w:rFonts w:ascii="Times New Roman" w:cs="Times New Roman" w:eastAsia="Times New Roman" w:hAnsi="Times New Roman"/>
          <w:sz w:val="18"/>
          <w:szCs w:val="18"/>
          <w:u w:val="single" w:color="auto"/>
          <w:color w:val="0000FF"/>
        </w:rPr>
        <w:t xml:space="preserve"> </w:t>
      </w:r>
      <w:hyperlink r:id="rId283">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jc w:val="both"/>
        <w:ind w:right="20"/>
        <w:spacing w:after="0" w:line="226" w:lineRule="auto"/>
        <w:rPr>
          <w:rFonts w:ascii="Times New Roman" w:cs="Times New Roman" w:eastAsia="Times New Roman" w:hAnsi="Times New Roman"/>
          <w:sz w:val="18"/>
          <w:szCs w:val="18"/>
          <w:u w:val="single" w:color="auto"/>
          <w:color w:val="0000FF"/>
        </w:rPr>
      </w:pPr>
      <w:hyperlink r:id="rId284">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84">
        <w:r>
          <w:rPr>
            <w:rFonts w:ascii="Times New Roman" w:cs="Times New Roman" w:eastAsia="Times New Roman" w:hAnsi="Times New Roman"/>
            <w:sz w:val="18"/>
            <w:szCs w:val="18"/>
            <w:u w:val="single" w:color="auto"/>
            <w:color w:val="0000FF"/>
          </w:rPr>
          <w:t>on 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284">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jc w:val="both"/>
        <w:spacing w:after="0" w:line="229" w:lineRule="auto"/>
        <w:rPr>
          <w:rFonts w:ascii="Times New Roman" w:cs="Times New Roman" w:eastAsia="Times New Roman" w:hAnsi="Times New Roman"/>
          <w:sz w:val="17"/>
          <w:szCs w:val="17"/>
          <w:u w:val="single" w:color="auto"/>
          <w:color w:val="0000FF"/>
        </w:rPr>
      </w:pPr>
      <w:hyperlink r:id="rId285">
        <w:r>
          <w:rPr>
            <w:rFonts w:ascii="Times New Roman" w:cs="Times New Roman" w:eastAsia="Times New Roman" w:hAnsi="Times New Roman"/>
            <w:sz w:val="17"/>
            <w:szCs w:val="17"/>
            <w:u w:val="single" w:color="auto"/>
            <w:color w:val="0000FF"/>
          </w:rPr>
          <w:t>Previously filed as Exhibit 14(a) to the Company's Annual Report</w:t>
        </w:r>
      </w:hyperlink>
      <w:r>
        <w:rPr>
          <w:rFonts w:ascii="Times New Roman" w:cs="Times New Roman" w:eastAsia="Times New Roman" w:hAnsi="Times New Roman"/>
          <w:sz w:val="17"/>
          <w:szCs w:val="17"/>
          <w:u w:val="single" w:color="auto"/>
          <w:color w:val="0000FF"/>
        </w:rPr>
        <w:t xml:space="preserve"> </w:t>
      </w:r>
      <w:hyperlink r:id="rId285">
        <w:r>
          <w:rPr>
            <w:rFonts w:ascii="Times New Roman" w:cs="Times New Roman" w:eastAsia="Times New Roman" w:hAnsi="Times New Roman"/>
            <w:sz w:val="17"/>
            <w:szCs w:val="17"/>
            <w:u w:val="single" w:color="auto"/>
            <w:color w:val="0000FF"/>
          </w:rPr>
          <w:t>on Form 10-K for the year ended December 31, 2022 (File No. 1-</w:t>
        </w:r>
      </w:hyperlink>
      <w:hyperlink r:id="rId285">
        <w:r>
          <w:rPr>
            <w:rFonts w:ascii="Times New Roman" w:cs="Times New Roman" w:eastAsia="Times New Roman" w:hAnsi="Times New Roman"/>
            <w:sz w:val="17"/>
            <w:szCs w:val="17"/>
            <w:u w:val="single" w:color="auto"/>
            <w:color w:val="0000FF"/>
          </w:rPr>
          <w:t>36756) filed on February 24, 2023 and incorporated herein by</w:t>
        </w:r>
      </w:hyperlink>
    </w:p>
    <w:p>
      <w:pPr>
        <w:spacing w:after="0"/>
        <w:rPr>
          <w:rFonts w:ascii="Times New Roman" w:cs="Times New Roman" w:eastAsia="Times New Roman" w:hAnsi="Times New Roman"/>
          <w:sz w:val="18"/>
          <w:szCs w:val="18"/>
          <w:u w:val="single" w:color="auto"/>
          <w:color w:val="0000FF"/>
        </w:rPr>
      </w:pPr>
      <w:hyperlink r:id="rId285">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77"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77"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77"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17"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17"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ectPr>
          <w:pgSz w:w="11900" w:h="16838" w:orient="portrait"/>
          <w:cols w:equalWidth="0" w:num="2">
            <w:col w:w="6200" w:space="140"/>
            <w:col w:w="4740"/>
          </w:cols>
          <w:pgMar w:left="320" w:top="121" w:right="49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METHOD OF FILING</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Borders>
              <w:top w:val="single" w:sz="8" w:color="auto"/>
            </w:tcBorders>
          </w:tcPr>
          <w:p>
            <w:pPr>
              <w:jc w:val="right"/>
              <w:ind w:right="922"/>
              <w:spacing w:after="0" w:line="189" w:lineRule="exact"/>
              <w:rPr>
                <w:sz w:val="20"/>
                <w:szCs w:val="20"/>
                <w:color w:val="auto"/>
              </w:rPr>
            </w:pPr>
            <w:r>
              <w:rPr>
                <w:rFonts w:ascii="Times New Roman" w:cs="Times New Roman" w:eastAsia="Times New Roman" w:hAnsi="Times New Roman"/>
                <w:sz w:val="18"/>
                <w:szCs w:val="18"/>
                <w:color w:val="auto"/>
                <w:w w:val="99"/>
              </w:rPr>
              <w:t>97</w:t>
            </w:r>
          </w:p>
        </w:tc>
        <w:tc>
          <w:tcPr>
            <w:tcW w:w="100" w:type="dxa"/>
            <w:vAlign w:val="bottom"/>
          </w:tcPr>
          <w:p>
            <w:pPr>
              <w:spacing w:after="0"/>
              <w:rPr>
                <w:sz w:val="16"/>
                <w:szCs w:val="16"/>
                <w:color w:val="auto"/>
              </w:rPr>
            </w:pPr>
          </w:p>
        </w:tc>
        <w:tc>
          <w:tcPr>
            <w:tcW w:w="490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Compensation Recovery Policy</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80" w:type="dxa"/>
            <w:vAlign w:val="bottom"/>
            <w:tcBorders>
              <w:top w:val="single" w:sz="8" w:color="auto"/>
              <w:bottom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7"/>
              </w:rPr>
              <w:t>Filed herewith.</w:t>
            </w:r>
          </w:p>
        </w:tc>
        <w:tc>
          <w:tcPr>
            <w:tcW w:w="3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320" w:right="5040" w:hanging="1294"/>
        <w:spacing w:after="0" w:line="212" w:lineRule="auto"/>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combined Annual Report of the Company and Lamar Media Corp. on Form 10-K for the year ended December 31, 2023, formatted in Inline XBRL (eXtensible Business Reporting Language): (i) Consolidated Balance Sheets as of December 31, 2023 and 2022 of the Company and Lamar Media, (ii) Consolidated Statements of Income and Comprehensive Income for the years ended December 31, 2023, 2022 and 2021 of the Company and Lamar Media, (iii) Consolidated Statements of Stockholders’ Equity for the years ended December 31, 2023, 2022 and 2021 of the Company and Lamar Media, (iv) Consolidated Statements of Cash Flows for the years ended December 31, 2023, 2022 and 2021 of the Company and Lamar Media, and (v) Notes to Consolidated Financial Statements of the Company and Lamar Media.</w:t>
      </w:r>
    </w:p>
    <w:p>
      <w:pPr>
        <w:spacing w:after="0" w:line="73" w:lineRule="exact"/>
        <w:rPr>
          <w:sz w:val="20"/>
          <w:szCs w:val="20"/>
          <w:color w:val="auto"/>
        </w:rPr>
      </w:pPr>
    </w:p>
    <w:p>
      <w:pPr>
        <w:ind w:left="1320" w:right="5240" w:hanging="1294"/>
        <w:spacing w:after="0" w:line="237" w:lineRule="auto"/>
        <w:tabs>
          <w:tab w:leader="none" w:pos="13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8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Denotes management contract or compensatory plan or arrangement in which the executive officers or directors of the Company participate.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792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LAMAR ADVERTISING COMPANY</w:t>
            </w:r>
          </w:p>
        </w:tc>
      </w:tr>
      <w:tr>
        <w:trPr>
          <w:trHeight w:val="49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2024</w:t>
            </w: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3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Sean E. Reilly</w:t>
            </w:r>
          </w:p>
        </w:tc>
      </w:tr>
      <w:tr>
        <w:trPr>
          <w:trHeight w:val="234"/>
        </w:trPr>
        <w:tc>
          <w:tcPr>
            <w:tcW w:w="32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79"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300" w:type="dxa"/>
            <w:vAlign w:val="bottom"/>
            <w:gridSpan w:val="2"/>
          </w:tcPr>
          <w:p>
            <w:pPr>
              <w:ind w:left="29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6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3"/>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E. Reilly</w:t>
            </w:r>
          </w:p>
        </w:tc>
        <w:tc>
          <w:tcPr>
            <w:tcW w:w="100" w:type="dxa"/>
            <w:vAlign w:val="bottom"/>
          </w:tcPr>
          <w:p>
            <w:pPr>
              <w:spacing w:after="0"/>
              <w:rPr>
                <w:sz w:val="22"/>
                <w:szCs w:val="22"/>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2/23/24</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Reilly</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2/23/24</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P. Reilly, Jr.</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Chairman and 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2/23/24</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P. Reilly, Jr.</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Wendell S. Reilly</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2/23/24</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Wendell S. Reilly</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P. Mumblow</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2/23/24</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P. Mumblow</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Marshall A. Loeb</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2/23/24</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Marshall A. Loeb</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Reifenheiser</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2/23/24</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Reifenheiser</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Anna Reilly</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2/23/24</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Anna Reilly</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E. Koerner, III</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2/23/24</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E. Koerner, III</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Elizabeth Thompson</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2/23/24</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Thompson</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Nancy Fletcher</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2/23/24</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Nancy Fletcher</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82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LAMAR MEDIA CORP.</w:t>
            </w:r>
          </w:p>
        </w:tc>
      </w:tr>
      <w:tr>
        <w:trPr>
          <w:trHeight w:val="44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2024</w:t>
            </w:r>
          </w:p>
        </w:tc>
        <w:tc>
          <w:tcPr>
            <w:tcW w:w="28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3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Sean E. Reilly</w:t>
            </w:r>
          </w:p>
        </w:tc>
      </w:tr>
      <w:tr>
        <w:trPr>
          <w:trHeight w:val="234"/>
        </w:trPr>
        <w:tc>
          <w:tcPr>
            <w:tcW w:w="33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9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1240"/>
        <w:spacing w:after="0"/>
        <w:tabs>
          <w:tab w:leader="none" w:pos="6100" w:val="left"/>
          <w:tab w:leader="none" w:pos="1018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8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Kevin P. Reilly,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9373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89">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P. Reilly, Jr.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373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90">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Sean E. Reilly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19373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91">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Jay L. Johnson</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Lee Kantrow,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373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92">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Lee Kantrow, Jr.</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and Director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2/23/24</w:t>
            </w:r>
          </w:p>
        </w:tc>
      </w:tr>
      <w:tr>
        <w:trPr>
          <w:trHeight w:val="7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2/23/24</w:t>
            </w:r>
          </w:p>
        </w:tc>
      </w:tr>
    </w:tbl>
    <w:p>
      <w:pPr>
        <w:spacing w:after="0" w:line="200" w:lineRule="exact"/>
        <w:rPr>
          <w:sz w:val="20"/>
          <w:szCs w:val="20"/>
          <w:color w:val="auto"/>
        </w:rPr>
      </w:pPr>
    </w:p>
    <w:p>
      <w:pPr>
        <w:spacing w:after="0" w:line="243"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2/23/24</w:t>
      </w:r>
    </w:p>
    <w:p>
      <w:pPr>
        <w:spacing w:after="0" w:line="219" w:lineRule="auto"/>
        <w:rPr>
          <w:sz w:val="20"/>
          <w:szCs w:val="20"/>
          <w:color w:val="auto"/>
        </w:rPr>
      </w:pPr>
      <w:r>
        <w:rPr>
          <w:rFonts w:ascii="Times New Roman" w:cs="Times New Roman" w:eastAsia="Times New Roman" w:hAnsi="Times New Roman"/>
          <w:sz w:val="18"/>
          <w:szCs w:val="18"/>
          <w:color w:val="auto"/>
        </w:rPr>
        <w:t>Chief Financial and Accounting Officer and Director</w:t>
      </w: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of Mergers and Acquisitions and Director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2/23/24</w:t>
            </w:r>
          </w:p>
        </w:tc>
      </w:tr>
    </w:tbl>
    <w:p>
      <w:pPr>
        <w:spacing w:after="0" w:line="415" w:lineRule="exact"/>
        <w:rPr>
          <w:sz w:val="20"/>
          <w:szCs w:val="20"/>
          <w:color w:val="auto"/>
        </w:rPr>
      </w:pPr>
    </w:p>
    <w:p>
      <w:pPr>
        <w:sectPr>
          <w:pgSz w:w="11900" w:h="16838" w:orient="portrait"/>
          <w:cols w:equalWidth="0" w:num="2">
            <w:col w:w="2460" w:space="720"/>
            <w:col w:w="804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20"/>
          </w:cols>
          <w:pgMar w:left="320" w:top="121" w:right="359" w:bottom="1440" w:gutter="0" w:footer="0" w:header="0"/>
          <w:type w:val="continuous"/>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21(a)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SUBSIDIARIES OF LAMAR ADVERTISING</w:t>
            </w:r>
          </w:p>
        </w:tc>
      </w:tr>
      <w:tr>
        <w:trPr>
          <w:trHeight w:val="354"/>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Exact Name of Entity as Specified in its Charter</w:t>
            </w:r>
          </w:p>
        </w:tc>
        <w:tc>
          <w:tcPr>
            <w:tcW w:w="758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23"/>
        </w:trPr>
        <w:tc>
          <w:tcPr>
            <w:tcW w:w="3640" w:type="dxa"/>
            <w:vAlign w:val="bottom"/>
            <w:tcBorders>
              <w:bottom w:val="single" w:sz="8" w:color="auto"/>
            </w:tcBorders>
          </w:tcPr>
          <w:p>
            <w:pPr>
              <w:spacing w:after="0"/>
              <w:rPr>
                <w:sz w:val="2"/>
                <w:szCs w:val="2"/>
                <w:color w:val="auto"/>
              </w:rPr>
            </w:pPr>
          </w:p>
        </w:tc>
        <w:tc>
          <w:tcPr>
            <w:tcW w:w="7580" w:type="dxa"/>
            <w:vAlign w:val="bottom"/>
            <w:tcBorders>
              <w:bottom w:val="single" w:sz="8" w:color="auto"/>
            </w:tcBorders>
          </w:tcPr>
          <w:p>
            <w:pPr>
              <w:spacing w:after="0"/>
              <w:rPr>
                <w:sz w:val="2"/>
                <w:szCs w:val="2"/>
                <w:color w:val="auto"/>
              </w:rPr>
            </w:pPr>
          </w:p>
        </w:tc>
      </w:tr>
      <w:tr>
        <w:trPr>
          <w:trHeight w:val="291"/>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Media Corp.</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5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CC,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Holdings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Canadian TODS Limited</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Nova Scotia, Canada</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Outdoor Advertising of GA.,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Georgia</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CCO Indiana,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Media Group,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Advertising,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Funding,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Funding Holdings,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FMO Real Estate,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Georgia</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Interstate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Interstate Logos TRS,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Kentucky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Kentucky</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GP Company,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Holding Company,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LP Company,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Outdoor Company, L.P.</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General Partner,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Limited Partnership</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Colorado Springs,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Colorado</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Louisiana,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Michigan,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Penn,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Puerto Rico, Inc.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Puerto Rico</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South Dakota,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South Dakota</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Youngstown,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Southwest,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Air,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Airport Advertising Company</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Nevada</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Airport Advertising S/W Joint Venture</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Canada Holding Limited</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Canadian Outdoor Company</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Central Outdoor,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Electrical,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Lamar-Fairway Blocker 1,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Lamar-Fairway Blocker 2,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954" w:right="3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Exact Name of Entity as Specified in its Charter</w:t>
            </w:r>
          </w:p>
        </w:tc>
        <w:tc>
          <w:tcPr>
            <w:tcW w:w="696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23"/>
        </w:trPr>
        <w:tc>
          <w:tcPr>
            <w:tcW w:w="426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r>
      <w:tr>
        <w:trPr>
          <w:trHeight w:val="21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Florida,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Florida</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Investments,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Obie Company,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OCI North,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OCI South,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Ohio Outdoor Holding,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QRS Receivables,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Service Company,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Tennessee,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Tennessee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Texas Limited Partnership</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Transit Advertising Canada Ltd.</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Transit,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TRS Holdings,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TRS Receivables,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Louisiana Interstate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Magic Media/Lamar,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Magic Media Real Estate,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Maine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Maine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MCC Outdoor,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Georgia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Mississippi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Mississippi</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Missouri</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Montana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Montana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Hampshire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New Hampshire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New Jersey</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New Mexico</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Oklahoma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Oklahoma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Olympus Media/Indiana,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Marketing Systems,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Pennsylvania</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Promotions West,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QMC Transit, Inc.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Puerto Rico</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 High Murals-Colossal Media,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New York</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Carolina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South Carolina</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Tennessee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Lamar Company,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Farms,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Properties II,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Properties,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Triumph Outdoor Holdings,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Triumph Outdoor Rhode Island,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Utah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Virginia</w:t>
            </w: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Washington</w:t>
            </w:r>
          </w:p>
        </w:tc>
      </w:tr>
    </w:tbl>
    <w:p>
      <w:pPr>
        <w:sectPr>
          <w:pgSz w:w="11900" w:h="16838" w:orient="portrait"/>
          <w:cols w:equalWidth="0" w:num="1">
            <w:col w:w="11220"/>
          </w:cols>
          <w:pgMar w:left="320" w:top="1006" w:right="35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Exact Name of Entity as Specified in its Charter</w:t>
            </w:r>
          </w:p>
        </w:tc>
        <w:tc>
          <w:tcPr>
            <w:tcW w:w="696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23"/>
        </w:trPr>
        <w:tc>
          <w:tcPr>
            <w:tcW w:w="426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r>
      <w:tr>
        <w:trPr>
          <w:trHeight w:val="22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Wisconsin</w:t>
            </w:r>
          </w:p>
        </w:tc>
      </w:tr>
    </w:tbl>
    <w:p>
      <w:pPr>
        <w:sectPr>
          <w:pgSz w:w="11900" w:h="16838" w:orient="portrait"/>
          <w:cols w:equalWidth="0" w:num="1">
            <w:col w:w="11220"/>
          </w:cols>
          <w:pgMar w:left="320" w:top="1006" w:right="35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22(a)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Guarantor Subsidiaries of Lamar Media Corp.</w:t>
      </w:r>
    </w:p>
    <w:p>
      <w:pPr>
        <w:spacing w:after="0" w:line="18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Lamar Media Corp. is the issuer of the (i) 3 3/4% Senior Notes due 2028, (ii) 4% Senior Notes due 2030, (iii) 4 7/8% Senior Notes due 2029 and (iv) 3 5/8% Senior Notes due 2031 (collectively, the “Notes”). The following subsidiaries are guarantors of these Notes as of the last day of the period covered by</w:t>
      </w:r>
    </w:p>
    <w:p>
      <w:pPr>
        <w:spacing w:after="0"/>
        <w:rPr>
          <w:sz w:val="20"/>
          <w:szCs w:val="20"/>
          <w:color w:val="auto"/>
        </w:rPr>
      </w:pPr>
      <w:r>
        <w:rPr>
          <w:rFonts w:ascii="Times New Roman" w:cs="Times New Roman" w:eastAsia="Times New Roman" w:hAnsi="Times New Roman"/>
          <w:sz w:val="18"/>
          <w:szCs w:val="18"/>
          <w:color w:val="auto"/>
        </w:rPr>
        <w:t>this report.</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Exact Name of Entity as Specified in its Charter</w:t>
            </w:r>
          </w:p>
        </w:tc>
        <w:tc>
          <w:tcPr>
            <w:tcW w:w="654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23"/>
        </w:trPr>
        <w:tc>
          <w:tcPr>
            <w:tcW w:w="458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r>
      <w:tr>
        <w:trPr>
          <w:trHeight w:val="21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CC,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Holdings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Outdoor Advertising of GA.,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Georgia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CCO Indiana,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Media Group,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Advertising,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Funding,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Funding Holdings,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Florida</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FMO Real Estate,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Georgia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Interstate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Interstate Logos TRS,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Kentucky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Kentucky</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GP Company,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Holding Company,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LP Company,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Outdoor Company, L.P.</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General Partner,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Limited Partnership</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Colorado Springs,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Colorado</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Louisiana,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Michigan,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Penn,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South Dakota,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South Dakota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Youngstown,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Southwest,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Air,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Airport Advertising Company</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Nevada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Central Outdoor,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Electrical,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Lamar-Fairway Blocker 1,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Lamar-Fairway Blocker 2,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Florida,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Florida</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Investments,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Obie Company,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954" w:right="3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Exact Name of Entity as Specified in its Charter</w:t>
            </w:r>
          </w:p>
        </w:tc>
        <w:tc>
          <w:tcPr>
            <w:tcW w:w="678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23"/>
        </w:trPr>
        <w:tc>
          <w:tcPr>
            <w:tcW w:w="4340" w:type="dxa"/>
            <w:vAlign w:val="bottom"/>
            <w:tcBorders>
              <w:bottom w:val="single" w:sz="8" w:color="auto"/>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r>
      <w:tr>
        <w:trPr>
          <w:trHeight w:val="21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OCI North,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OCI South,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Ohio Outdoor Holding,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Service Company,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Tennessee,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Tennessee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Texas Limited Partnership</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Transit,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TRS Holdings,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Louisiana Interstate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Magic Media/Lamar,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Magic Media Real Estate,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Maine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Maine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MCC Outdoor,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Georgia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Mississippi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Mississippi</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Missouri</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Montana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Montana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Hampshire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New Hampshire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New Jersey</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New Mexico</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Oklahoma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Oklahoma</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Olympus Media/Indiana,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Marketing Systems,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Pennsylvania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Promotions West,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 High Murals-Colossal Media,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New York</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Carolina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South Carolina</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Tennessee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Lamar Company,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Farms,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Properties II,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Properties,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Triumph Outdoor Holdings,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Triumph Outdoor Rhode Island,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Utah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Virginia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Washington</w:t>
            </w: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Wisconsin</w:t>
            </w:r>
          </w:p>
        </w:tc>
      </w:tr>
    </w:tbl>
    <w:p>
      <w:pPr>
        <w:sectPr>
          <w:pgSz w:w="11900" w:h="16838" w:orient="portrait"/>
          <w:cols w:equalWidth="0" w:num="1">
            <w:col w:w="11120"/>
          </w:cols>
          <w:pgMar w:left="420" w:top="1006" w:right="35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23(a)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5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333-89034, 333-37858, 333-116008, 333-160945, 333-190603, 333-232687, 333-232686, and 333-270945) on Form S-8 and No. 333-257243 on Form S-3 for Lamar Advertising Company and (Nos. 333-248598 and 333-257927) on Form S-4 for Lamar Media Corp. of our reports dated February 23, 2024, with respect to the consolidated financial statements of Lamar Advertising Company and Lamar Media Corp. and the effectiveness of internal control over financial reporting.</w:t>
      </w:r>
    </w:p>
    <w:p>
      <w:pPr>
        <w:spacing w:after="0" w:line="200" w:lineRule="exact"/>
        <w:rPr>
          <w:sz w:val="20"/>
          <w:szCs w:val="20"/>
          <w:color w:val="auto"/>
        </w:rPr>
      </w:pPr>
    </w:p>
    <w:p>
      <w:pPr>
        <w:spacing w:after="0" w:line="30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19202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9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KPMG LLP</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1">
            <w:col w:w="11240"/>
          </w:cols>
          <w:pgMar w:left="320" w:top="954"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E. Reilly, certify that:</w:t>
      </w:r>
    </w:p>
    <w:p>
      <w:pPr>
        <w:spacing w:after="0" w:line="225"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annual report on Form 10-K of Lamar Advertising Company and Lamar Media Corp.;</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75" w:lineRule="exact"/>
        <w:rPr>
          <w:rFonts w:ascii="Times New Roman" w:cs="Times New Roman" w:eastAsia="Times New Roman" w:hAnsi="Times New Roman"/>
          <w:sz w:val="18"/>
          <w:szCs w:val="18"/>
          <w:color w:val="auto"/>
        </w:rPr>
      </w:pPr>
    </w:p>
    <w:p>
      <w:pPr>
        <w:ind w:left="1140" w:right="80" w:hanging="646"/>
        <w:spacing w:after="0" w:line="266" w:lineRule="auto"/>
        <w:tabs>
          <w:tab w:leader="none" w:pos="113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646"/>
        <w:spacing w:after="0" w:line="266" w:lineRule="auto"/>
        <w:tabs>
          <w:tab w:leader="none" w:pos="113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646"/>
        <w:spacing w:after="0" w:line="312" w:lineRule="auto"/>
        <w:tabs>
          <w:tab w:leader="none" w:pos="1137"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60" w:hanging="646"/>
        <w:spacing w:after="0" w:line="266" w:lineRule="auto"/>
        <w:tabs>
          <w:tab w:leader="none" w:pos="113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620" w:hanging="646"/>
        <w:spacing w:after="0" w:line="312" w:lineRule="auto"/>
        <w:tabs>
          <w:tab w:leader="none" w:pos="1137"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140" w:right="300" w:hanging="646"/>
        <w:spacing w:after="0" w:line="282" w:lineRule="auto"/>
        <w:tabs>
          <w:tab w:leader="none" w:pos="113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9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Sean E. Reilly</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 Lamar Advertising Company</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 Lamar Media Corp.</w:t>
      </w:r>
    </w:p>
    <w:p>
      <w:pPr>
        <w:sectPr>
          <w:pgSz w:w="11900" w:h="16838" w:orient="portrait"/>
          <w:cols w:equalWidth="0" w:num="1">
            <w:col w:w="11240"/>
          </w:cols>
          <w:pgMar w:left="320" w:top="1103"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L. Johnson, certify that:</w:t>
      </w:r>
    </w:p>
    <w:p>
      <w:pPr>
        <w:spacing w:after="0" w:line="225"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annual report on Form 10-K of Lamar Advertising Company and Lamar Media Corp.;</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75" w:lineRule="exact"/>
        <w:rPr>
          <w:rFonts w:ascii="Times New Roman" w:cs="Times New Roman" w:eastAsia="Times New Roman" w:hAnsi="Times New Roman"/>
          <w:sz w:val="18"/>
          <w:szCs w:val="18"/>
          <w:color w:val="auto"/>
        </w:rPr>
      </w:pPr>
    </w:p>
    <w:p>
      <w:pPr>
        <w:ind w:left="1140" w:right="80" w:hanging="646"/>
        <w:spacing w:after="0" w:line="266" w:lineRule="auto"/>
        <w:tabs>
          <w:tab w:leader="none" w:pos="113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646"/>
        <w:spacing w:after="0" w:line="266" w:lineRule="auto"/>
        <w:tabs>
          <w:tab w:leader="none" w:pos="113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646"/>
        <w:spacing w:after="0" w:line="312" w:lineRule="auto"/>
        <w:tabs>
          <w:tab w:leader="none" w:pos="1137"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60" w:hanging="646"/>
        <w:spacing w:after="0" w:line="266" w:lineRule="auto"/>
        <w:tabs>
          <w:tab w:leader="none" w:pos="113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620" w:hanging="646"/>
        <w:spacing w:after="0" w:line="312" w:lineRule="auto"/>
        <w:tabs>
          <w:tab w:leader="none" w:pos="1137"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140" w:right="300" w:hanging="646"/>
        <w:spacing w:after="0" w:line="282" w:lineRule="auto"/>
        <w:tabs>
          <w:tab w:leader="none" w:pos="113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1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9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Jay L. Johnson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Lamar Media Corp.</w:t>
      </w:r>
    </w:p>
    <w:p>
      <w:pPr>
        <w:sectPr>
          <w:pgSz w:w="11900" w:h="16838" w:orient="portrait"/>
          <w:cols w:equalWidth="0" w:num="1">
            <w:col w:w="11240"/>
          </w:cols>
          <w:pgMar w:left="320" w:top="1103"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100" w:firstLine="567"/>
        <w:spacing w:after="0" w:line="258" w:lineRule="auto"/>
        <w:rPr>
          <w:sz w:val="20"/>
          <w:szCs w:val="20"/>
          <w:color w:val="auto"/>
        </w:rPr>
      </w:pPr>
      <w:r>
        <w:rPr>
          <w:rFonts w:ascii="Times New Roman" w:cs="Times New Roman" w:eastAsia="Times New Roman" w:hAnsi="Times New Roman"/>
          <w:sz w:val="18"/>
          <w:szCs w:val="18"/>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Annual Report on Form 10-K of Lamar Advertising and Lamar Media for the year ended December 31, 2023 fully complies with the requirements of Section 13(a) or 15(d) of the Securities Exchange Act of 1934 and that information contained in that combined Form 10-K fairly presents, in all material respects, the financial condition and results of operations of Lamar Advertising and Lamar Media.</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23, 2024</w:t>
            </w:r>
          </w:p>
        </w:tc>
        <w:tc>
          <w:tcPr>
            <w:tcW w:w="19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By:</w:t>
            </w:r>
          </w:p>
        </w:tc>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3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Reilly</w:t>
            </w:r>
          </w:p>
        </w:tc>
      </w:tr>
      <w:tr>
        <w:trPr>
          <w:trHeight w:val="230"/>
        </w:trPr>
        <w:tc>
          <w:tcPr>
            <w:tcW w:w="30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Lamar Advertising Company</w:t>
            </w:r>
          </w:p>
        </w:tc>
      </w:tr>
      <w:tr>
        <w:trPr>
          <w:trHeight w:val="234"/>
        </w:trPr>
        <w:tc>
          <w:tcPr>
            <w:tcW w:w="30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Lamar Media Corp.</w:t>
            </w:r>
          </w:p>
        </w:tc>
      </w:tr>
      <w:tr>
        <w:trPr>
          <w:trHeight w:val="49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23, 2024</w:t>
            </w:r>
          </w:p>
        </w:tc>
        <w:tc>
          <w:tcPr>
            <w:tcW w:w="19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By:</w:t>
            </w:r>
          </w:p>
        </w:tc>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r>
      <w:tr>
        <w:trPr>
          <w:trHeight w:val="218"/>
        </w:trPr>
        <w:tc>
          <w:tcPr>
            <w:tcW w:w="3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r>
      <w:tr>
        <w:trPr>
          <w:trHeight w:val="229"/>
        </w:trPr>
        <w:tc>
          <w:tcPr>
            <w:tcW w:w="30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tc>
      </w:tr>
      <w:tr>
        <w:trPr>
          <w:trHeight w:val="234"/>
        </w:trPr>
        <w:tc>
          <w:tcPr>
            <w:tcW w:w="30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Media Corp.</w:t>
            </w:r>
          </w:p>
        </w:tc>
      </w:tr>
    </w:tbl>
    <w:p>
      <w:pPr>
        <w:sectPr>
          <w:pgSz w:w="11900" w:h="16838" w:orient="portrait"/>
          <w:cols w:equalWidth="0" w:num="1">
            <w:col w:w="11240"/>
          </w:cols>
          <w:pgMar w:left="320" w:top="1103"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Lamar Advertising Company</w:t>
      </w:r>
    </w:p>
    <w:p>
      <w:pPr>
        <w:spacing w:after="0" w:line="17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179" w:lineRule="exact"/>
        <w:rPr>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Introduction</w:t>
      </w:r>
    </w:p>
    <w:p>
      <w:pPr>
        <w:spacing w:after="0" w:line="177" w:lineRule="exact"/>
        <w:rPr>
          <w:sz w:val="20"/>
          <w:szCs w:val="20"/>
          <w:color w:val="auto"/>
        </w:rPr>
      </w:pPr>
    </w:p>
    <w:p>
      <w:pPr>
        <w:jc w:val="both"/>
        <w:ind w:firstLine="278"/>
        <w:spacing w:after="0" w:line="214"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Lamar Advertising Company, a corporation organized under the laws of Delaware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xml:space="preserve">”), which provides for the recovery of erroneously awarded Incentive-based Compensation (as defined below) from current and former executive officers in the event of an Accounting Restatement (as defined below) resulting from the Company’s material noncompliance with any financial reporting requirement under United States federal securities laws. This policy is intended to comply with Section 10D and Rule 10D-1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“Rule 10D-1”</w:t>
      </w:r>
      <w:r>
        <w:rPr>
          <w:rFonts w:ascii="Times New Roman" w:cs="Times New Roman" w:eastAsia="Times New Roman" w:hAnsi="Times New Roman"/>
          <w:sz w:val="22"/>
          <w:szCs w:val="22"/>
          <w:color w:val="auto"/>
        </w:rPr>
        <w:t xml:space="preserve">), and Section 5608 of The Nasdaq Stock Market LLC Rules (the </w:t>
      </w:r>
      <w:r>
        <w:rPr>
          <w:rFonts w:ascii="Times New Roman" w:cs="Times New Roman" w:eastAsia="Times New Roman" w:hAnsi="Times New Roman"/>
          <w:sz w:val="22"/>
          <w:szCs w:val="22"/>
          <w:b w:val="1"/>
          <w:bCs w:val="1"/>
          <w:i w:val="1"/>
          <w:iCs w:val="1"/>
          <w:color w:val="auto"/>
        </w:rPr>
        <w:t>“Nasdaq Rule”</w:t>
      </w:r>
      <w:r>
        <w:rPr>
          <w:rFonts w:ascii="Times New Roman" w:cs="Times New Roman" w:eastAsia="Times New Roman" w:hAnsi="Times New Roman"/>
          <w:sz w:val="22"/>
          <w:szCs w:val="22"/>
          <w:color w:val="auto"/>
        </w:rPr>
        <w:t>). Definitions of capitalized terms used in this Policy are included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below.</w:t>
      </w:r>
    </w:p>
    <w:p>
      <w:pPr>
        <w:spacing w:after="0" w:line="151" w:lineRule="exact"/>
        <w:rPr>
          <w:sz w:val="20"/>
          <w:szCs w:val="20"/>
          <w:color w:val="auto"/>
        </w:rPr>
      </w:pPr>
    </w:p>
    <w:p>
      <w:pPr>
        <w:ind w:left="380" w:hanging="372"/>
        <w:spacing w:after="0"/>
        <w:tabs>
          <w:tab w:leader="none" w:pos="38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183" w:lineRule="exact"/>
        <w:rPr>
          <w:sz w:val="20"/>
          <w:szCs w:val="20"/>
          <w:color w:val="auto"/>
        </w:rPr>
      </w:pPr>
    </w:p>
    <w:p>
      <w:pPr>
        <w:jc w:val="both"/>
        <w:ind w:firstLine="228"/>
        <w:spacing w:after="0" w:line="220" w:lineRule="auto"/>
        <w:rPr>
          <w:sz w:val="20"/>
          <w:szCs w:val="20"/>
          <w:color w:val="auto"/>
        </w:rPr>
      </w:pPr>
      <w:r>
        <w:rPr>
          <w:rFonts w:ascii="Times New Roman" w:cs="Times New Roman" w:eastAsia="Times New Roman" w:hAnsi="Times New Roman"/>
          <w:sz w:val="22"/>
          <w:szCs w:val="22"/>
          <w:color w:val="auto"/>
        </w:rPr>
        <w:t>The Compensation Committee will have full authority to administer this Policy. The Compensation Committee will, subject to the provisions of this Policy, applicable law and regulation, and the Nasdaq Rule, make such determinations and interpretations and take such actions in connection with this Policy as it deems necessary, appropriate or advisable. All determinations and interpretations made by the Compensation Committee will be final, binding and conclusive.</w:t>
      </w:r>
    </w:p>
    <w:p>
      <w:pPr>
        <w:spacing w:after="0" w:line="148" w:lineRule="exact"/>
        <w:rPr>
          <w:sz w:val="20"/>
          <w:szCs w:val="20"/>
          <w:color w:val="auto"/>
        </w:rPr>
      </w:pPr>
    </w:p>
    <w:p>
      <w:pPr>
        <w:ind w:left="380" w:hanging="372"/>
        <w:spacing w:after="0"/>
        <w:tabs>
          <w:tab w:leader="none" w:pos="38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w:t>
      </w:r>
    </w:p>
    <w:p>
      <w:pPr>
        <w:spacing w:after="0" w:line="183" w:lineRule="exact"/>
        <w:rPr>
          <w:sz w:val="20"/>
          <w:szCs w:val="20"/>
          <w:color w:val="auto"/>
        </w:rPr>
      </w:pPr>
    </w:p>
    <w:p>
      <w:pPr>
        <w:jc w:val="both"/>
        <w:ind w:firstLine="234"/>
        <w:spacing w:after="0" w:line="225" w:lineRule="auto"/>
        <w:rPr>
          <w:sz w:val="20"/>
          <w:szCs w:val="20"/>
          <w:color w:val="auto"/>
        </w:rPr>
      </w:pPr>
      <w:r>
        <w:rPr>
          <w:rFonts w:ascii="Times New Roman" w:cs="Times New Roman" w:eastAsia="Times New Roman" w:hAnsi="Times New Roman"/>
          <w:sz w:val="21"/>
          <w:szCs w:val="21"/>
          <w:color w:val="auto"/>
        </w:rPr>
        <w:t>In the event of an Accounting Restatement, the Company shall seek to recover, reasonably promptly, all Erroneously Awarded Compensation from an Executive Officer during the Time Period Covered in accordance with the Nasdaq Rule and Rule 10D-1. Such determination of the amount of Erroneously Awarded Compensation, in the case of an Accounting Restatement, will be made without regard to any individual knowledge or responsibility related to the Accounting Restatement or the Erroneously Awarded Compensation. Notwithstanding the foregoing, if the Company is required to undertake an Accounting Restatement, the Company shall recover the Erroneously Awarded Compensation unless the recovery is Impracticable (as defined below).</w:t>
      </w:r>
    </w:p>
    <w:p>
      <w:pPr>
        <w:spacing w:after="0" w:line="154" w:lineRule="exact"/>
        <w:rPr>
          <w:sz w:val="20"/>
          <w:szCs w:val="20"/>
          <w:color w:val="auto"/>
        </w:rPr>
      </w:pPr>
    </w:p>
    <w:p>
      <w:pPr>
        <w:jc w:val="both"/>
        <w:ind w:firstLine="256"/>
        <w:spacing w:after="0" w:line="220" w:lineRule="auto"/>
        <w:rPr>
          <w:sz w:val="20"/>
          <w:szCs w:val="20"/>
          <w:color w:val="auto"/>
        </w:rPr>
      </w:pPr>
      <w:r>
        <w:rPr>
          <w:rFonts w:ascii="Times New Roman" w:cs="Times New Roman" w:eastAsia="Times New Roman" w:hAnsi="Times New Roman"/>
          <w:sz w:val="22"/>
          <w:szCs w:val="22"/>
          <w:color w:val="auto"/>
        </w:rPr>
        <w:t xml:space="preserve">The Company shall seek to recover all Erroneously Awarded Compensation that was awarded or paid in accordance with the definition of “Erroneously Awarded Compensation” set forth below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If such Erroneously Awarded Compensation was not awarded or paid on a formulaic basis, the Company shall seek to recover the amount that the Compensation Committee determines in good faith should be recouped.</w:t>
      </w:r>
    </w:p>
    <w:p>
      <w:pPr>
        <w:spacing w:after="0" w:line="148"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Actions</w:t>
      </w:r>
    </w:p>
    <w:p>
      <w:pPr>
        <w:spacing w:after="0" w:line="183" w:lineRule="exact"/>
        <w:rPr>
          <w:sz w:val="20"/>
          <w:szCs w:val="20"/>
          <w:color w:val="auto"/>
        </w:rPr>
      </w:pPr>
    </w:p>
    <w:p>
      <w:pPr>
        <w:jc w:val="both"/>
        <w:ind w:firstLine="279"/>
        <w:spacing w:after="0" w:line="225" w:lineRule="auto"/>
        <w:rPr>
          <w:sz w:val="20"/>
          <w:szCs w:val="20"/>
          <w:color w:val="auto"/>
        </w:rPr>
      </w:pPr>
      <w:r>
        <w:rPr>
          <w:rFonts w:ascii="Times New Roman" w:cs="Times New Roman" w:eastAsia="Times New Roman" w:hAnsi="Times New Roman"/>
          <w:sz w:val="22"/>
          <w:szCs w:val="22"/>
          <w:color w:val="auto"/>
        </w:rPr>
        <w:t>The Compensation Committee may, subject to applicable law, seek recovery in the manner it chooses, including by seeking reimbursement from the Executive Officer of all or part of the compensation awarded or paid, by electing to withhold unpaid compensation, by set-off, or by rescinding or canceling unvested stock.</w:t>
      </w:r>
    </w:p>
    <w:p>
      <w:pPr>
        <w:spacing w:after="0" w:line="153" w:lineRule="exact"/>
        <w:rPr>
          <w:sz w:val="20"/>
          <w:szCs w:val="20"/>
          <w:color w:val="auto"/>
        </w:rPr>
      </w:pPr>
    </w:p>
    <w:p>
      <w:pPr>
        <w:jc w:val="both"/>
        <w:ind w:right="20" w:firstLine="296"/>
        <w:spacing w:after="0" w:line="236" w:lineRule="auto"/>
        <w:rPr>
          <w:sz w:val="20"/>
          <w:szCs w:val="20"/>
          <w:color w:val="auto"/>
        </w:rPr>
      </w:pPr>
      <w:r>
        <w:rPr>
          <w:rFonts w:ascii="Times New Roman" w:cs="Times New Roman" w:eastAsia="Times New Roman" w:hAnsi="Times New Roman"/>
          <w:sz w:val="22"/>
          <w:szCs w:val="22"/>
          <w:color w:val="auto"/>
        </w:rPr>
        <w:t>To the extent that the Executive Officer has already reimbursed the Company for any Erroneously Awarded Compensation received under any duplicative recovery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134333955v.4</w:t>
      </w:r>
    </w:p>
    <w:p>
      <w:pPr>
        <w:sectPr>
          <w:pgSz w:w="11900" w:h="16838" w:orient="portrait"/>
          <w:cols w:equalWidth="0" w:num="1">
            <w:col w:w="11240"/>
          </w:cols>
          <w:pgMar w:left="320" w:top="104" w:right="339" w:bottom="1440" w:gutter="0" w:footer="0" w:header="0"/>
        </w:sectPr>
      </w:pPr>
    </w:p>
    <w:bookmarkStart w:id="133" w:name="page134"/>
    <w:bookmarkEnd w:id="133"/>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established by the Company or applicable law, it shall be appropriate for any such reimbursed amount to be credited to the amount of Erroneously Awarded Compensation that is subject to recovery under this Policy.</w:t>
      </w:r>
    </w:p>
    <w:p>
      <w:pPr>
        <w:spacing w:after="0" w:line="150" w:lineRule="exact"/>
        <w:rPr>
          <w:sz w:val="20"/>
          <w:szCs w:val="20"/>
          <w:color w:val="auto"/>
        </w:rPr>
      </w:pPr>
    </w:p>
    <w:p>
      <w:pPr>
        <w:jc w:val="both"/>
        <w:ind w:firstLine="261"/>
        <w:spacing w:after="0" w:line="217" w:lineRule="auto"/>
        <w:rPr>
          <w:sz w:val="20"/>
          <w:szCs w:val="20"/>
          <w:color w:val="auto"/>
        </w:rPr>
      </w:pPr>
      <w:r>
        <w:rPr>
          <w:rFonts w:ascii="Times New Roman" w:cs="Times New Roman" w:eastAsia="Times New Roman" w:hAnsi="Times New Roman"/>
          <w:sz w:val="22"/>
          <w:szCs w:val="22"/>
          <w:color w:val="auto"/>
        </w:rPr>
        <w:t>To the extent that an Executive Officer fails to repay all Erroneously Awarded Compensation to the Company when due, the Company shall take all actions reasonable and appropriate to recover such Erroneously Awarded Compensation from the applicable Executive Officer. The applicable Executive Officer shall be required to reimburse the Company for any and all expenses reasonably incurred (including legal fees) by the Company in recovering such Erroneously Awarded Compensation in accordance with the immediately preceding sentence.</w:t>
      </w:r>
    </w:p>
    <w:p>
      <w:pPr>
        <w:spacing w:after="0" w:line="152" w:lineRule="exact"/>
        <w:rPr>
          <w:sz w:val="20"/>
          <w:szCs w:val="20"/>
          <w:color w:val="auto"/>
        </w:rPr>
      </w:pPr>
    </w:p>
    <w:p>
      <w:pPr>
        <w:jc w:val="both"/>
        <w:ind w:firstLine="255"/>
        <w:spacing w:after="0" w:line="236" w:lineRule="auto"/>
        <w:rPr>
          <w:sz w:val="20"/>
          <w:szCs w:val="20"/>
          <w:color w:val="auto"/>
        </w:rPr>
      </w:pPr>
      <w:r>
        <w:rPr>
          <w:rFonts w:ascii="Times New Roman" w:cs="Times New Roman" w:eastAsia="Times New Roman" w:hAnsi="Times New Roman"/>
          <w:sz w:val="21"/>
          <w:szCs w:val="21"/>
          <w:color w:val="auto"/>
        </w:rPr>
        <w:t>In the reasonable exercise of its business judgment under this Policy, the Compensation Committee may in its sole discretion determine whether and to what extent additional action is appropriate to address the circumstances surrounding an Accounting Restatement to minimize the likelihood of any recurrence and to impose such other discipline as it deems appropriate.</w:t>
      </w:r>
    </w:p>
    <w:p>
      <w:pPr>
        <w:spacing w:after="0" w:line="148"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or Reimbursement</w:t>
      </w:r>
    </w:p>
    <w:p>
      <w:pPr>
        <w:spacing w:after="0" w:line="183" w:lineRule="exact"/>
        <w:rPr>
          <w:sz w:val="20"/>
          <w:szCs w:val="20"/>
          <w:color w:val="auto"/>
        </w:rPr>
      </w:pPr>
    </w:p>
    <w:p>
      <w:pPr>
        <w:jc w:val="both"/>
        <w:ind w:firstLine="227"/>
        <w:spacing w:after="0" w:line="217" w:lineRule="auto"/>
        <w:rPr>
          <w:sz w:val="20"/>
          <w:szCs w:val="20"/>
          <w:color w:val="auto"/>
        </w:rPr>
      </w:pPr>
      <w:r>
        <w:rPr>
          <w:rFonts w:ascii="Times New Roman" w:cs="Times New Roman" w:eastAsia="Times New Roman" w:hAnsi="Times New Roman"/>
          <w:sz w:val="22"/>
          <w:szCs w:val="22"/>
          <w:color w:val="auto"/>
        </w:rPr>
        <w:t>Notwithstanding the terms of any other policy, program, agreement or arrangement, in no event will the Company or any of its affiliates indemnify or reimburse an Executive Officer for any loss of Erroneously Awarded Compensation, or any claims relating to the Company’s enforcement of its rights under this Policy and in no event will the Company or any of its affiliates pay premiums on any insurance policy that would cover an Executive Officer’s potential obligations with respect to Erroneously Awarded Compensation under this Policy.</w:t>
      </w:r>
    </w:p>
    <w:p>
      <w:pPr>
        <w:spacing w:after="0" w:line="148"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Claims and Rights</w:t>
      </w:r>
    </w:p>
    <w:p>
      <w:pPr>
        <w:spacing w:after="0" w:line="183" w:lineRule="exact"/>
        <w:rPr>
          <w:sz w:val="20"/>
          <w:szCs w:val="20"/>
          <w:color w:val="auto"/>
        </w:rPr>
      </w:pPr>
    </w:p>
    <w:p>
      <w:pPr>
        <w:jc w:val="both"/>
        <w:ind w:firstLine="239"/>
        <w:spacing w:after="0" w:line="220" w:lineRule="auto"/>
        <w:rPr>
          <w:sz w:val="20"/>
          <w:szCs w:val="20"/>
          <w:color w:val="auto"/>
        </w:rPr>
      </w:pPr>
      <w:r>
        <w:rPr>
          <w:rFonts w:ascii="Times New Roman" w:cs="Times New Roman" w:eastAsia="Times New Roman" w:hAnsi="Times New Roman"/>
          <w:sz w:val="22"/>
          <w:szCs w:val="22"/>
          <w:color w:val="auto"/>
        </w:rPr>
        <w:t>The remedies under this Policy are in addition to, and not in lieu of, any legal and equitable claims the Company or any of its affiliates may have or any actions that may be imposed by law enforcement agencies, regulators, administrative bodies, or other authorities. Further, the exercise by the Compensation Committee of any rights pursuant to this Policy will not impact any other rights that the Company or any of its affiliates may have with respect to any Covered Person subject to this Policy.</w:t>
      </w:r>
    </w:p>
    <w:p>
      <w:pPr>
        <w:spacing w:after="0" w:line="148" w:lineRule="exact"/>
        <w:rPr>
          <w:sz w:val="20"/>
          <w:szCs w:val="20"/>
          <w:color w:val="auto"/>
        </w:rPr>
      </w:pPr>
    </w:p>
    <w:p>
      <w:pPr>
        <w:ind w:left="380" w:hanging="372"/>
        <w:spacing w:after="0"/>
        <w:tabs>
          <w:tab w:leader="none" w:pos="38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Acknowledgement by Executive Officers; Condition to Eligibility for Incentive Compensation</w:t>
      </w:r>
    </w:p>
    <w:p>
      <w:pPr>
        <w:spacing w:after="0" w:line="183" w:lineRule="exact"/>
        <w:rPr>
          <w:sz w:val="20"/>
          <w:szCs w:val="20"/>
          <w:color w:val="auto"/>
        </w:rPr>
      </w:pPr>
    </w:p>
    <w:p>
      <w:pPr>
        <w:jc w:val="both"/>
        <w:ind w:firstLine="336"/>
        <w:spacing w:after="0" w:line="215" w:lineRule="auto"/>
        <w:rPr>
          <w:sz w:val="20"/>
          <w:szCs w:val="20"/>
          <w:color w:val="auto"/>
        </w:rPr>
      </w:pPr>
      <w:r>
        <w:rPr>
          <w:rFonts w:ascii="Times New Roman" w:cs="Times New Roman" w:eastAsia="Times New Roman" w:hAnsi="Times New Roman"/>
          <w:sz w:val="22"/>
          <w:szCs w:val="22"/>
          <w:color w:val="auto"/>
        </w:rPr>
        <w:t>The Company will provide notice and seek acknowledgement of this Policy from each Executive Officer (see Exhibit A attached hereto), provided that the failure to provide such notice or obtain such acknowledgement will have no impact on the applicability or enforceability of this Policy. After the Effective Date, the Company must be in receipt of an Executive Officer’s acknowledgement as a condition to such Executive Officer’s eligibility to receive Incentive-based Compensation. All Incentive-based Compensation subject to this Policy will not be earned, even if already paid, until the Policy ceases to apply to such Incentive-based Compensation and any other vesting conditions applicable to such Incentive Compensation are satisfied.</w:t>
      </w:r>
    </w:p>
    <w:p>
      <w:pPr>
        <w:spacing w:after="0" w:line="148" w:lineRule="exact"/>
        <w:rPr>
          <w:sz w:val="20"/>
          <w:szCs w:val="20"/>
          <w:color w:val="auto"/>
        </w:rPr>
      </w:pPr>
    </w:p>
    <w:p>
      <w:pPr>
        <w:ind w:left="380" w:hanging="372"/>
        <w:spacing w:after="0"/>
        <w:tabs>
          <w:tab w:leader="none" w:pos="38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w:t>
      </w:r>
    </w:p>
    <w:p>
      <w:pPr>
        <w:spacing w:after="0" w:line="183" w:lineRule="exact"/>
        <w:rPr>
          <w:sz w:val="20"/>
          <w:szCs w:val="20"/>
          <w:color w:val="auto"/>
        </w:rPr>
      </w:pPr>
    </w:p>
    <w:p>
      <w:pPr>
        <w:ind w:right="20" w:firstLine="266"/>
        <w:spacing w:after="0" w:line="236" w:lineRule="auto"/>
        <w:rPr>
          <w:sz w:val="20"/>
          <w:szCs w:val="20"/>
          <w:color w:val="auto"/>
        </w:rPr>
      </w:pPr>
      <w:r>
        <w:rPr>
          <w:rFonts w:ascii="Times New Roman" w:cs="Times New Roman" w:eastAsia="Times New Roman" w:hAnsi="Times New Roman"/>
          <w:sz w:val="22"/>
          <w:szCs w:val="22"/>
          <w:color w:val="auto"/>
        </w:rPr>
        <w:t>The Board may amend this Policy from time to time in its discretion or as it deems necessary. No amendment to this Policy shall be effective if such amendment would (after 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134333955v.4</w:t>
      </w:r>
    </w:p>
    <w:p>
      <w:pPr>
        <w:sectPr>
          <w:pgSz w:w="11900" w:h="16838" w:orient="portrait"/>
          <w:cols w:equalWidth="0" w:num="1">
            <w:col w:w="11240"/>
          </w:cols>
          <w:pgMar w:left="320" w:top="1394" w:right="339" w:bottom="1440" w:gutter="0" w:footer="0" w:header="0"/>
        </w:sectPr>
      </w:pPr>
    </w:p>
    <w:bookmarkStart w:id="134" w:name="page135"/>
    <w:bookmarkEnd w:id="134"/>
    <w:p>
      <w:pPr>
        <w:spacing w:after="0" w:line="236" w:lineRule="auto"/>
        <w:rPr>
          <w:sz w:val="20"/>
          <w:szCs w:val="20"/>
          <w:color w:val="auto"/>
        </w:rPr>
      </w:pPr>
      <w:r>
        <w:rPr>
          <w:rFonts w:ascii="Times New Roman" w:cs="Times New Roman" w:eastAsia="Times New Roman" w:hAnsi="Times New Roman"/>
          <w:sz w:val="22"/>
          <w:szCs w:val="22"/>
          <w:color w:val="auto"/>
        </w:rPr>
        <w:t>into account any actions taken by the Company contemporaneously with such amendment) cause the Company to violate any federal securities laws, SEC rule or Nasdaq Rule.</w:t>
      </w:r>
    </w:p>
    <w:p>
      <w:pPr>
        <w:spacing w:after="0" w:line="146" w:lineRule="exact"/>
        <w:rPr>
          <w:sz w:val="20"/>
          <w:szCs w:val="20"/>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Effectiveness</w:t>
      </w:r>
    </w:p>
    <w:p>
      <w:pPr>
        <w:spacing w:after="0" w:line="183" w:lineRule="exact"/>
        <w:rPr>
          <w:sz w:val="20"/>
          <w:szCs w:val="20"/>
          <w:color w:val="auto"/>
        </w:rPr>
      </w:pPr>
    </w:p>
    <w:p>
      <w:pPr>
        <w:jc w:val="both"/>
        <w:ind w:firstLine="316"/>
        <w:spacing w:after="0" w:line="225" w:lineRule="auto"/>
        <w:rPr>
          <w:sz w:val="20"/>
          <w:szCs w:val="20"/>
          <w:color w:val="auto"/>
        </w:rPr>
      </w:pPr>
      <w:r>
        <w:rPr>
          <w:rFonts w:ascii="Times New Roman" w:cs="Times New Roman" w:eastAsia="Times New Roman" w:hAnsi="Times New Roman"/>
          <w:sz w:val="22"/>
          <w:szCs w:val="22"/>
          <w:color w:val="auto"/>
        </w:rPr>
        <w:t>Except as otherwise determined in writing by the Compensation Committee, this Policy will apply to any Incentive-based Compensation that is Received by an Executive Officer on or after the Effective Date. This Policy will survive and continue notwithstanding any termination of an Executive Officer’s employment with the Company and its affiliates.</w:t>
      </w:r>
    </w:p>
    <w:p>
      <w:pPr>
        <w:spacing w:after="0" w:line="148" w:lineRule="exact"/>
        <w:rPr>
          <w:sz w:val="20"/>
          <w:szCs w:val="20"/>
          <w:color w:val="auto"/>
        </w:rPr>
      </w:pPr>
    </w:p>
    <w:p>
      <w:pPr>
        <w:ind w:left="500" w:hanging="492"/>
        <w:spacing w:after="0"/>
        <w:tabs>
          <w:tab w:leader="none" w:pos="50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w:t>
      </w:r>
    </w:p>
    <w:p>
      <w:pPr>
        <w:spacing w:after="0" w:line="183" w:lineRule="exact"/>
        <w:rPr>
          <w:sz w:val="20"/>
          <w:szCs w:val="20"/>
          <w:color w:val="auto"/>
        </w:rPr>
      </w:pPr>
    </w:p>
    <w:p>
      <w:pPr>
        <w:ind w:firstLine="220"/>
        <w:spacing w:after="0" w:line="236" w:lineRule="auto"/>
        <w:rPr>
          <w:sz w:val="20"/>
          <w:szCs w:val="20"/>
          <w:color w:val="auto"/>
        </w:rPr>
      </w:pPr>
      <w:r>
        <w:rPr>
          <w:rFonts w:ascii="Times New Roman" w:cs="Times New Roman" w:eastAsia="Times New Roman" w:hAnsi="Times New Roman"/>
          <w:sz w:val="22"/>
          <w:szCs w:val="22"/>
          <w:color w:val="auto"/>
        </w:rPr>
        <w:t>This Policy shall be binding and enforceable against all Executive Officers and their successors, beneficiaries, heirs, executors, administrators, or other legal representatives.</w:t>
      </w:r>
    </w:p>
    <w:p>
      <w:pPr>
        <w:spacing w:after="0" w:line="146" w:lineRule="exact"/>
        <w:rPr>
          <w:sz w:val="20"/>
          <w:szCs w:val="20"/>
          <w:color w:val="auto"/>
        </w:rPr>
      </w:pPr>
    </w:p>
    <w:p>
      <w:pPr>
        <w:ind w:left="480" w:hanging="472"/>
        <w:spacing w:after="0"/>
        <w:tabs>
          <w:tab w:leader="none" w:pos="48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 of Terms</w:t>
      </w:r>
    </w:p>
    <w:p>
      <w:pPr>
        <w:spacing w:after="0" w:line="17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Accounting Restatement</w:t>
      </w:r>
      <w:r>
        <w:rPr>
          <w:rFonts w:ascii="Times New Roman" w:cs="Times New Roman" w:eastAsia="Times New Roman" w:hAnsi="Times New Roman"/>
          <w:sz w:val="22"/>
          <w:szCs w:val="22"/>
          <w:color w:val="auto"/>
        </w:rPr>
        <w:t>” means a restatement of any of the Company’s financial statements filed with the Securities and Exchange Commission under the Exchange Act, or the Securities Act of 1933, as amended, due to the Company’s material noncompliance with any financial reporting requirement under U.S. securities laws, regardless of whether the Company or Executive Officer misconduct was the cause for such accounting restatement. “Accounting Restatement” includes any accounting restatement the Company is required to prepare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Compensation Committee</w:t>
      </w:r>
      <w:r>
        <w:rPr>
          <w:rFonts w:ascii="Times New Roman" w:cs="Times New Roman" w:eastAsia="Times New Roman" w:hAnsi="Times New Roman"/>
          <w:sz w:val="22"/>
          <w:szCs w:val="22"/>
          <w:color w:val="auto"/>
        </w:rPr>
        <w:t>” means the Company’s committee responsible for executive compensation decisions, or in the absence of such a committee, a majority of the independent directors serving on the Board.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October 2, 2023.</w:t>
      </w:r>
    </w:p>
    <w:p>
      <w:pPr>
        <w:spacing w:after="0" w:line="179"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any Incentive-based Compensation (calculated on a pre-tax basis) Received by an Executive Officer during the Time Period Covered that is in excess of the amount that otherwise would have been Received if the calculation were based on the Accounting Restatement. For the avoidance of doubt, Erroneously Awarded Compensation does not include any Incentive-based Compensation Received by a person (i) before such person began service in a position or capacity meeting the definition of an “Executive Officer,” (ii) who did not serve as an Executive Officer at any time during the performance period relating to any Incentive-based Compensation, or (iii) during any period the Company did not have a class of its securities listed on a national securities exchange or a national securities association. For Incentive-based Compensation based on (or derived from) stock price or total shareholder return where the amount of Erroneously Awarded Compensation is not subject to mathematical recalculation directly from the information in the applicable Accounting Restatement, the amount will be determined by the Compensation Committee based on a reasonable estimate of the effect of the Accounting Restatement on the stock price or total shareholder return upon which the Incentive-based Compensation was Received (in which case, the Company will maintain documentation of such determination of that reasonable estimate and provide such documentation to the Company’s applicable listing exchange).</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Executive Officer</w:t>
      </w:r>
      <w:r>
        <w:rPr>
          <w:rFonts w:ascii="Times New Roman" w:cs="Times New Roman" w:eastAsia="Times New Roman" w:hAnsi="Times New Roman"/>
          <w:sz w:val="22"/>
          <w:szCs w:val="22"/>
          <w:color w:val="auto"/>
        </w:rPr>
        <w:t>” means the Company’s president, principal financial officer, principal accounting officer (or if there is no such accounting officer, the controller), any vice-president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134333955v.4</w:t>
      </w:r>
    </w:p>
    <w:p>
      <w:pPr>
        <w:sectPr>
          <w:pgSz w:w="11900" w:h="16838" w:orient="portrait"/>
          <w:cols w:equalWidth="0" w:num="1">
            <w:col w:w="11240"/>
          </w:cols>
          <w:pgMar w:left="320" w:top="1394" w:right="339" w:bottom="1440" w:gutter="0" w:footer="0" w:header="0"/>
        </w:sectPr>
      </w:pPr>
    </w:p>
    <w:bookmarkStart w:id="135" w:name="page136"/>
    <w:bookmarkEnd w:id="135"/>
    <w:p>
      <w:pPr>
        <w:jc w:val="both"/>
        <w:spacing w:after="0" w:line="217" w:lineRule="auto"/>
        <w:rPr>
          <w:sz w:val="20"/>
          <w:szCs w:val="20"/>
          <w:color w:val="auto"/>
        </w:rPr>
      </w:pPr>
      <w:r>
        <w:rPr>
          <w:rFonts w:ascii="Times New Roman" w:cs="Times New Roman" w:eastAsia="Times New Roman" w:hAnsi="Times New Roman"/>
          <w:sz w:val="22"/>
          <w:szCs w:val="22"/>
          <w:color w:val="auto"/>
        </w:rPr>
        <w:t>the issuer in charge of a principal business unit, division, or function (such as sales, administration, or finance), any other officer who performs a policy-making function, or any other person who performs similar policymaking functions for the issuer. Executive officers of an issuer’s parent(s) or subsidiaries are deemed executive officers of the issuer if they perform such policy making functions for the issuer. The identification of an executive officer for purposes of this Policy shall include each executive officer who is or was identified pursuant to Item 401(b) of Regulation S-K.</w:t>
      </w:r>
    </w:p>
    <w:p>
      <w:pPr>
        <w:spacing w:after="0" w:line="14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w:t>
      </w:r>
      <w:r>
        <w:rPr>
          <w:rFonts w:ascii="Times New Roman" w:cs="Times New Roman" w:eastAsia="Times New Roman" w:hAnsi="Times New Roman"/>
          <w:sz w:val="22"/>
          <w:szCs w:val="22"/>
          <w:color w:val="auto"/>
        </w:rPr>
        <w:t>” means a measure that is determined and presented in accordance with the accounting principles used in preparing the Company’s financial statements (including “non-GAAP” financial measures, such as those appearing in the Company’s earnings releases or Management Discussion and Analysis), and any measure that is derived wholly or in part from such measure. Stock price and total shareholder return (and any measures derived wholly or in part therefrom) shall, for purposes of this Policy, be considered Financial Reporting Measures. For the avoidance of doubt, a Financial Reporting Measure need not be presented in the Company’s financial statements or included in a filing with the SEC.</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Either of the following three conditions is met and the Compensation Committee has determined that recovery would be impracticable:</w:t>
      </w:r>
    </w:p>
    <w:p>
      <w:pPr>
        <w:spacing w:after="0" w:line="150" w:lineRule="exact"/>
        <w:rPr>
          <w:sz w:val="20"/>
          <w:szCs w:val="20"/>
          <w:color w:val="auto"/>
        </w:rPr>
      </w:pPr>
    </w:p>
    <w:p>
      <w:pPr>
        <w:jc w:val="both"/>
        <w:ind w:left="660" w:hanging="4"/>
        <w:spacing w:after="0" w:line="220" w:lineRule="auto"/>
        <w:tabs>
          <w:tab w:leader="none" w:pos="93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Compensation Committee has determined that the direct expense paid to a third party to assist in enforcing this Policy would exceed the amount to be recovered after the Company has (A) made a reasonable attempt to recover the Erroneously Awarded Compensation and (B) documented such attempts and provided documentation of such attempts to recover to the Company’s applicable listing exchange;</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20" w:lineRule="auto"/>
        <w:tabs>
          <w:tab w:leader="none" w:pos="103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violate home country law where that law was adopted prior to November 28, 2022. Before concluding that it would be impracticable to recover any amount of erroneously awarded compensation based on violation of home country law, the Company must obtain an opinion of home country counsel, acceptable to Nasdaq, that recovery would result in such a violation, and must provide such opinion to Nasdaq; or</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25" w:lineRule="auto"/>
        <w:tabs>
          <w:tab w:leader="none" w:pos="10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qualifications and other applicable requirements of the Internal Revenue Code of 1986, as amended, and regulations thereunder.</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spacing w:after="0" w:line="14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Received.</w:t>
      </w:r>
      <w:r>
        <w:rPr>
          <w:rFonts w:ascii="Times New Roman" w:cs="Times New Roman" w:eastAsia="Times New Roman" w:hAnsi="Times New Roman"/>
          <w:sz w:val="22"/>
          <w:szCs w:val="22"/>
          <w:color w:val="auto"/>
        </w:rPr>
        <w:t>”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spacing w:after="0" w:line="14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Time Period Covered</w:t>
      </w:r>
      <w:r>
        <w:rPr>
          <w:rFonts w:ascii="Times New Roman" w:cs="Times New Roman" w:eastAsia="Times New Roman" w:hAnsi="Times New Roman"/>
          <w:sz w:val="22"/>
          <w:szCs w:val="22"/>
          <w:color w:val="auto"/>
        </w:rPr>
        <w:t>” means, with respect to any Accounting Restatement, the three completed fiscal years of the Company immediately preceding the earlier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regulator, court or other legally authorized entity directs the Company to undertake an Accounting Restatement. The “</w:t>
      </w:r>
      <w:r>
        <w:rPr>
          <w:rFonts w:ascii="Times New Roman" w:cs="Times New Roman" w:eastAsia="Times New Roman" w:hAnsi="Times New Roman"/>
          <w:sz w:val="22"/>
          <w:szCs w:val="22"/>
          <w:i w:val="1"/>
          <w:iCs w:val="1"/>
          <w:color w:val="auto"/>
        </w:rPr>
        <w:t>Time Period Covered</w:t>
      </w:r>
      <w:r>
        <w:rPr>
          <w:rFonts w:ascii="Times New Roman" w:cs="Times New Roman" w:eastAsia="Times New Roman" w:hAnsi="Times New Roman"/>
          <w:sz w:val="22"/>
          <w:szCs w:val="22"/>
          <w:color w:val="auto"/>
        </w:rPr>
        <w:t>” also includes any transition period of less than nine months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134333955v.4</w:t>
      </w:r>
    </w:p>
    <w:p>
      <w:pPr>
        <w:sectPr>
          <w:pgSz w:w="11900" w:h="16838" w:orient="portrait"/>
          <w:cols w:equalWidth="0" w:num="1">
            <w:col w:w="11240"/>
          </w:cols>
          <w:pgMar w:left="320" w:top="1394" w:right="339" w:bottom="1440" w:gutter="0" w:footer="0" w:header="0"/>
        </w:sectPr>
      </w:pPr>
    </w:p>
    <w:bookmarkStart w:id="136" w:name="page137"/>
    <w:bookmarkEnd w:id="136"/>
    <w:p>
      <w:pPr>
        <w:spacing w:after="0" w:line="236" w:lineRule="auto"/>
        <w:rPr>
          <w:sz w:val="20"/>
          <w:szCs w:val="20"/>
          <w:color w:val="auto"/>
        </w:rPr>
      </w:pPr>
      <w:r>
        <w:rPr>
          <w:rFonts w:ascii="Times New Roman" w:cs="Times New Roman" w:eastAsia="Times New Roman" w:hAnsi="Times New Roman"/>
          <w:sz w:val="22"/>
          <w:szCs w:val="22"/>
          <w:color w:val="auto"/>
        </w:rPr>
        <w:t>results from a change in the Company’s fiscal year) within or immediately following the three completed fiscal years identified in the preceding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134333955v.4</w:t>
      </w:r>
    </w:p>
    <w:p>
      <w:pPr>
        <w:sectPr>
          <w:pgSz w:w="11900" w:h="16838" w:orient="portrait"/>
          <w:cols w:equalWidth="0" w:num="1">
            <w:col w:w="11240"/>
          </w:cols>
          <w:pgMar w:left="320" w:top="1394" w:right="339" w:bottom="1440" w:gutter="0" w:footer="0" w:header="0"/>
        </w:sectPr>
      </w:pPr>
    </w:p>
    <w:bookmarkStart w:id="137" w:name="page138"/>
    <w:bookmarkEnd w:id="137"/>
    <w:p>
      <w:pPr>
        <w:ind w:left="5200"/>
        <w:spacing w:after="0"/>
        <w:rPr>
          <w:sz w:val="20"/>
          <w:szCs w:val="20"/>
          <w:color w:val="auto"/>
        </w:rPr>
      </w:pPr>
      <w:r>
        <w:rPr>
          <w:rFonts w:ascii="Times New Roman" w:cs="Times New Roman" w:eastAsia="Times New Roman" w:hAnsi="Times New Roman"/>
          <w:sz w:val="22"/>
          <w:szCs w:val="22"/>
          <w:color w:val="auto"/>
        </w:rPr>
        <w:t>Exhibit A</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ATTESTATION AND ACKNOWLEDGEMENT OF POLICY FOR THE RECOVERY OF ERRONEOUSLY</w:t>
      </w:r>
    </w:p>
    <w:p>
      <w:pPr>
        <w:spacing w:after="0" w:line="3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AWARDED COMPENSATION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my signature below, I acknowledge and agree that:</w:t>
      </w:r>
    </w:p>
    <w:p>
      <w:pPr>
        <w:spacing w:after="0" w:line="220"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received and read the attached Policy for the Recovery of Erroneously Awarded Compensation (this “Policy”).</w:t>
      </w:r>
    </w:p>
    <w:p>
      <w:pPr>
        <w:spacing w:after="0" w:line="273" w:lineRule="exact"/>
        <w:rPr>
          <w:rFonts w:ascii="Times New Roman" w:cs="Times New Roman" w:eastAsia="Times New Roman" w:hAnsi="Times New Roman"/>
          <w:sz w:val="22"/>
          <w:szCs w:val="22"/>
          <w:color w:val="auto"/>
        </w:rPr>
      </w:pPr>
    </w:p>
    <w:p>
      <w:pPr>
        <w:ind w:left="660" w:hanging="328"/>
        <w:spacing w:after="0" w:line="289" w:lineRule="auto"/>
        <w:tabs>
          <w:tab w:leader="none" w:pos="65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hereby agree to abide by all of the terms of this Policy both during and after my employment with the Company, including, without limitation, by promptly repaying or returning any Erroneously Awarded Compensation to the Company as determined in accordance with this Policy.</w:t>
      </w:r>
    </w:p>
    <w:p>
      <w:pPr>
        <w:spacing w:after="0" w:line="19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Signature:</w:t>
      </w:r>
    </w:p>
    <w:p>
      <w:pPr>
        <w:spacing w:after="0" w:line="2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Printed Name:</w:t>
      </w:r>
    </w:p>
    <w:p>
      <w:pPr>
        <w:spacing w:after="0" w:line="28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134333955v.4</w:t>
      </w:r>
    </w:p>
    <w:sectPr>
      <w:pgSz w:w="11900" w:h="16838" w:orient="portrait"/>
      <w:cols w:equalWidth="0" w:num="1">
        <w:col w:w="11240"/>
      </w:cols>
      <w:pgMar w:left="320" w:top="14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lvl w:ilvl="1">
      <w:lvlJc w:val="left"/>
      <w:lvlText w:val="x"/>
      <w:numFmt w:val="bullet"/>
      <w:start w:val="1"/>
    </w:lvl>
  </w:abstractNum>
  <w:abstractNum w:abstractNumId="1">
    <w:nsid w:val="54E49EB4"/>
    <w:multiLevelType w:val="hybridMultilevel"/>
    <w:lvl w:ilvl="0">
      <w:lvlJc w:val="left"/>
      <w:lvlText w:val="(%1)"/>
      <w:numFmt w:val="lowerRoman"/>
      <w:start w:val="9"/>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3"/>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lowerRoman"/>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lowerRoman"/>
      <w:start w:val="3"/>
    </w:lvl>
  </w:abstractNum>
  <w:abstractNum w:abstractNumId="21">
    <w:nsid w:val="77465F01"/>
    <w:multiLevelType w:val="hybridMultilevel"/>
    <w:lvl w:ilvl="0">
      <w:lvlJc w:val="left"/>
      <w:lvlText w:val="(%1)"/>
      <w:numFmt w:val="lowerRoman"/>
      <w:start w:val="3"/>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4"/>
    </w:lvl>
  </w:abstractNum>
  <w:abstractNum w:abstractNumId="26">
    <w:nsid w:val="51EAD36B"/>
    <w:multiLevelType w:val="hybridMultilevel"/>
    <w:lvl w:ilvl="0">
      <w:lvlJc w:val="left"/>
      <w:lvlText w:val="(%1)"/>
      <w:numFmt w:val="decimal"/>
      <w:start w:val="7"/>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4"/>
    </w:lvl>
  </w:abstractNum>
  <w:abstractNum w:abstractNumId="32">
    <w:nsid w:val="6A2342EC"/>
    <w:multiLevelType w:val="hybridMultilevel"/>
    <w:lvl w:ilvl="0">
      <w:lvlJc w:val="left"/>
      <w:lvlText w:val="(%1)"/>
      <w:numFmt w:val="upperLetter"/>
      <w:start w:val="1"/>
    </w:lvl>
  </w:abstractNum>
  <w:abstractNum w:abstractNumId="33">
    <w:nsid w:val="2A487CB0"/>
    <w:multiLevelType w:val="hybridMultilevel"/>
    <w:lvl w:ilvl="0">
      <w:lvlJc w:val="left"/>
      <w:lvlText w:val="%1."/>
      <w:numFmt w:val="decimal"/>
      <w:start w:val="2"/>
    </w:lvl>
  </w:abstractNum>
  <w:abstractNum w:abstractNumId="34">
    <w:nsid w:val="1D4ED43B"/>
    <w:multiLevelType w:val="hybridMultilevel"/>
    <w:lvl w:ilvl="0">
      <w:lvlJc w:val="left"/>
      <w:lvlText w:val="%1."/>
      <w:numFmt w:val="decimal"/>
      <w:start w:val="3"/>
    </w:lvl>
  </w:abstractNum>
  <w:abstractNum w:abstractNumId="35">
    <w:nsid w:val="725A06FB"/>
    <w:multiLevelType w:val="hybridMultilevel"/>
    <w:lvl w:ilvl="0">
      <w:lvlJc w:val="left"/>
      <w:lvlText w:val="%1"/>
      <w:numFmt w:val="decimal"/>
      <w:start w:val="101"/>
    </w:lvl>
  </w:abstractNum>
  <w:abstractNum w:abstractNumId="36">
    <w:nsid w:val="2CD89A32"/>
    <w:multiLevelType w:val="hybridMultilevel"/>
    <w:lvl w:ilvl="0">
      <w:lvlJc w:val="left"/>
      <w:lvlText w:val="*"/>
      <w:numFmt w:val="bullet"/>
      <w:start w:val="1"/>
    </w:lvl>
    <w:lvl w:ilvl="1">
      <w:lvlJc w:val="left"/>
      <w:lvlText w:val="%2"/>
      <w:numFmt w:val="decimal"/>
      <w:start w:val="104"/>
    </w:lvl>
  </w:abstractNum>
  <w:abstractNum w:abstractNumId="37">
    <w:nsid w:val="57E4CCAF"/>
    <w:multiLevelType w:val="hybridMultilevel"/>
    <w:lvl w:ilvl="0">
      <w:lvlJc w:val="left"/>
      <w:lvlText w:val="%1."/>
      <w:numFmt w:val="decimal"/>
      <w:start w:val="1"/>
    </w:lvl>
    <w:lvl w:ilvl="1">
      <w:lvlJc w:val="left"/>
      <w:lvlText w:val="(%2)"/>
      <w:numFmt w:val="lowerLetter"/>
      <w:start w:val="1"/>
    </w:lvl>
  </w:abstractNum>
  <w:abstractNum w:abstractNumId="38">
    <w:nsid w:val="7A6D8D3C"/>
    <w:multiLevelType w:val="hybridMultilevel"/>
    <w:lvl w:ilvl="0">
      <w:lvlJc w:val="left"/>
      <w:lvlText w:val="%1."/>
      <w:numFmt w:val="decimal"/>
      <w:start w:val="1"/>
    </w:lvl>
    <w:lvl w:ilvl="1">
      <w:lvlJc w:val="left"/>
      <w:lvlText w:val="(%2)"/>
      <w:numFmt w:val="lowerLetter"/>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2"/>
    </w:lvl>
  </w:abstractNum>
  <w:abstractNum w:abstractNumId="41">
    <w:nsid w:val="6DE91B18"/>
    <w:multiLevelType w:val="hybridMultilevel"/>
    <w:lvl w:ilvl="0">
      <w:lvlJc w:val="left"/>
      <w:lvlText w:val="%1."/>
      <w:numFmt w:val="decimal"/>
      <w:start w:val="3"/>
    </w:lvl>
  </w:abstractNum>
  <w:abstractNum w:abstractNumId="42">
    <w:nsid w:val="38437FDB"/>
    <w:multiLevelType w:val="hybridMultilevel"/>
    <w:lvl w:ilvl="0">
      <w:lvlJc w:val="left"/>
      <w:lvlText w:val="%1."/>
      <w:numFmt w:val="decimal"/>
      <w:start w:val="4"/>
    </w:lvl>
  </w:abstractNum>
  <w:abstractNum w:abstractNumId="43">
    <w:nsid w:val="7644A45C"/>
    <w:multiLevelType w:val="hybridMultilevel"/>
    <w:lvl w:ilvl="0">
      <w:lvlJc w:val="left"/>
      <w:lvlText w:val="%1."/>
      <w:numFmt w:val="decimal"/>
      <w:start w:val="5"/>
    </w:lvl>
  </w:abstractNum>
  <w:abstractNum w:abstractNumId="44">
    <w:nsid w:val="32FFF902"/>
    <w:multiLevelType w:val="hybridMultilevel"/>
    <w:lvl w:ilvl="0">
      <w:lvlJc w:val="left"/>
      <w:lvlText w:val="%1."/>
      <w:numFmt w:val="decimal"/>
      <w:start w:val="6"/>
    </w:lvl>
  </w:abstractNum>
  <w:abstractNum w:abstractNumId="45">
    <w:nsid w:val="684A481A"/>
    <w:multiLevelType w:val="hybridMultilevel"/>
    <w:lvl w:ilvl="0">
      <w:lvlJc w:val="left"/>
      <w:lvlText w:val="%1."/>
      <w:numFmt w:val="decimal"/>
      <w:start w:val="7"/>
    </w:lvl>
  </w:abstractNum>
  <w:abstractNum w:abstractNumId="46">
    <w:nsid w:val="579478FE"/>
    <w:multiLevelType w:val="hybridMultilevel"/>
    <w:lvl w:ilvl="0">
      <w:lvlJc w:val="left"/>
      <w:lvlText w:val="%1."/>
      <w:numFmt w:val="decimal"/>
      <w:start w:val="8"/>
    </w:lvl>
  </w:abstractNum>
  <w:abstractNum w:abstractNumId="47">
    <w:nsid w:val="749ABB43"/>
    <w:multiLevelType w:val="hybridMultilevel"/>
    <w:lvl w:ilvl="0">
      <w:lvlJc w:val="left"/>
      <w:lvlText w:val="%1."/>
      <w:numFmt w:val="decimal"/>
      <w:start w:val="9"/>
    </w:lvl>
  </w:abstractNum>
  <w:abstractNum w:abstractNumId="48">
    <w:nsid w:val="3DC240FB"/>
    <w:multiLevelType w:val="hybridMultilevel"/>
    <w:lvl w:ilvl="0">
      <w:lvlJc w:val="left"/>
      <w:lvlText w:val="%1."/>
      <w:numFmt w:val="decimal"/>
      <w:start w:val="10"/>
    </w:lvl>
  </w:abstractNum>
  <w:abstractNum w:abstractNumId="49">
    <w:nsid w:val="1BA026FA"/>
    <w:multiLevelType w:val="hybridMultilevel"/>
    <w:lvl w:ilvl="0">
      <w:lvlJc w:val="left"/>
      <w:lvlText w:val="%1."/>
      <w:numFmt w:val="decimal"/>
      <w:start w:val="11"/>
    </w:lvl>
  </w:abstractNum>
  <w:abstractNum w:abstractNumId="50">
    <w:nsid w:val="79A1DEAA"/>
    <w:multiLevelType w:val="hybridMultilevel"/>
    <w:lvl w:ilvl="0">
      <w:lvlJc w:val="left"/>
      <w:lvlText w:val="(%1)"/>
      <w:numFmt w:val="lowerRoman"/>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93" Type="http://schemas.openxmlformats.org/officeDocument/2006/relationships/image" Target="media/image151.png"/><Relationship Id="rId194" Type="http://schemas.openxmlformats.org/officeDocument/2006/relationships/image" Target="media/image152.png"/><Relationship Id="rId202" Type="http://schemas.openxmlformats.org/officeDocument/2006/relationships/image" Target="media/image153.png"/><Relationship Id="rId206" Type="http://schemas.openxmlformats.org/officeDocument/2006/relationships/image" Target="media/image154.png"/><Relationship Id="rId211" Type="http://schemas.openxmlformats.org/officeDocument/2006/relationships/image" Target="media/image155.png"/><Relationship Id="rId212" Type="http://schemas.openxmlformats.org/officeDocument/2006/relationships/image" Target="media/image156.png"/><Relationship Id="rId226" Type="http://schemas.openxmlformats.org/officeDocument/2006/relationships/image" Target="media/image157.png"/><Relationship Id="rId227" Type="http://schemas.openxmlformats.org/officeDocument/2006/relationships/image" Target="media/image158.png"/><Relationship Id="rId238" Type="http://schemas.openxmlformats.org/officeDocument/2006/relationships/image" Target="media/image159.png"/><Relationship Id="rId239" Type="http://schemas.openxmlformats.org/officeDocument/2006/relationships/image" Target="media/image160.png"/><Relationship Id="rId248" Type="http://schemas.openxmlformats.org/officeDocument/2006/relationships/image" Target="media/image161.png"/><Relationship Id="rId249" Type="http://schemas.openxmlformats.org/officeDocument/2006/relationships/image" Target="media/image162.png"/><Relationship Id="rId259" Type="http://schemas.openxmlformats.org/officeDocument/2006/relationships/image" Target="media/image163.png"/><Relationship Id="rId260" Type="http://schemas.openxmlformats.org/officeDocument/2006/relationships/image" Target="media/image164.png"/><Relationship Id="rId268" Type="http://schemas.openxmlformats.org/officeDocument/2006/relationships/image" Target="media/image165.png"/><Relationship Id="rId275" Type="http://schemas.openxmlformats.org/officeDocument/2006/relationships/image" Target="media/image166.png"/><Relationship Id="rId276" Type="http://schemas.openxmlformats.org/officeDocument/2006/relationships/image" Target="media/image167.png"/><Relationship Id="rId277" Type="http://schemas.openxmlformats.org/officeDocument/2006/relationships/image" Target="media/image168.png"/><Relationship Id="rId286" Type="http://schemas.openxmlformats.org/officeDocument/2006/relationships/image" Target="media/image169.png"/><Relationship Id="rId287" Type="http://schemas.openxmlformats.org/officeDocument/2006/relationships/image" Target="media/image170.png"/><Relationship Id="rId288" Type="http://schemas.openxmlformats.org/officeDocument/2006/relationships/image" Target="media/image171.png"/><Relationship Id="rId289" Type="http://schemas.openxmlformats.org/officeDocument/2006/relationships/image" Target="media/image172.png"/><Relationship Id="rId290" Type="http://schemas.openxmlformats.org/officeDocument/2006/relationships/image" Target="media/image173.png"/><Relationship Id="rId291" Type="http://schemas.openxmlformats.org/officeDocument/2006/relationships/image" Target="media/image174.png"/><Relationship Id="rId292" Type="http://schemas.openxmlformats.org/officeDocument/2006/relationships/image" Target="media/image175.png"/><Relationship Id="rId293" Type="http://schemas.openxmlformats.org/officeDocument/2006/relationships/image" Target="media/image176.png"/><Relationship Id="rId294" Type="http://schemas.openxmlformats.org/officeDocument/2006/relationships/image" Target="media/image177.png"/><Relationship Id="rId295" Type="http://schemas.openxmlformats.org/officeDocument/2006/relationships/image" Target="media/image178.png"/><Relationship Id="rId151" Type="http://schemas.openxmlformats.org/officeDocument/2006/relationships/hyperlink" Target="https://www.sec.gov/Archives/edgar/data/1090425/000119312514329086/d783274dex21.htm" TargetMode="External"/><Relationship Id="rId152" Type="http://schemas.openxmlformats.org/officeDocument/2006/relationships/hyperlink" Target="https://www.sec.gov/Archives/edgar/data/1090425/000119312514417756/d823054dex31.htm" TargetMode="External"/><Relationship Id="rId153" Type="http://schemas.openxmlformats.org/officeDocument/2006/relationships/hyperlink" Target="https://www.sec.gov/Archives/edgar/data/1090425/000119312514417756/d823054dex32.htm" TargetMode="External"/><Relationship Id="rId154" Type="http://schemas.openxmlformats.org/officeDocument/2006/relationships/hyperlink" Target="https://www.sec.gov/Archives/edgar/data/1090425/000119312514417756/d823054dex33.htm" TargetMode="External"/><Relationship Id="rId155" Type="http://schemas.openxmlformats.org/officeDocument/2006/relationships/hyperlink" Target="https://www.sec.gov/Archives/edgar/data/899045/000095013407011105/d46520exv3w2.htm" TargetMode="External"/><Relationship Id="rId156" Type="http://schemas.openxmlformats.org/officeDocument/2006/relationships/hyperlink" Target="https://www.sec.gov/Archives/edgar/data/899045/000095013499009877/0000950134-99-009877.txt" TargetMode="External"/><Relationship Id="rId157" Type="http://schemas.openxmlformats.org/officeDocument/2006/relationships/hyperlink" Target="https://www.sec.gov/Archives/edgar/data/1090425/000119312514417756/d823054dex42.htm" TargetMode="External"/><Relationship Id="rId158" Type="http://schemas.openxmlformats.org/officeDocument/2006/relationships/hyperlink" Target="https://www.sec.gov/Archives/edgar/data/1090425/000119312514417756/d823054dex43.htm" TargetMode="External"/><Relationship Id="rId159" Type="http://schemas.openxmlformats.org/officeDocument/2006/relationships/hyperlink" Target="https://www.sec.gov/Archives/edgar/data/899045/000156459020005593/lamr-ex4a3_479.htm" TargetMode="External"/><Relationship Id="rId160" Type="http://schemas.openxmlformats.org/officeDocument/2006/relationships/hyperlink" Target="https://www.sec.gov/Archives/edgar/data/899045/000119312512443858/d431256dex41.htm" TargetMode="External"/><Relationship Id="rId164" Type="http://schemas.openxmlformats.org/officeDocument/2006/relationships/hyperlink" Target="https://www.sec.gov/Archives/edgar/data/899045/000119312513084458/d446463dex4h4.htm" TargetMode="External"/><Relationship Id="rId165" Type="http://schemas.openxmlformats.org/officeDocument/2006/relationships/hyperlink" Target="https://www.sec.gov/Archives/edgar/data/899045/000119312513084458/d446463dex4h5.htm" TargetMode="External"/><Relationship Id="rId166" Type="http://schemas.openxmlformats.org/officeDocument/2006/relationships/hyperlink" Target="https://www.sec.gov/Archives/edgar/data/899045/000119312513084458/d446463dex4h6.htm" TargetMode="External"/><Relationship Id="rId167" Type="http://schemas.openxmlformats.org/officeDocument/2006/relationships/hyperlink" Target="https://www.sec.gov/Archives/edgar/data/899045/000119312513327135/d565771dex44.htm" TargetMode="External"/><Relationship Id="rId168" Type="http://schemas.openxmlformats.org/officeDocument/2006/relationships/hyperlink" Target="https://www.sec.gov/Archives/edgar/data/899045/000119312514187495/d707798dex45.htm" TargetMode="External"/><Relationship Id="rId169" Type="http://schemas.openxmlformats.org/officeDocument/2006/relationships/hyperlink" Target="https://www.sec.gov/Archives/edgar/data/899045/000119312515368451/d47340dex42.htm" TargetMode="External"/><Relationship Id="rId170" Type="http://schemas.openxmlformats.org/officeDocument/2006/relationships/hyperlink" Target="https://www.sec.gov/Archives/edgar/data/899045/000156459018003444/lamr-ex4c10_199.htm" TargetMode="External"/><Relationship Id="rId171" Type="http://schemas.openxmlformats.org/officeDocument/2006/relationships/hyperlink" Target="https://www.sec.gov/Archives/edgar/data/899045/000156459018003444/lamr-ex4c11_198.htm" TargetMode="External"/><Relationship Id="rId172" Type="http://schemas.openxmlformats.org/officeDocument/2006/relationships/hyperlink" Target="https://www.sec.gov/Archives/edgar/data/899045/000156459019015115/lamr-ex42_90.htm" TargetMode="External"/><Relationship Id="rId175" Type="http://schemas.openxmlformats.org/officeDocument/2006/relationships/hyperlink" Target="https://www.sec.gov/Archives/edgar/data/899045/000156459019015115/lamr-ex43_89.htm" TargetMode="External"/><Relationship Id="rId176" Type="http://schemas.openxmlformats.org/officeDocument/2006/relationships/hyperlink" Target="https://www.sec.gov/Archives/edgar/data/899045/000156459019040322/lamr-ex41_139.htm" TargetMode="External"/><Relationship Id="rId177" Type="http://schemas.openxmlformats.org/officeDocument/2006/relationships/hyperlink" Target="https://www.sec.gov/Archives/edgar/data/899045/000119312514011018/d659877dex41.htm" TargetMode="External"/><Relationship Id="rId178" Type="http://schemas.openxmlformats.org/officeDocument/2006/relationships/hyperlink" Target="https://www.sec.gov/Archives/edgar/data/899045/000119312515368451/d47340dex41.htm" TargetMode="External"/><Relationship Id="rId179" Type="http://schemas.openxmlformats.org/officeDocument/2006/relationships/hyperlink" Target="https://www.sec.gov/Archives/edgar/data/899045/000156459018003444/lamr-ex4d5_197.htm" TargetMode="External"/><Relationship Id="rId180" Type="http://schemas.openxmlformats.org/officeDocument/2006/relationships/hyperlink" Target="https://www.sec.gov/Archives/edgar/data/899045/000156459018003444/lamr-ex4d6_196.htm" TargetMode="External"/><Relationship Id="rId181" Type="http://schemas.openxmlformats.org/officeDocument/2006/relationships/hyperlink" Target="https://www.sec.gov/Archives/edgar/data/899045/000156459019015115/lamr-ex44_88.htm" TargetMode="External"/><Relationship Id="rId182" Type="http://schemas.openxmlformats.org/officeDocument/2006/relationships/hyperlink" Target="https://www.sec.gov/Archives/edgar/data/899045/000156459019015115/lamr-ex45_87.htm" TargetMode="External"/><Relationship Id="rId185" Type="http://schemas.openxmlformats.org/officeDocument/2006/relationships/hyperlink" Target="https://www.sec.gov/Archives/edgar/data/899045/000156459019040322/lamr-ex42_138.htm" TargetMode="External"/><Relationship Id="rId186" Type="http://schemas.openxmlformats.org/officeDocument/2006/relationships/hyperlink" Target="https://www.sec.gov/Archives/edgar/data/899045/000119312516446075/d127039dex41.htm" TargetMode="External"/><Relationship Id="rId187" Type="http://schemas.openxmlformats.org/officeDocument/2006/relationships/hyperlink" Target="https://www.sec.gov/Archives/edgar/data/899045/000156459018003444/lamr-ex4e4_195.htm" TargetMode="External"/><Relationship Id="rId188" Type="http://schemas.openxmlformats.org/officeDocument/2006/relationships/hyperlink" Target="https://www.sec.gov/Archives/edgar/data/899045/000156459018003444/lamr-ex4e5_194.htm" TargetMode="External"/><Relationship Id="rId189" Type="http://schemas.openxmlformats.org/officeDocument/2006/relationships/hyperlink" Target="https://www.sec.gov/Archives/edgar/data/899045/000156459019015115/lamr-ex46_86.htm" TargetMode="External"/><Relationship Id="rId190" Type="http://schemas.openxmlformats.org/officeDocument/2006/relationships/hyperlink" Target="https://www.sec.gov/Archives/edgar/data/899045/000156459019015115/lamr-ex47_85.htm" TargetMode="External"/><Relationship Id="rId191" Type="http://schemas.openxmlformats.org/officeDocument/2006/relationships/hyperlink" Target="https://www.sec.gov/Archives/edgar/data/899045/000119312519029539/d695015dex41.htm" TargetMode="External"/><Relationship Id="rId192" Type="http://schemas.openxmlformats.org/officeDocument/2006/relationships/hyperlink" Target="https://www.sec.gov/Archives/edgar/data/899045/000156459019040322/lamr-ex43_136.htm" TargetMode="External"/><Relationship Id="rId195" Type="http://schemas.openxmlformats.org/officeDocument/2006/relationships/hyperlink" Target="https://www.sec.gov/Archives/edgar/data/899045/000119312520033197/d889727dex41.htm" TargetMode="External"/><Relationship Id="rId196" Type="http://schemas.openxmlformats.org/officeDocument/2006/relationships/hyperlink" Target="https://www.sec.gov/Archives/edgar/data/899045/000162828022012480/lamr-20220331x10qxexx42.htm" TargetMode="External"/><Relationship Id="rId197" Type="http://schemas.openxmlformats.org/officeDocument/2006/relationships/hyperlink" Target="https://www.sec.gov/Archives/edgar/data/899045/000162828022020393/lamr-20220630x10qxexx42.htm" TargetMode="External"/><Relationship Id="rId198" Type="http://schemas.openxmlformats.org/officeDocument/2006/relationships/hyperlink" Target="https://www.sec.gov/Archives/edgar/data/899045/000119312520033197/d889727dex42.htm" TargetMode="External"/><Relationship Id="rId199" Type="http://schemas.openxmlformats.org/officeDocument/2006/relationships/hyperlink" Target="https://www.sec.gov/Archives/edgar/data/899045/000162828022012480/lamr-20220331x10qxexx43.htm" TargetMode="External"/><Relationship Id="rId200" Type="http://schemas.openxmlformats.org/officeDocument/2006/relationships/hyperlink" Target="https://www.sec.gov/Archives/edgar/data/899045/000162828022020393/lamr-20220630x10qxexx43.htm" TargetMode="External"/><Relationship Id="rId201" Type="http://schemas.openxmlformats.org/officeDocument/2006/relationships/hyperlink" Target="https://www.sec.gov/Archives/edgar/data/899045/000119312520146127/d930554dex41.htm" TargetMode="External"/><Relationship Id="rId203" Type="http://schemas.openxmlformats.org/officeDocument/2006/relationships/hyperlink" Target="https://www.sec.gov/Archives/edgar/data/899045/000162828022012480/lamr-20220331x10qxexx44.htm" TargetMode="External"/><Relationship Id="rId204" Type="http://schemas.openxmlformats.org/officeDocument/2006/relationships/hyperlink" Target="https://www.sec.gov/Archives/edgar/data/899045/000162828022020393/lamr-20220660x10qxexx44.htm" TargetMode="External"/><Relationship Id="rId205" Type="http://schemas.openxmlformats.org/officeDocument/2006/relationships/hyperlink" Target="https://www.sec.gov/Archives/edgar/data/0001090425/000119312521020764/d111035dex41.htm" TargetMode="External"/><Relationship Id="rId207" Type="http://schemas.openxmlformats.org/officeDocument/2006/relationships/hyperlink" Target="https://www.sec.gov/Archives/edgar/data/899045/000162828022012480/lamr-20220331x10qxexx41.htm" TargetMode="External"/><Relationship Id="rId208" Type="http://schemas.openxmlformats.org/officeDocument/2006/relationships/hyperlink" Target="https://www.sec.gov/Archives/edgar/data/899045/000162828022020393/lamr-20220630x10qxexx41.htm" TargetMode="External"/><Relationship Id="rId209" Type="http://schemas.openxmlformats.org/officeDocument/2006/relationships/hyperlink" Target="https://www.sec.gov/Archives/edgar/data/0001090425/000119312521193497/d361202dex41.htm" TargetMode="External"/><Relationship Id="rId210" Type="http://schemas.openxmlformats.org/officeDocument/2006/relationships/hyperlink" Target="https://www.sec.gov/Archives/edgar/data/899045/000156459020005593/lamr-ex10a1_478.htm" TargetMode="External"/><Relationship Id="rId213" Type="http://schemas.openxmlformats.org/officeDocument/2006/relationships/hyperlink" Target="https://www.sec.gov/Archives/edgar/data/899045/000156459020005593/lamr-ex10a2_477.htm" TargetMode="External"/><Relationship Id="rId214" Type="http://schemas.openxmlformats.org/officeDocument/2006/relationships/hyperlink" Target="https://www.sec.gov/Archives/edgar/data/899045/000095013406005174/d33719exv10w16.txt" TargetMode="External"/><Relationship Id="rId215" Type="http://schemas.openxmlformats.org/officeDocument/2006/relationships/hyperlink" Target="https://www.sec.gov/Archives/edgar/data/1090425/000095013407012610/d47205exv10w1.htm" TargetMode="External"/><Relationship Id="rId216" Type="http://schemas.openxmlformats.org/officeDocument/2006/relationships/hyperlink" Target="https://www.sec.gov/Archives/edgar/data/899045/000156459017021772/lamr-ex101_170.htm" TargetMode="External"/><Relationship Id="rId217" Type="http://schemas.openxmlformats.org/officeDocument/2006/relationships/hyperlink" Target="https://www.sec.gov/Archives/edgar/data/1090425/000119312519166112/d760299dex102.htm" TargetMode="External"/><Relationship Id="rId218" Type="http://schemas.openxmlformats.org/officeDocument/2006/relationships/hyperlink" Target="https://www.sec.gov/Archives/edgar/data/1090425/000095013407019058/d49522exv10w1.htm" TargetMode="External"/><Relationship Id="rId219" Type="http://schemas.openxmlformats.org/officeDocument/2006/relationships/hyperlink" Target="https://www.sec.gov/Archives/edgar/data/899045/000095013505006967/b58122laexv10w2.txt" TargetMode="External"/><Relationship Id="rId220" Type="http://schemas.openxmlformats.org/officeDocument/2006/relationships/hyperlink" Target="https://www.sec.gov/Archives/edgar/data/899045/000119312514072774/d651857dex10d3.htm" TargetMode="External"/><Relationship Id="rId221" Type="http://schemas.openxmlformats.org/officeDocument/2006/relationships/hyperlink" Target="https://www.sec.gov/Archives/edgar/data/1090425/000119312516521502/d168422d8k.htm" TargetMode="External"/><Relationship Id="rId222" Type="http://schemas.openxmlformats.org/officeDocument/2006/relationships/hyperlink" Target="https://www.sec.gov/Archives/edgar/data/1090425/000119312516608341/d183173d8k.htm" TargetMode="External"/><Relationship Id="rId223" Type="http://schemas.openxmlformats.org/officeDocument/2006/relationships/hyperlink" Target="https://www.sec.gov/Archives/edgar/data/899045/000119312518355826/d678645dex101.htm" TargetMode="External"/><Relationship Id="rId224" Type="http://schemas.openxmlformats.org/officeDocument/2006/relationships/hyperlink" Target="https://www.sec.gov/Archives/edgar/data/899045/000119312518355826/d678645dex102.htm" TargetMode="External"/><Relationship Id="rId225" Type="http://schemas.openxmlformats.org/officeDocument/2006/relationships/hyperlink" Target="https://www.sec.gov/Archives/edgar/data/899045/000119312518355826/d678645dex103.htm" TargetMode="External"/><Relationship Id="rId228" Type="http://schemas.openxmlformats.org/officeDocument/2006/relationships/hyperlink" Target="https://www.sec.gov/Archives/edgar/data/899045/000119312518355826/d678645dex104.htm" TargetMode="External"/><Relationship Id="rId229" Type="http://schemas.openxmlformats.org/officeDocument/2006/relationships/hyperlink" Target="https://www.sec.gov/Archives/edgar/data/899045/000119312520033197/d889727dex104.htm" TargetMode="External"/><Relationship Id="rId230" Type="http://schemas.openxmlformats.org/officeDocument/2006/relationships/hyperlink" Target="https://www.sec.gov/Archives/edgar/data/899045/000119312520033197/d889727dex105.htm" TargetMode="External"/><Relationship Id="rId231" Type="http://schemas.openxmlformats.org/officeDocument/2006/relationships/hyperlink" Target="https://www.sec.gov/Archives/edgar/data/899045/000119312520033197/d889727dex106.htm" TargetMode="External"/><Relationship Id="rId232" Type="http://schemas.openxmlformats.org/officeDocument/2006/relationships/hyperlink" Target="https://www.sec.gov/Archives/edgar/data/899045/000156459020037399/lamr-ex102_170.htm" TargetMode="External"/><Relationship Id="rId233" Type="http://schemas.openxmlformats.org/officeDocument/2006/relationships/hyperlink" Target="https://www.sec.gov/Archives/edgar/data/899045/000156459020037399/lamr-ex103_152.htm" TargetMode="External"/><Relationship Id="rId234" Type="http://schemas.openxmlformats.org/officeDocument/2006/relationships/hyperlink" Target="https://www.sec.gov/Archives/edgar/data/899045/000119312520187830/d864629dex101.htm" TargetMode="External"/><Relationship Id="rId235" Type="http://schemas.openxmlformats.org/officeDocument/2006/relationships/hyperlink" Target="https://www.sec.gov/Archives/edgar/data/899045/000119312520276938/d25262dex101.htm" TargetMode="External"/><Relationship Id="rId236" Type="http://schemas.openxmlformats.org/officeDocument/2006/relationships/hyperlink" Target="https://www.sec.gov/Archives/edgar/data/0001090425/000119312521176922/d175058dex101.htm" TargetMode="External"/><Relationship Id="rId237" Type="http://schemas.openxmlformats.org/officeDocument/2006/relationships/hyperlink" Target="https://www.sec.gov/Archives/edgar/data/899045/000119312522186266/d376417dex101.htm" TargetMode="External"/><Relationship Id="rId240" Type="http://schemas.openxmlformats.org/officeDocument/2006/relationships/hyperlink" Target="https://www.sec.gov/Archives/edgar/data/899045/000095012310042765/d72662exv10w1.htm" TargetMode="External"/><Relationship Id="rId241" Type="http://schemas.openxmlformats.org/officeDocument/2006/relationships/hyperlink" Target="https://www.sec.gov/Archives/edgar/data/899045/000095012311018470/d78824exv10wpw2.htm" TargetMode="External"/><Relationship Id="rId242" Type="http://schemas.openxmlformats.org/officeDocument/2006/relationships/hyperlink" Target="https://www.sec.gov/Archives/edgar/data/899045/000095012311018470/d78824exv10wpw3.htm" TargetMode="External"/><Relationship Id="rId243" Type="http://schemas.openxmlformats.org/officeDocument/2006/relationships/hyperlink" Target="https://www.sec.gov/Archives/edgar/data/899045/000119312512057440/d299753dex102.htm" TargetMode="External"/><Relationship Id="rId244" Type="http://schemas.openxmlformats.org/officeDocument/2006/relationships/hyperlink" Target="https://www.sec.gov/Archives/edgar/data/899045/000119312514072774/d651857dex10f11.htm" TargetMode="External"/><Relationship Id="rId245" Type="http://schemas.openxmlformats.org/officeDocument/2006/relationships/hyperlink" Target="https://www.sec.gov/Archives/edgar/data/899045/000119312514040877/d672556dex101.htm" TargetMode="External"/><Relationship Id="rId246" Type="http://schemas.openxmlformats.org/officeDocument/2006/relationships/hyperlink" Target="https://www.sec.gov/Archives/edgar/data/899045/000119312514152081/d715756dex101.htm" TargetMode="External"/><Relationship Id="rId247" Type="http://schemas.openxmlformats.org/officeDocument/2006/relationships/hyperlink" Target="https://www.sec.gov/Archives/edgar/data/899045/000119312516428976/d121868dex101.htm" TargetMode="External"/><Relationship Id="rId250" Type="http://schemas.openxmlformats.org/officeDocument/2006/relationships/hyperlink" Target="https://www.sec.gov/Archives/edgar/data/899045/000119312516496958/d138430dex101.htm" TargetMode="External"/><Relationship Id="rId251" Type="http://schemas.openxmlformats.org/officeDocument/2006/relationships/hyperlink" Target="https://www.sec.gov/Archives/edgar/data/899045/000119312517176596/d400789dex101.htm" TargetMode="External"/><Relationship Id="rId252" Type="http://schemas.openxmlformats.org/officeDocument/2006/relationships/hyperlink" Target="https://www.sec.gov/Archives/edgar/data/899045/000119312518089644/d545969dex101.htm" TargetMode="External"/><Relationship Id="rId253" Type="http://schemas.openxmlformats.org/officeDocument/2006/relationships/hyperlink" Target="https://www.sec.gov/Archives/edgar/data/899045/000119312518347754/d672539dex101.htm" TargetMode="External"/><Relationship Id="rId254" Type="http://schemas.openxmlformats.org/officeDocument/2006/relationships/hyperlink" Target="https://www.sec.gov/Archives/edgar/data/899045/000119312519014003/d690385dex101.htm" TargetMode="External"/><Relationship Id="rId255" Type="http://schemas.openxmlformats.org/officeDocument/2006/relationships/hyperlink" Target="https://www.sec.gov/Archives/edgar/data/899045/000119312512081940/d263372dex10p4.htm" TargetMode="External"/><Relationship Id="rId256" Type="http://schemas.openxmlformats.org/officeDocument/2006/relationships/hyperlink" Target="https://www.sec.gov/Archives/edgar/data/899045/000119312512081940/d263372dex10p5.htm" TargetMode="External"/><Relationship Id="rId257" Type="http://schemas.openxmlformats.org/officeDocument/2006/relationships/hyperlink" Target="https://www.sec.gov/Archives/edgar/data/899045/000119312512081940/d263372dex10p6.htm" TargetMode="External"/><Relationship Id="rId258" Type="http://schemas.openxmlformats.org/officeDocument/2006/relationships/hyperlink" Target="https://www.sec.gov/Archives/edgar/data/899045/000119312513084458/d446463dex10f9.htm" TargetMode="External"/><Relationship Id="rId261" Type="http://schemas.openxmlformats.org/officeDocument/2006/relationships/hyperlink" Target="https://www.sec.gov/Archives/edgar/data/899045/000119312513084458/d446463dex10f10.htm" TargetMode="External"/><Relationship Id="rId262" Type="http://schemas.openxmlformats.org/officeDocument/2006/relationships/hyperlink" Target="https://www.sec.gov/Archives/edgar/data/899045/000119312514072774/d651857dex10f12.htm" TargetMode="External"/><Relationship Id="rId263" Type="http://schemas.openxmlformats.org/officeDocument/2006/relationships/hyperlink" Target="https://www.sec.gov/Archives/edgar/data/899045/000119312514072774/d651857dex10f13.htm" TargetMode="External"/><Relationship Id="rId264" Type="http://schemas.openxmlformats.org/officeDocument/2006/relationships/hyperlink" Target="https://www.sec.gov/Archives/edgar/data/899045/000119312514072774/d651857dex10f14.htm" TargetMode="External"/><Relationship Id="rId265" Type="http://schemas.openxmlformats.org/officeDocument/2006/relationships/hyperlink" Target="https://www.sec.gov/Archives/edgar/data/899045/000119312514072774/d651857dex10f15.htm" TargetMode="External"/><Relationship Id="rId266" Type="http://schemas.openxmlformats.org/officeDocument/2006/relationships/hyperlink" Target="https://www.sec.gov/Archives/edgar/data/899045/000156459017002293/lamr-ex10f20_934.htm" TargetMode="External"/><Relationship Id="rId267" Type="http://schemas.openxmlformats.org/officeDocument/2006/relationships/hyperlink" Target="https://www.sec.gov/Archives/edgar/data/899045/000156459018010171/lamr-ex101_92.htm" TargetMode="External"/><Relationship Id="rId269" Type="http://schemas.openxmlformats.org/officeDocument/2006/relationships/hyperlink" Target="https://www.sec.gov/Archives/edgar/data/899045/000156459019015115/lamr-ex103_84.htm" TargetMode="External"/><Relationship Id="rId270" Type="http://schemas.openxmlformats.org/officeDocument/2006/relationships/hyperlink" Target="https://www.sec.gov/Archives/edgar/data/899045/000156459019015115/lamr-ex104_83.htm" TargetMode="External"/><Relationship Id="rId271" Type="http://schemas.openxmlformats.org/officeDocument/2006/relationships/hyperlink" Target="https://www.sec.gov/Archives/edgar/data/899045/000156459019040322/lamr-ex101_137.htm" TargetMode="External"/><Relationship Id="rId272" Type="http://schemas.openxmlformats.org/officeDocument/2006/relationships/hyperlink" Target="https://www.sec.gov/Archives/edgar/data/899045/000119312520033197/d889727dex103.htm" TargetMode="External"/><Relationship Id="rId273" Type="http://schemas.openxmlformats.org/officeDocument/2006/relationships/hyperlink" Target="https://www.sec.gov/Archives/edgar/data/899045/000162828022012480/lamr-20220331x10qxexx101.htm" TargetMode="External"/><Relationship Id="rId274" Type="http://schemas.openxmlformats.org/officeDocument/2006/relationships/hyperlink" Target="https://www.sec.gov/Archives/edgar/data/899045/000162828022020393/lamr-20220630x10qxexx101.htm" TargetMode="External"/><Relationship Id="rId278" Type="http://schemas.openxmlformats.org/officeDocument/2006/relationships/hyperlink" Target="https://www.sec.gov/Archives/edgar/data/899045/000119312522210548/d380331dex101.htm" TargetMode="External"/><Relationship Id="rId279" Type="http://schemas.openxmlformats.org/officeDocument/2006/relationships/hyperlink" Target="https://www.sec.gov/Archives/edgar/data/1090425/000119312523132452/d925964dex101.htm" TargetMode="External"/><Relationship Id="rId280" Type="http://schemas.openxmlformats.org/officeDocument/2006/relationships/hyperlink" Target="https://www.sec.gov/Archives/edgar/data/1090425/000119312523201706/d520407dex101.htm" TargetMode="External"/><Relationship Id="rId281" Type="http://schemas.openxmlformats.org/officeDocument/2006/relationships/hyperlink" Target="https://www.sec.gov/Archives/edgar/data/899045/000119312522189555/d349853dex101.htm" TargetMode="External"/><Relationship Id="rId282" Type="http://schemas.openxmlformats.org/officeDocument/2006/relationships/hyperlink" Target="https://www.sec.gov/Archives/edgar/data/899045/000119312522189555/d349853dex102.htm" TargetMode="External"/><Relationship Id="rId283" Type="http://schemas.openxmlformats.org/officeDocument/2006/relationships/hyperlink" Target="https://www.sec.gov/Archives/edgar/data/1090425/000119312523058120/d415090dex101.htm" TargetMode="External"/><Relationship Id="rId284" Type="http://schemas.openxmlformats.org/officeDocument/2006/relationships/hyperlink" Target="https://www.sec.gov/Archives/edgar/data/1090425/000119312514417756/d823054dex101.htm" TargetMode="External"/><Relationship Id="rId285" Type="http://schemas.openxmlformats.org/officeDocument/2006/relationships/hyperlink" Target="https://www.sec.gov/Archives/edgar/data/1090425/000162828023004975/lamr-20221231x10kxex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2024-02-23T09:32:14Z</dcterms:created>
  <dcterms:modified xsi:type="dcterms:W3CDTF">2024-02-23T09:32:14Z</dcterms:modified>
</cp:coreProperties>
</file>